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C8" w:rsidRDefault="00396AFD">
      <w:pPr>
        <w:pStyle w:val="Heading2"/>
      </w:pPr>
      <w:bookmarkStart w:id="0" w:name="_Toc260339083"/>
      <w:bookmarkStart w:id="1" w:name="_Toc262653039"/>
      <w:bookmarkStart w:id="2" w:name="_GoBack"/>
      <w:bookmarkEnd w:id="2"/>
      <w:r>
        <w:t>25.8</w:t>
      </w:r>
      <w:r>
        <w:tab/>
        <w:t>Project Cost Allocation Decisions</w:t>
      </w:r>
      <w:bookmarkEnd w:id="0"/>
      <w:bookmarkEnd w:id="1"/>
    </w:p>
    <w:p w:rsidR="000435C8" w:rsidRDefault="00396AFD">
      <w:pPr>
        <w:pStyle w:val="Heading3"/>
      </w:pPr>
      <w:bookmarkStart w:id="3" w:name="_Toc262653040"/>
      <w:r>
        <w:t>25.8.1</w:t>
      </w:r>
      <w:r>
        <w:tab/>
        <w:t>Project Cost Allocation Figures</w:t>
      </w:r>
      <w:bookmarkEnd w:id="3"/>
    </w:p>
    <w:p w:rsidR="000435C8" w:rsidRDefault="00396AFD">
      <w:pPr>
        <w:pStyle w:val="Bodypara"/>
      </w:pPr>
      <w:r>
        <w:t xml:space="preserve">Starting with the Class Year subsequent to Class Year 2012, each Developer in the Open Class Year whose project is not yet In-Service will specify an Interconnection Service </w:t>
      </w:r>
      <w:r>
        <w:t xml:space="preserve">evaluation election and provide an updated In-Service Date and Commercial Operation Date (subject to the limitations set forth in Sections 30.3.3.1 and 30.4.4.5 of Attachment X) when it </w:t>
      </w:r>
      <w:del w:id="4" w:author="Author" w:date="2019-10-18T14:17:00Z">
        <w:r>
          <w:delText xml:space="preserve">executes </w:delText>
        </w:r>
      </w:del>
      <w:ins w:id="5" w:author="Author" w:date="2019-10-18T14:17:00Z">
        <w:r>
          <w:t xml:space="preserve">completes </w:t>
        </w:r>
      </w:ins>
      <w:r>
        <w:t xml:space="preserve">a Class Year </w:t>
      </w:r>
      <w:del w:id="6" w:author="Author" w:date="2019-11-07T12:39:00Z">
        <w:r>
          <w:delText xml:space="preserve">Interconnection Facilities </w:delText>
        </w:r>
      </w:del>
      <w:r>
        <w:t>Study Agree</w:t>
      </w:r>
      <w:r>
        <w:t xml:space="preserve">ment.  If the Class Year Project is covered by a new Interconnection Request, the Developer will either elect to be evaluated for ERIS alone, or elect to be evaluated for both ERIS and for some MW level of CRIS, not to exceed the nameplate capacity of its </w:t>
      </w:r>
      <w:r>
        <w:t>facility; provided however, if the Class Year Project is a BTM:NG Resource, it can elect to be evaluated for ERIS alone, or both ERIS and some MW level of CRIS, not to exceed its Net ICAP</w:t>
      </w:r>
      <w:del w:id="7" w:author="Author" w:date="2019-11-07T16:14:00Z">
        <w:r>
          <w:delText xml:space="preserve"> </w:delText>
        </w:r>
      </w:del>
      <w:r>
        <w:t>, and if the Class Year Project is a request for External-to-ROS Del</w:t>
      </w:r>
      <w:r>
        <w:t>iverability Rights, it can request a MW level of CRIS, not to exceed the increase in transfer capability created by its associated Class Year Transmission Project, as demonstrated in the project’s System Reliability Impact Study.  If the Class Year Project</w:t>
      </w:r>
      <w:r>
        <w:t xml:space="preserve"> is existing and/or already interconnected taking ERIS, the Class Year Project will be evaluated for a MW level of CRIS specified by the Developer, not to exceed the nameplate capacity of its facility, or for a BTM:NG Resource, not to exceed the Net ICAP.</w:t>
      </w:r>
    </w:p>
    <w:p w:rsidR="000435C8" w:rsidRDefault="00396AFD">
      <w:pPr>
        <w:pStyle w:val="Bodypara"/>
      </w:pPr>
      <w:r>
        <w:t xml:space="preserve">Based on these Interconnection Service evaluation elections, on the Annual Transmission Reliability Assessment update of </w:t>
      </w:r>
      <w:r>
        <w:rPr>
          <w:bCs/>
        </w:rPr>
        <w:t>Interconnection</w:t>
      </w:r>
      <w:r>
        <w:t xml:space="preserve"> System Reliability Impact Study results, and on the results of the Class Year Deliverability Study, </w:t>
      </w:r>
      <w:del w:id="8" w:author="Author" w:date="2019-08-07T16:39:00Z">
        <w:r>
          <w:delText>NY</w:delText>
        </w:r>
      </w:del>
      <w:r>
        <w:t xml:space="preserve">ISO staff shall, </w:t>
      </w:r>
      <w:r>
        <w:t>in accordance with these rules, provide the Developer of each interconnection project included in the then</w:t>
      </w:r>
      <w:ins w:id="9" w:author="Author" w:date="2019-11-07T16:15:00Z">
        <w:r>
          <w:t>-</w:t>
        </w:r>
      </w:ins>
      <w:del w:id="10" w:author="Author" w:date="2019-11-07T16:15:00Z">
        <w:r>
          <w:delText xml:space="preserve"> </w:delText>
        </w:r>
      </w:del>
      <w:r>
        <w:t xml:space="preserve">current Class Year with a dollar figure for its share of the cost of the System Upgrade Facilities required for </w:t>
      </w:r>
      <w:r>
        <w:lastRenderedPageBreak/>
        <w:t>reliable interconnection of the proj</w:t>
      </w:r>
      <w:r>
        <w:t xml:space="preserve">ect to the New York State Transmission System (“SUF Project Cost Allocation”).  The </w:t>
      </w:r>
      <w:del w:id="11" w:author="Author" w:date="2019-08-07T16:39:00Z">
        <w:r>
          <w:delText>NY</w:delText>
        </w:r>
      </w:del>
      <w:r>
        <w:t>ISO shall also provide each Class Year Developer requesting CRIS with (i) a dollar figure for its share of the cost of the System Deliverability Upgrades required for the</w:t>
      </w:r>
      <w:r>
        <w:t xml:space="preserve"> megawatt level of CRIS requested for the Class Year Project (“SDU Project Cost Allocation”), and (ii) the number of megawatts of Installed Capacity, if any, that are deliverable from the Class Year Project with no new System Deliverability Upgrades (“Deli</w:t>
      </w:r>
      <w:r>
        <w:t xml:space="preserve">verable MW”).  The </w:t>
      </w:r>
      <w:del w:id="12" w:author="Author" w:date="2019-08-07T16:39:00Z">
        <w:r>
          <w:delText>NY</w:delText>
        </w:r>
      </w:del>
      <w:r>
        <w:t>ISO shall also provide a dollar figure for the total cost of the System Upgrade Facilities and System Deliverability Upgrades required for interconnection of the Class Year Project, as well as a description of the required System Upgra</w:t>
      </w:r>
      <w:r>
        <w:t xml:space="preserve">de Facilities and System Deliverability Upgrades, their expected in-service date, and a plan for their installation that is sufficient to verify these dollar figures.  The </w:t>
      </w:r>
      <w:del w:id="13" w:author="Author" w:date="2019-08-07T16:39:00Z">
        <w:r>
          <w:delText>NY</w:delText>
        </w:r>
      </w:del>
      <w:r>
        <w:t>ISO shall also provide a dollar figure for the total cost of all System Upgrade Fa</w:t>
      </w:r>
      <w:r>
        <w:t>cilities required by projects in the Class Year and a dollar figure for the total cost of the System Deliverability Upgrades necessary to support the level of CRIS requested by each Class Year Developer.  Each Class Year Developer will be given the Project</w:t>
      </w:r>
      <w:r>
        <w:t xml:space="preserve"> Cost Allocation(s) and, Deliverable MW, if any associated with its Interconnection Service evaluation election, as soon as practicable prior to the submittal of the Annual Transmission Reliability Assessment and Class Year Deliverability Study to the Oper</w:t>
      </w:r>
      <w:r>
        <w:t>ating Committee.</w:t>
      </w:r>
    </w:p>
    <w:p w:rsidR="000435C8" w:rsidRDefault="00396AFD">
      <w:pPr>
        <w:pStyle w:val="Heading3"/>
      </w:pPr>
      <w:bookmarkStart w:id="14" w:name="_Toc260339084"/>
      <w:bookmarkStart w:id="15" w:name="_Toc262653041"/>
      <w:r>
        <w:t>25.8.2</w:t>
      </w:r>
      <w:r>
        <w:tab/>
        <w:t>Decision Periods</w:t>
      </w:r>
      <w:bookmarkEnd w:id="14"/>
      <w:bookmarkEnd w:id="15"/>
      <w:r>
        <w:t xml:space="preserve"> for Class </w:t>
      </w:r>
      <w:ins w:id="16" w:author="Author" w:date="2019-11-07T12:39:00Z">
        <w:r>
          <w:t>Year</w:t>
        </w:r>
      </w:ins>
      <w:ins w:id="17" w:author="Author" w:date="2019-08-09T16:17:00Z">
        <w:r>
          <w:t xml:space="preserve"> </w:t>
        </w:r>
      </w:ins>
      <w:ins w:id="18" w:author="Author" w:date="2019-08-09T16:18:00Z">
        <w:r>
          <w:t xml:space="preserve">Study </w:t>
        </w:r>
      </w:ins>
      <w:ins w:id="19" w:author="Author" w:date="2019-08-09T16:17:00Z">
        <w:r>
          <w:t>and Additional Deliverability Study</w:t>
        </w:r>
      </w:ins>
      <w:del w:id="20" w:author="Author" w:date="2019-08-08T15:00:00Z">
        <w:r>
          <w:delText>s</w:delText>
        </w:r>
      </w:del>
      <w:del w:id="21" w:author="Author" w:date="2019-11-07T12:39:00Z">
        <w:r>
          <w:delText>Years</w:delText>
        </w:r>
      </w:del>
      <w:del w:id="22" w:author="Author" w:date="2019-08-08T15:00:00Z">
        <w:r>
          <w:delText xml:space="preserve"> X-2 and Class Years Not Bifurcated Pursuant to Section 25.5.10</w:delText>
        </w:r>
      </w:del>
    </w:p>
    <w:p w:rsidR="000435C8" w:rsidRDefault="00396AFD">
      <w:pPr>
        <w:pStyle w:val="Bodypara"/>
      </w:pPr>
      <w:r>
        <w:t xml:space="preserve">Within 30 calendar days following </w:t>
      </w:r>
      <w:del w:id="23" w:author="Author" w:date="2019-10-25T14:04:00Z">
        <w:r>
          <w:delText xml:space="preserve">the later of </w:delText>
        </w:r>
      </w:del>
      <w:r>
        <w:t>(1) approval of the final Annual Transmiss</w:t>
      </w:r>
      <w:r>
        <w:t>ion Reliability Assessment and Class Year Deliverability Study by the Operating Committee</w:t>
      </w:r>
      <w:del w:id="24" w:author="Author" w:date="2019-11-07T16:18:00Z">
        <w:r>
          <w:delText>; or (2) the end of the Preliminary SDU Decision Period set forth in Section 25.5.10.2, if applicable,</w:delText>
        </w:r>
      </w:del>
      <w:r>
        <w:t xml:space="preserve"> </w:t>
      </w:r>
      <w:ins w:id="25" w:author="Author" w:date="2019-08-08T15:14:00Z">
        <w:r>
          <w:t>(collectively the “Class Year Study Reports”)</w:t>
        </w:r>
      </w:ins>
      <w:r>
        <w:t xml:space="preserve">; or (2) </w:t>
      </w:r>
      <w:ins w:id="26" w:author="Author" w:date="2019-10-25T14:16:00Z">
        <w:r>
          <w:t>approval o</w:t>
        </w:r>
        <w:r>
          <w:t xml:space="preserve">f the final </w:t>
        </w:r>
      </w:ins>
      <w:ins w:id="27" w:author="Author" w:date="2019-08-08T15:15:00Z">
        <w:r>
          <w:t xml:space="preserve">SDU </w:t>
        </w:r>
        <w:r>
          <w:lastRenderedPageBreak/>
          <w:t>Study</w:t>
        </w:r>
      </w:ins>
      <w:ins w:id="28" w:author="Author" w:date="2019-10-25T14:05:00Z">
        <w:r>
          <w:t xml:space="preserve"> report</w:t>
        </w:r>
      </w:ins>
      <w:ins w:id="29" w:author="Author" w:date="2019-10-25T14:06:00Z">
        <w:r>
          <w:t xml:space="preserve"> by the Operating Committee</w:t>
        </w:r>
      </w:ins>
      <w:r>
        <w:t xml:space="preserve"> </w:t>
      </w:r>
      <w:ins w:id="30" w:author="Author" w:date="2019-10-28T14:24:00Z">
        <w:r>
          <w:t>when</w:t>
        </w:r>
      </w:ins>
      <w:ins w:id="31" w:author="Author" w:date="2019-10-25T14:06:00Z">
        <w:r>
          <w:t xml:space="preserve"> such approval </w:t>
        </w:r>
      </w:ins>
      <w:ins w:id="32" w:author="Author" w:date="2019-08-08T15:26:00Z">
        <w:r>
          <w:t xml:space="preserve">is prior to </w:t>
        </w:r>
      </w:ins>
      <w:ins w:id="33" w:author="Author" w:date="2019-08-08T16:23:00Z">
        <w:r>
          <w:t>completion of the Annual Transmission Baseline Assessment study cases</w:t>
        </w:r>
      </w:ins>
      <w:ins w:id="34" w:author="Author" w:date="2019-08-08T15:28:00Z">
        <w:r>
          <w:t xml:space="preserve"> </w:t>
        </w:r>
      </w:ins>
      <w:ins w:id="35" w:author="Author" w:date="2019-08-08T16:25:00Z">
        <w:r>
          <w:t>for</w:t>
        </w:r>
      </w:ins>
      <w:ins w:id="36" w:author="Author" w:date="2019-08-08T15:28:00Z">
        <w:r>
          <w:t xml:space="preserve"> the following Class Year Study</w:t>
        </w:r>
      </w:ins>
      <w:ins w:id="37" w:author="Author" w:date="2019-11-07T12:39:00Z">
        <w:r>
          <w:t xml:space="preserve">, </w:t>
        </w:r>
      </w:ins>
      <w:r>
        <w:t>(</w:t>
      </w:r>
      <w:ins w:id="38" w:author="Author" w:date="2019-10-25T14:02:00Z">
        <w:r>
          <w:t xml:space="preserve">each </w:t>
        </w:r>
      </w:ins>
      <w:r>
        <w:t xml:space="preserve">such 30 calendar day period to be referred to as the </w:t>
      </w:r>
      <w:r>
        <w:t>“Initial Decision Period”</w:t>
      </w:r>
      <w:ins w:id="39" w:author="Author" w:date="2019-10-25T14:07:00Z">
        <w:r>
          <w:t xml:space="preserve"> for the respective </w:t>
        </w:r>
      </w:ins>
      <w:ins w:id="40" w:author="Author" w:date="2019-10-25T14:17:00Z">
        <w:r>
          <w:t>study</w:t>
        </w:r>
      </w:ins>
      <w:r>
        <w:t xml:space="preserve">), or within 7 calendar days following the </w:t>
      </w:r>
      <w:del w:id="41" w:author="Author" w:date="2019-08-07T16:39:00Z">
        <w:r>
          <w:delText>NY</w:delText>
        </w:r>
      </w:del>
      <w:r>
        <w:t xml:space="preserve">ISO’s issuance of a revised </w:t>
      </w:r>
      <w:del w:id="42" w:author="Author" w:date="2019-08-08T15:05:00Z">
        <w:r>
          <w:delText>Annual Transmission Reliability Assessment, Class Year Deliverability Study</w:delText>
        </w:r>
      </w:del>
      <w:ins w:id="43" w:author="Author" w:date="2019-08-08T15:05:00Z">
        <w:r>
          <w:t>Class Year Study report</w:t>
        </w:r>
      </w:ins>
      <w:ins w:id="44" w:author="Author" w:date="2019-10-25T15:30:00Z">
        <w:r>
          <w:t xml:space="preserve"> or a revised Additional SDU Study </w:t>
        </w:r>
        <w:r>
          <w:t>report, as applicable,</w:t>
        </w:r>
      </w:ins>
      <w:r>
        <w:t xml:space="preserve"> and accompanying Revised Project Cost Allocation and revised Deliverable MW report, as defined in and pursuant to Section 25.8.3 (a “Subsequent Decision Period”), if applicable, each Developer shall provide notice to the </w:t>
      </w:r>
      <w:del w:id="45" w:author="Author" w:date="2019-08-07T16:39:00Z">
        <w:r>
          <w:delText>NY</w:delText>
        </w:r>
      </w:del>
      <w:r>
        <w:t>ISO, in wr</w:t>
      </w:r>
      <w:r>
        <w:t xml:space="preserve">iting and via electronic mail, stating whether it shall accept (an “Acceptance Notice”) or not accept (a “Non-Acceptance Notice”) the Project Cost Allocation(s) and Deliverable MW, if any, reported to it by the </w:t>
      </w:r>
      <w:del w:id="46" w:author="Author" w:date="2019-08-07T16:39:00Z">
        <w:r>
          <w:delText>NY</w:delText>
        </w:r>
      </w:del>
      <w:r>
        <w:t xml:space="preserve">ISO.  Failure to notify the </w:t>
      </w:r>
      <w:del w:id="47" w:author="Author" w:date="2019-08-07T16:39:00Z">
        <w:r>
          <w:delText>NY</w:delText>
        </w:r>
      </w:del>
      <w:r>
        <w:t>ISO by the pr</w:t>
      </w:r>
      <w:r>
        <w:t>escribed deadline as to whether a Developer accepts or rejects its Project Cost Allocation and Deliverable MW, if any, will be deemed a Non-Acceptance Notice.  Each Developer may respond with either an Acceptance Notice or a Non-Acceptance Notice to each P</w:t>
      </w:r>
      <w:r>
        <w:t xml:space="preserve">roject Cost Allocation and Deliverable MW reported to it by the </w:t>
      </w:r>
      <w:del w:id="48" w:author="Author" w:date="2019-08-07T16:39:00Z">
        <w:r>
          <w:delText>NY</w:delText>
        </w:r>
      </w:del>
      <w:r>
        <w:t>ISO.  Starting with Class Year 2012, an Acceptance Notice for projects not yet In-Service must also include a confirmed In-Service Date and Commercial Operation Date, subject to the limitati</w:t>
      </w:r>
      <w:r>
        <w:t>ons set forth in Section 30.4.4.5 of Attachment X.  A Developer in its first Class Year</w:t>
      </w:r>
      <w:del w:id="49" w:author="Author" w:date="2019-11-07T16:25:00Z">
        <w:r>
          <w:delText xml:space="preserve"> </w:delText>
        </w:r>
      </w:del>
      <w:del w:id="50" w:author="Author" w:date="2019-08-02T17:42:00Z">
        <w:r>
          <w:delText>Interconnection Facilities</w:delText>
        </w:r>
      </w:del>
      <w:r>
        <w:t xml:space="preserve"> Study </w:t>
      </w:r>
      <w:ins w:id="51" w:author="Author" w:date="2019-10-28T14:25:00Z">
        <w:r>
          <w:t>that requests</w:t>
        </w:r>
      </w:ins>
      <w:del w:id="52" w:author="Author" w:date="2019-10-28T14:25:00Z">
        <w:r>
          <w:delText>and requesting</w:delText>
        </w:r>
      </w:del>
      <w:r>
        <w:t xml:space="preserve"> to be evaluated for CRIS may accept both its SDU Project Cost Allocation and its SUF Project Cost Allocatio</w:t>
      </w:r>
      <w:r>
        <w:t>n.  Alternatively, that Developer</w:t>
      </w:r>
      <w:ins w:id="53" w:author="Author" w:date="2019-10-25T15:31:00Z">
        <w:r>
          <w:t>, if it accepts its SUF Pr</w:t>
        </w:r>
      </w:ins>
      <w:ins w:id="54" w:author="Author" w:date="2019-10-25T15:32:00Z">
        <w:r>
          <w:t>oject Cost Allocation,</w:t>
        </w:r>
      </w:ins>
      <w:r>
        <w:t xml:space="preserve"> may provide a Non-Acceptance Notice for its SDU Project Cost Allocation and at the same time accept, or not accept its Deliverable MW.  Or, as another alternative, that same </w:t>
      </w:r>
      <w:r>
        <w:t xml:space="preserve">Developer may elect to interconnect taking ERIS by providing an Acceptance Notice only for its SUF Project </w:t>
      </w:r>
      <w:r>
        <w:lastRenderedPageBreak/>
        <w:t xml:space="preserve">Cost Allocation.  </w:t>
      </w:r>
      <w:del w:id="55" w:author="Author" w:date="2019-10-25T15:32:00Z">
        <w:r>
          <w:delText>Starting with Class Year 2012, a</w:delText>
        </w:r>
      </w:del>
      <w:ins w:id="56" w:author="Author" w:date="2019-10-25T15:32:00Z">
        <w:r>
          <w:t>A</w:t>
        </w:r>
      </w:ins>
      <w:r>
        <w:t xml:space="preserve"> Developer that accepts an SUF and/or SDU Project Cost Allocation will not be provided with the op</w:t>
      </w:r>
      <w:r>
        <w:t xml:space="preserve">tion to accept a Revised Project Cost Allocation following a Subsequent Decision Period unless the Revised Project Cost Allocation provides for (1) an increase in the SUF or the SDU Project Cost Allocation; or (2) a decrease in the </w:t>
      </w:r>
      <w:del w:id="57" w:author="Author" w:date="2019-10-25T15:32:00Z">
        <w:r>
          <w:delText>Class Year Project’s</w:delText>
        </w:r>
      </w:del>
      <w:ins w:id="58" w:author="Author" w:date="2019-10-25T15:32:00Z">
        <w:r>
          <w:t>Developer’s</w:t>
        </w:r>
      </w:ins>
      <w:r>
        <w:t xml:space="preserve"> Deliverable MW.</w:t>
      </w:r>
    </w:p>
    <w:p w:rsidR="000435C8" w:rsidRDefault="00396AFD">
      <w:pPr>
        <w:pStyle w:val="Bodypara"/>
        <w:rPr>
          <w:ins w:id="59" w:author="Author" w:date="2019-08-08T15:25:00Z"/>
        </w:rPr>
      </w:pPr>
      <w:ins w:id="60" w:author="Author" w:date="2019-10-25T15:33:00Z">
        <w:r>
          <w:t>A</w:t>
        </w:r>
      </w:ins>
      <w:ins w:id="61" w:author="Author" w:date="2019-08-08T15:25:00Z">
        <w:r>
          <w:t xml:space="preserve"> Developer in an Additional SDU Study that has not completed when the Initial Decision Period </w:t>
        </w:r>
      </w:ins>
      <w:ins w:id="62" w:author="Author" w:date="2019-08-09T16:22:00Z">
        <w:r>
          <w:t xml:space="preserve">for the Class Year Study </w:t>
        </w:r>
      </w:ins>
      <w:ins w:id="63" w:author="Author" w:date="2019-08-08T15:25:00Z">
        <w:r>
          <w:t>has commenced may</w:t>
        </w:r>
      </w:ins>
      <w:ins w:id="64" w:author="Author" w:date="2019-08-08T16:29:00Z">
        <w:r>
          <w:t xml:space="preserve">, in the Initial Decision Period or Subsequent Decision Period for the Class Year </w:t>
        </w:r>
      </w:ins>
      <w:ins w:id="65" w:author="Author" w:date="2019-10-25T15:16:00Z">
        <w:r>
          <w:t xml:space="preserve">in which </w:t>
        </w:r>
        <w:r>
          <w:t>the Additional SDU Study was triggered</w:t>
        </w:r>
      </w:ins>
      <w:ins w:id="66" w:author="Author" w:date="2019-08-08T16:29:00Z">
        <w:r>
          <w:t>,</w:t>
        </w:r>
      </w:ins>
      <w:ins w:id="67" w:author="Author" w:date="2019-08-08T15:25:00Z">
        <w:r>
          <w:t xml:space="preserve"> (1) accept its SUF Project Cost Allocation and proceed with its Additional SDU Study; (2) reject its SUF Project Cost Allocation and be withdrawn from </w:t>
        </w:r>
      </w:ins>
      <w:ins w:id="68" w:author="Author" w:date="2019-08-08T16:30:00Z">
        <w:r>
          <w:t xml:space="preserve">both </w:t>
        </w:r>
      </w:ins>
      <w:ins w:id="69" w:author="Author" w:date="2019-08-08T15:25:00Z">
        <w:r>
          <w:t>the Class Year Study and the Additional SDU Study; or (3) wa</w:t>
        </w:r>
        <w:r>
          <w:t>it until the Initial Decision Period that commences pursuant to this Section 25.8.2 upon completion of the Additional SDU Study to provide an Acceptance Notice or Non-Acceptance Notice for its SUF Project Cost Allocation and SDU Project Cost Allocation</w:t>
        </w:r>
      </w:ins>
      <w:ins w:id="70" w:author="Author" w:date="2019-08-08T16:30:00Z">
        <w:r>
          <w:t>; pr</w:t>
        </w:r>
        <w:r>
          <w:t>ovided however, that pursuant to this Section 25.8.2,</w:t>
        </w:r>
      </w:ins>
      <w:ins w:id="71" w:author="Author" w:date="2019-08-08T16:31:00Z">
        <w:r>
          <w:t xml:space="preserve"> no</w:t>
        </w:r>
      </w:ins>
      <w:ins w:id="72" w:author="Author" w:date="2019-08-08T16:30:00Z">
        <w:r>
          <w:t xml:space="preserve"> Initial Decision Period</w:t>
        </w:r>
      </w:ins>
      <w:ins w:id="73" w:author="Author" w:date="2019-10-16T09:05:00Z">
        <w:r>
          <w:t xml:space="preserve"> will be</w:t>
        </w:r>
      </w:ins>
      <w:ins w:id="74" w:author="Author" w:date="2019-08-08T16:30:00Z">
        <w:r>
          <w:t xml:space="preserve"> </w:t>
        </w:r>
      </w:ins>
      <w:ins w:id="75" w:author="Author" w:date="2019-08-08T16:31:00Z">
        <w:r>
          <w:t xml:space="preserve">triggered by an Additional SDU Study that </w:t>
        </w:r>
      </w:ins>
      <w:ins w:id="76" w:author="Author" w:date="2019-08-08T16:32:00Z">
        <w:r>
          <w:t xml:space="preserve">is ongoing at the time the ISO completes the Annual Transmission Baseline Assessment </w:t>
        </w:r>
      </w:ins>
      <w:ins w:id="77" w:author="Author" w:date="2019-08-08T16:33:00Z">
        <w:r>
          <w:t xml:space="preserve">study cases </w:t>
        </w:r>
      </w:ins>
      <w:ins w:id="78" w:author="Author" w:date="2019-08-08T16:32:00Z">
        <w:r>
          <w:t xml:space="preserve">for the </w:t>
        </w:r>
      </w:ins>
      <w:ins w:id="79" w:author="Author" w:date="2019-08-08T16:33:00Z">
        <w:r>
          <w:t>subsequent Class Yea</w:t>
        </w:r>
        <w:r>
          <w:t>r Study</w:t>
        </w:r>
      </w:ins>
      <w:ins w:id="80" w:author="Author" w:date="2019-08-08T15:25:00Z">
        <w:r>
          <w:t>.</w:t>
        </w:r>
      </w:ins>
      <w:ins w:id="81" w:author="Author" w:date="2019-08-08T16:33:00Z">
        <w:r>
          <w:t xml:space="preserve">  </w:t>
        </w:r>
      </w:ins>
      <w:ins w:id="82" w:author="Author" w:date="2019-08-09T12:37:00Z">
        <w:r>
          <w:t xml:space="preserve">The SUF Project Cost Allocation and any deliverable MW identified in the Class Year Study for a </w:t>
        </w:r>
      </w:ins>
      <w:ins w:id="83" w:author="Author" w:date="2019-08-09T12:35:00Z">
        <w:r>
          <w:t>Developer in an Additional SDU Study that elects not to accept its SUF Project Cost Allocation with its Class Yea</w:t>
        </w:r>
      </w:ins>
      <w:ins w:id="84" w:author="Author" w:date="2019-08-09T12:36:00Z">
        <w:r>
          <w:t xml:space="preserve">r, but that elects to wait until the </w:t>
        </w:r>
        <w:r>
          <w:t xml:space="preserve">Initial Decision Period that commences pursuant to this Section 25.8.2 upon completion of the Additional SDU Study, </w:t>
        </w:r>
      </w:ins>
      <w:ins w:id="85" w:author="Author" w:date="2019-08-09T12:38:00Z">
        <w:r>
          <w:t>will be revised in light of the final Class Year project cost allocation decisions (</w:t>
        </w:r>
      </w:ins>
      <w:ins w:id="86" w:author="Author" w:date="2019-08-09T12:39:00Z">
        <w:r>
          <w:rPr>
            <w:i/>
          </w:rPr>
          <w:t>i.e.</w:t>
        </w:r>
        <w:r>
          <w:t>, the SUF Cost Allocation and deliverable MW, if any</w:t>
        </w:r>
        <w:r>
          <w:t xml:space="preserve">, may change between the Initial Decision Period for the Class Year and the Initial Decision Period </w:t>
        </w:r>
      </w:ins>
      <w:ins w:id="87" w:author="Author" w:date="2019-10-25T14:09:00Z">
        <w:r>
          <w:t>for</w:t>
        </w:r>
      </w:ins>
      <w:ins w:id="88" w:author="Author" w:date="2019-08-09T12:39:00Z">
        <w:r>
          <w:t xml:space="preserve"> the Additional SDU Study).</w:t>
        </w:r>
      </w:ins>
    </w:p>
    <w:p w:rsidR="000435C8" w:rsidRDefault="00396AFD">
      <w:pPr>
        <w:pStyle w:val="Bodypara"/>
      </w:pPr>
      <w:r>
        <w:t xml:space="preserve">As soon as practicable following </w:t>
      </w:r>
      <w:del w:id="89" w:author="Author" w:date="2019-10-25T15:25:00Z">
        <w:r>
          <w:delText>receipt of either an Acceptance Notice or Non-Acceptance Notice from each Class Year Develop</w:delText>
        </w:r>
        <w:r>
          <w:delText>er</w:delText>
        </w:r>
      </w:del>
      <w:ins w:id="90" w:author="Author" w:date="2019-10-25T15:25:00Z">
        <w:r>
          <w:t>the end of the Initial Decision Period</w:t>
        </w:r>
      </w:ins>
      <w:ins w:id="91" w:author="Author" w:date="2019-10-25T15:26:00Z">
        <w:r>
          <w:t xml:space="preserve"> and any Subsequent Decision Period, as applicable</w:t>
        </w:r>
      </w:ins>
      <w:r>
        <w:t xml:space="preserve">, but not later than two (2) business days following </w:t>
      </w:r>
      <w:del w:id="92" w:author="Author" w:date="2019-10-25T15:27:00Z">
        <w:r>
          <w:delText>receipt</w:delText>
        </w:r>
      </w:del>
      <w:ins w:id="93" w:author="Author" w:date="2019-10-25T15:27:00Z">
        <w:r>
          <w:t>the end of such decision period</w:t>
        </w:r>
      </w:ins>
      <w:r>
        <w:t xml:space="preserve">, the </w:t>
      </w:r>
      <w:del w:id="94" w:author="Author" w:date="2019-08-07T16:39:00Z">
        <w:r>
          <w:delText>NY</w:delText>
        </w:r>
      </w:del>
      <w:r>
        <w:t xml:space="preserve">ISO shall report to </w:t>
      </w:r>
      <w:ins w:id="95" w:author="Author" w:date="2019-10-25T15:28:00Z">
        <w:r>
          <w:t>the Operating Committee</w:t>
        </w:r>
      </w:ins>
      <w:del w:id="96" w:author="Author" w:date="2019-10-25T15:28:00Z">
        <w:r>
          <w:delText xml:space="preserve">all Class Year </w:delText>
        </w:r>
        <w:r>
          <w:delText>Developers, in writing and via electronic mail</w:delText>
        </w:r>
      </w:del>
      <w:r>
        <w:t xml:space="preserve">, all of the acceptance Notices and Non-Acceptance Notices that were received </w:t>
      </w:r>
      <w:ins w:id="97" w:author="Author" w:date="2019-10-25T15:34:00Z">
        <w:r>
          <w:t>during that decision period</w:t>
        </w:r>
      </w:ins>
      <w:del w:id="98" w:author="Author" w:date="2019-10-25T15:34:00Z">
        <w:r>
          <w:delText>from all of the Developers in the then-current Class Year</w:delText>
        </w:r>
      </w:del>
      <w:r>
        <w:t>.  Starting with Class Year 2012, consistent wit</w:t>
      </w:r>
      <w:r>
        <w:t>h Section 30.4.4.5 of Attachment X, for any project that fails to provide a confirmed In-Service Date and Commercial Operation Date in its Acceptance Notice or that provides a proposed In-Service Date or Commercial Operation Date with its Acceptance Notice</w:t>
      </w:r>
      <w:r>
        <w:t xml:space="preserve"> that is beyond the time period permissible by Section 30.4.4.5 of Attachment X, the </w:t>
      </w:r>
      <w:del w:id="99" w:author="Author" w:date="2019-08-07T16:39:00Z">
        <w:r>
          <w:delText>NY</w:delText>
        </w:r>
      </w:del>
      <w:r>
        <w:t xml:space="preserve">ISO’s Interconnection queue will reflect the latest possible permissible date, even if that requires the </w:t>
      </w:r>
      <w:del w:id="100" w:author="Author" w:date="2019-08-07T16:39:00Z">
        <w:r>
          <w:delText>NY</w:delText>
        </w:r>
      </w:del>
      <w:r>
        <w:t>ISO to reject and modify the proposed In-Service Date or Comme</w:t>
      </w:r>
      <w:r>
        <w:t>rcial Operation Date provided in the Class Project’s Acceptance Notice.  Subsequent modifications to a project’s In-Service Date or Commercial Operation Date are governed by Section 30.4.4.5.2 of Attachment X.</w:t>
      </w:r>
    </w:p>
    <w:p w:rsidR="000435C8" w:rsidRDefault="00396AFD">
      <w:pPr>
        <w:pStyle w:val="alphapara"/>
      </w:pPr>
      <w:r>
        <w:t>25.8.2.1</w:t>
      </w:r>
      <w:r>
        <w:tab/>
        <w:t>If, following the Initial Decision Pe</w:t>
      </w:r>
      <w:r>
        <w:t xml:space="preserve">riod or any Subsequent Decision Period, each and every  Developer that remains eligible at that time provides Acceptance Notice(s), each Developer must signify its willingness to pay the Connecting Transmission Owner and Affected Transmission Owner(s) for </w:t>
      </w:r>
      <w:r>
        <w:t xml:space="preserve">its share of the required System Upgrade Facilities and System Deliverability Upgrades </w:t>
      </w:r>
      <w:ins w:id="101" w:author="Author" w:date="2019-10-28T14:25:00Z">
        <w:r>
          <w:t>that i</w:t>
        </w:r>
      </w:ins>
      <w:ins w:id="102" w:author="Author" w:date="2019-10-25T15:35:00Z">
        <w:r>
          <w:t xml:space="preserve">t accepted </w:t>
        </w:r>
      </w:ins>
      <w:r>
        <w:t xml:space="preserve">by (i) satisfying Headroom payment/security posting obligations, if any, as specified in Section 25.8.7.6 and (ii)  paying cash or posting Security (as </w:t>
      </w:r>
      <w:r>
        <w:t>hereinafter defined) in accordance with these rules, for the full amount of its respective Project Cost Allocation within 5 business days after the end of the Initial Decision Period or Subsequent Decision Period, as applicable.  “Security” means a bond, i</w:t>
      </w:r>
      <w:r>
        <w:t>rrevocable letter of credit, parent company guarantee or other form of security from an entity with an investment grade rating, executed for the benefit of the Connecting Transmission Owner and Affected Transmission Owner(s), meeting the requirements of th</w:t>
      </w:r>
      <w:r>
        <w:t>ese cost allocation rules, and meeting the respective commercially reasonable requirements of the Connecting Transmission Owner and Affected Transmission Owner(s).  Security shall be posted to cover the period ending on the date on which full payment is ma</w:t>
      </w:r>
      <w:r>
        <w:t xml:space="preserve">de to the Connecting Transmission Owner for the System Upgrade Facilities, and the date(s) on which full payment is made to the Connecting Transmission Owner or Affected Transmission Owner(s) for the System Deliverability Upgrades; provided, however, that </w:t>
      </w:r>
      <w:r>
        <w:t>Security may be posted with a term as short as one year, so long as such Security is replaced no later than 15 business days before its stated expiration.  In the event Security is not replaced as required in the preceding sentence, the Connecting Transmis</w:t>
      </w:r>
      <w:r>
        <w:t>sion Owner, or an Affected Transmission Owner in the case of Security for System Deliverability Upgrades, shall be entitled to draw upon the Security and convert it to cash, which cash shall be held by the Connecting Transmission Owner or Affected Transmis</w:t>
      </w:r>
      <w:r>
        <w:t>sion Owner for the account of the Developer.  The round in which no remaining eligible Developers issue a Non-Acceptance Notice or commits a Security Posting Default shall be the final round for that Class Year</w:t>
      </w:r>
      <w:ins w:id="103" w:author="Author" w:date="2019-10-25T15:35:00Z">
        <w:r>
          <w:t xml:space="preserve"> or Additional SDU Study</w:t>
        </w:r>
      </w:ins>
      <w:ins w:id="104" w:author="Author" w:date="2019-11-07T12:39:00Z">
        <w:r>
          <w:t xml:space="preserve"> </w:t>
        </w:r>
      </w:ins>
      <w:r>
        <w:t xml:space="preserve">(the “Final Decision </w:t>
      </w:r>
      <w:r>
        <w:t>Round”).</w:t>
      </w:r>
    </w:p>
    <w:p w:rsidR="000435C8" w:rsidRDefault="00396AFD">
      <w:pPr>
        <w:pStyle w:val="alphapara"/>
      </w:pPr>
      <w:r>
        <w:t>25.8.2.2</w:t>
      </w:r>
      <w:r>
        <w:tab/>
        <w:t>At the end of the Initial Decision Period or any Subsequent Decision Period, if one or more of the Developers in the Class Year provides Non-Acceptance Notice (such event a “Non-Acceptance Event”), then every Developer in the Class Year s</w:t>
      </w:r>
      <w:r>
        <w:t>hall be relieved of its obligation to pay cash or post Security in connection with that version of its Project Cost Allocation for both System Upgrade Facilities and System Deliverability Upgrades.  In addition, following the Initial Decision Period or any</w:t>
      </w:r>
      <w:r>
        <w:t xml:space="preserve"> Subsequent Decision Period, if all Developers in the Class Year provide Acceptance Notice under the Class Year Deliverability Study, the ATRA or both, but one or more of the Developers fails to pay cash or post the Security required hereunder (such event </w:t>
      </w:r>
      <w:r>
        <w:t>a “Security Posting Default”), then the beneficiaries of the payments and Security posted by the Developers that did pay or post Security (</w:t>
      </w:r>
      <w:r>
        <w:rPr>
          <w:i/>
        </w:rPr>
        <w:t>e.g.</w:t>
      </w:r>
      <w:r>
        <w:t>, the Connecting Transmission Owners and Affected Transmission Owners) shall surrender the cash and posted Securi</w:t>
      </w:r>
      <w:r>
        <w:t>ty to the respective Developers immediately.  The Connecting Transmission Owners or Affected Transmission Owner(s) shall not make any draws or encumbrances on any cash or posted Security unless and until cash has been paid and Security has been posted by a</w:t>
      </w:r>
      <w:r>
        <w:t>ll Developers that issued Acceptance Notices in the Final Decision Round.</w:t>
      </w:r>
    </w:p>
    <w:p w:rsidR="000435C8" w:rsidRDefault="00396AFD">
      <w:pPr>
        <w:pStyle w:val="alphapara"/>
      </w:pPr>
      <w:r>
        <w:t>25.8.2.3</w:t>
      </w:r>
      <w:r>
        <w:tab/>
        <w:t>Following the Initial Decision Period, or any Subsequent Decision Period, if a Non-Acceptance Event or a Security Posting Default shall have occurred with respect to the ATR</w:t>
      </w:r>
      <w:r>
        <w:t xml:space="preserve">A, the Developer that provided the Non-Acceptance Notice or committed the Security Posting Default with respect to its SUF Project Cost Allocation will be removed by the </w:t>
      </w:r>
      <w:del w:id="105" w:author="Author" w:date="2019-08-07T16:39:00Z">
        <w:r>
          <w:delText>NY</w:delText>
        </w:r>
      </w:del>
      <w:r>
        <w:t>ISO from the then current Class Year</w:t>
      </w:r>
      <w:del w:id="106" w:author="Author" w:date="2019-11-07T16:40:00Z">
        <w:r>
          <w:delText xml:space="preserve"> </w:delText>
        </w:r>
      </w:del>
      <w:del w:id="107" w:author="Author" w:date="2019-08-02T17:42:00Z">
        <w:r>
          <w:delText xml:space="preserve">Interconnection </w:delText>
        </w:r>
        <w:r>
          <w:rPr>
            <w:bCs/>
          </w:rPr>
          <w:delText>Facilities</w:delText>
        </w:r>
      </w:del>
      <w:r>
        <w:t xml:space="preserve"> Study.  If a Develop</w:t>
      </w:r>
      <w:r>
        <w:t xml:space="preserve">er provides an Acceptance Notice and posts the required Security for ifs SUF Project Cost Allocation, or has done so in a prior Class Year, but provides a Non-Acceptance Notice with respect to its SDU Project Cost Allocation, it may </w:t>
      </w:r>
      <w:del w:id="108" w:author="Author" w:date="2019-10-25T15:36:00Z">
        <w:r>
          <w:delText xml:space="preserve">issue </w:delText>
        </w:r>
      </w:del>
      <w:ins w:id="109" w:author="Author" w:date="2019-10-25T15:36:00Z">
        <w:r>
          <w:t xml:space="preserve">provide </w:t>
        </w:r>
      </w:ins>
      <w:r>
        <w:t>an Accept</w:t>
      </w:r>
      <w:r>
        <w:t>ance Notice for its Deliverable MW and interconnect taking CRIS at that level.  If the Developer either (i) provides a Non-Acceptance Notice with respect to both its SDU Project Cost Allocation and its Deliverable MW, or (ii) commits a Security Posting Def</w:t>
      </w:r>
      <w:r>
        <w:t>ault with respect to its SDU Project Cost Allocation, then that Developer shall be removed from the Class Year Deliverability Study</w:t>
      </w:r>
      <w:ins w:id="110" w:author="Author" w:date="2019-10-25T15:36:00Z">
        <w:r>
          <w:t xml:space="preserve"> or Additional SDU Study, as applicable</w:t>
        </w:r>
      </w:ins>
      <w:r>
        <w:t>, but</w:t>
      </w:r>
      <w:ins w:id="111" w:author="Author" w:date="2019-10-25T15:37:00Z">
        <w:r>
          <w:t>, if in the Class Year Study</w:t>
        </w:r>
      </w:ins>
      <w:ins w:id="112" w:author="Author" w:date="2019-11-07T16:42:00Z">
        <w:r>
          <w:t>,</w:t>
        </w:r>
      </w:ins>
      <w:del w:id="113" w:author="Author" w:date="2019-11-07T12:39:00Z">
        <w:r>
          <w:delText xml:space="preserve"> but</w:delText>
        </w:r>
      </w:del>
      <w:r>
        <w:t xml:space="preserve"> it may continue to participate in the ATRA and interconnect taking ERIS if it provides an Acceptance Notice and posts the required Security for its SUF Project Cost Allocation.  The Developer electing to interconnect taking ERIS may later request, any num</w:t>
      </w:r>
      <w:r>
        <w:t xml:space="preserve">ber of times, to </w:t>
      </w:r>
      <w:del w:id="114" w:author="Author" w:date="2019-10-25T15:38:00Z">
        <w:r>
          <w:delText>be placed in the then Open</w:delText>
        </w:r>
      </w:del>
      <w:ins w:id="115" w:author="Author" w:date="2019-10-25T15:38:00Z">
        <w:r>
          <w:t>enter a</w:t>
        </w:r>
      </w:ins>
      <w:r>
        <w:t xml:space="preserve"> Class Year</w:t>
      </w:r>
      <w:ins w:id="116" w:author="Author" w:date="2019-10-25T15:38:00Z">
        <w:r>
          <w:t xml:space="preserve"> Study</w:t>
        </w:r>
      </w:ins>
      <w:ins w:id="117" w:author="Author" w:date="2019-10-25T15:37:00Z">
        <w:r>
          <w:t xml:space="preserve"> or Expedited Deliverability Study</w:t>
        </w:r>
      </w:ins>
      <w:ins w:id="118" w:author="Author" w:date="2019-11-07T12:39:00Z">
        <w:r>
          <w:t xml:space="preserve"> </w:t>
        </w:r>
      </w:ins>
      <w:r>
        <w:t>and be evaluated for CRIS</w:t>
      </w:r>
      <w:ins w:id="119" w:author="Author" w:date="2019-10-25T15:38:00Z">
        <w:r>
          <w:t>, subject to the Class Year Study and Expedited Deliverability Study entry requirements set forth in Section 25.5.9 of this Attac</w:t>
        </w:r>
        <w:r>
          <w:t>hment S</w:t>
        </w:r>
      </w:ins>
      <w:r>
        <w:t xml:space="preserve">.  The Developer will not be re-evaluated for ERIS.  Once evaluated for CRIS in </w:t>
      </w:r>
      <w:ins w:id="120" w:author="Author" w:date="2019-10-25T15:40:00Z">
        <w:r>
          <w:t>a</w:t>
        </w:r>
      </w:ins>
      <w:del w:id="121" w:author="Author" w:date="2019-10-25T15:40:00Z">
        <w:r>
          <w:delText>the</w:delText>
        </w:r>
      </w:del>
      <w:r>
        <w:t xml:space="preserve"> later Class Year</w:t>
      </w:r>
      <w:ins w:id="122" w:author="Author" w:date="2019-10-25T15:40:00Z">
        <w:r>
          <w:t xml:space="preserve"> or Expedited Deliverability Study</w:t>
        </w:r>
      </w:ins>
      <w:r>
        <w:t>, the Developer may elect to accept either its SDU Project Cost Allocation or its Deliverable MW, or the Developer</w:t>
      </w:r>
      <w:r>
        <w:t xml:space="preserve"> may provide a Non-Acceptance Notice for both its SDU Project Cost Allocation and its Deliverable MW and continue its interconnection taking ERIS.  If the Developer does provide a Non-Acceptance Notice for both its SDU Project Cost Allocation and Deliverab</w:t>
      </w:r>
      <w:r>
        <w:t xml:space="preserve">le MW and continues taking ERIS, the Developer may later request to </w:t>
      </w:r>
      <w:del w:id="123" w:author="Author" w:date="2019-10-25T15:40:00Z">
        <w:r>
          <w:delText>be placed in the then</w:delText>
        </w:r>
      </w:del>
      <w:del w:id="124" w:author="Author" w:date="2019-10-25T15:41:00Z">
        <w:r>
          <w:delText xml:space="preserve"> Open</w:delText>
        </w:r>
      </w:del>
      <w:ins w:id="125" w:author="Author" w:date="2019-10-25T15:41:00Z">
        <w:r>
          <w:t>enter a</w:t>
        </w:r>
      </w:ins>
      <w:r>
        <w:t xml:space="preserve"> Class Year </w:t>
      </w:r>
      <w:ins w:id="126" w:author="Author" w:date="2019-10-25T15:41:00Z">
        <w:r>
          <w:t>Study or Expedited Deliverability Study, subject to the Class Year Study and Expedited Deliverability Study entry requirements set forth in Sec</w:t>
        </w:r>
        <w:r>
          <w:t xml:space="preserve">tion 25.5.9 of this Attachment S, </w:t>
        </w:r>
      </w:ins>
      <w:r>
        <w:t xml:space="preserve">and be evaluated again for CRIS.  If, however, a Developer provides a Non-Acceptance Notice or commits a Security Posting Default for its SUF Project Cost Allocation, that Class Year Project shall be removed from both the </w:t>
      </w:r>
      <w:r>
        <w:t>ATRA and, if applicable, the Class Year Deliverability Study, and that Developer’s Interconnection Request will be processed further in accordance with Section 25.6.2.3 above.</w:t>
      </w:r>
    </w:p>
    <w:p w:rsidR="000435C8" w:rsidRDefault="00396AFD">
      <w:pPr>
        <w:pStyle w:val="alphapara"/>
      </w:pPr>
      <w:r>
        <w:t>25.8.2.4</w:t>
      </w:r>
      <w:r>
        <w:tab/>
        <w:t>Whenever projects are removed from an Annual Transmission Reliability A</w:t>
      </w:r>
      <w:r>
        <w:t>ssessment</w:t>
      </w:r>
      <w:ins w:id="127" w:author="Author" w:date="2019-10-25T15:43:00Z">
        <w:r>
          <w:t xml:space="preserve">, </w:t>
        </w:r>
      </w:ins>
      <w:del w:id="128" w:author="Author" w:date="2019-10-25T15:43:00Z">
        <w:r>
          <w:delText xml:space="preserve"> and/or </w:delText>
        </w:r>
      </w:del>
      <w:r>
        <w:t xml:space="preserve">Class Year Deliverability Study, </w:t>
      </w:r>
      <w:ins w:id="129" w:author="Author" w:date="2019-10-28T14:26:00Z">
        <w:r>
          <w:t>Additional SDU Stud</w:t>
        </w:r>
      </w:ins>
      <w:ins w:id="130" w:author="Author" w:date="2019-10-28T14:27:00Z">
        <w:r>
          <w:t xml:space="preserve">y, or </w:t>
        </w:r>
      </w:ins>
      <w:ins w:id="131" w:author="Author" w:date="2019-10-25T15:43:00Z">
        <w:r>
          <w:t xml:space="preserve">Expedited Deliverability Study, </w:t>
        </w:r>
      </w:ins>
      <w:del w:id="132" w:author="Author" w:date="2019-08-07T16:39:00Z">
        <w:r>
          <w:delText>NY</w:delText>
        </w:r>
      </w:del>
      <w:r>
        <w:t>ISO staff will notify the</w:t>
      </w:r>
      <w:ins w:id="133" w:author="Author" w:date="2019-11-07T12:39:00Z">
        <w:r>
          <w:t xml:space="preserve"> </w:t>
        </w:r>
      </w:ins>
      <w:ins w:id="134" w:author="Author" w:date="2019-10-25T15:44:00Z">
        <w:r>
          <w:t xml:space="preserve">remaining </w:t>
        </w:r>
      </w:ins>
      <w:r>
        <w:t xml:space="preserve">Developers </w:t>
      </w:r>
      <w:del w:id="135" w:author="Author" w:date="2019-10-25T15:44:00Z">
        <w:r>
          <w:delText xml:space="preserve">of the remaining </w:delText>
        </w:r>
      </w:del>
      <w:del w:id="136" w:author="Author" w:date="2019-10-25T15:43:00Z">
        <w:r>
          <w:delText xml:space="preserve">Class Year Projects </w:delText>
        </w:r>
      </w:del>
      <w:r>
        <w:t>still included in the Annual Transmission Reliability Assessm</w:t>
      </w:r>
      <w:r>
        <w:t>ent</w:t>
      </w:r>
      <w:ins w:id="137" w:author="Author" w:date="2019-10-25T15:43:00Z">
        <w:r>
          <w:t xml:space="preserve">, </w:t>
        </w:r>
      </w:ins>
      <w:del w:id="138" w:author="Author" w:date="2019-10-25T15:43:00Z">
        <w:r>
          <w:delText xml:space="preserve"> and/or </w:delText>
        </w:r>
      </w:del>
      <w:r>
        <w:t>Class Year Deliverability Study</w:t>
      </w:r>
      <w:ins w:id="139" w:author="Author" w:date="2019-10-28T14:27:00Z">
        <w:r>
          <w:t>,</w:t>
        </w:r>
      </w:ins>
      <w:ins w:id="140" w:author="Author" w:date="2019-10-25T15:43:00Z">
        <w:r>
          <w:t xml:space="preserve"> </w:t>
        </w:r>
      </w:ins>
      <w:ins w:id="141" w:author="Author" w:date="2019-10-25T15:45:00Z">
        <w:r>
          <w:t>Additional SDU</w:t>
        </w:r>
      </w:ins>
      <w:ins w:id="142" w:author="Author" w:date="2019-10-25T15:43:00Z">
        <w:r>
          <w:t xml:space="preserve"> Study, </w:t>
        </w:r>
      </w:ins>
      <w:ins w:id="143" w:author="Author" w:date="2019-10-28T14:27:00Z">
        <w:r>
          <w:t xml:space="preserve">or Expedited Deliverability Study, </w:t>
        </w:r>
      </w:ins>
      <w:ins w:id="144" w:author="Author" w:date="2019-10-25T15:43:00Z">
        <w:r>
          <w:t>as applicable</w:t>
        </w:r>
      </w:ins>
      <w:r>
        <w:t>.</w:t>
      </w:r>
    </w:p>
    <w:p w:rsidR="000435C8" w:rsidRDefault="00396AFD">
      <w:pPr>
        <w:pStyle w:val="Heading3"/>
      </w:pPr>
      <w:bookmarkStart w:id="145" w:name="_Toc260339085"/>
      <w:bookmarkStart w:id="146" w:name="_Toc262653042"/>
      <w:r>
        <w:t>25.8.3</w:t>
      </w:r>
      <w:r>
        <w:tab/>
        <w:t xml:space="preserve">Revised Study Results </w:t>
      </w:r>
      <w:del w:id="147" w:author="Author" w:date="2019-08-08T15:08:00Z">
        <w:r>
          <w:delText>and Project Cost Allocations</w:delText>
        </w:r>
        <w:bookmarkEnd w:id="145"/>
        <w:bookmarkEnd w:id="146"/>
        <w:r>
          <w:delText xml:space="preserve"> for Class Years X-2 and Class Years Not Bifurcated Pursuant to Section 25.5.10</w:delText>
        </w:r>
      </w:del>
    </w:p>
    <w:p w:rsidR="000435C8" w:rsidRDefault="00396AFD">
      <w:pPr>
        <w:pStyle w:val="Bodypara"/>
      </w:pPr>
      <w:r>
        <w:t xml:space="preserve">Immediately following receipt of Non-Acceptance Notices for any SDU Project Cost Allocations or SUF Project Cost Allocations or Deliverable MW, or upon the occurrence of a Security Posting Default, the </w:t>
      </w:r>
      <w:del w:id="148" w:author="Author" w:date="2019-08-07T16:40:00Z">
        <w:r>
          <w:delText>NY</w:delText>
        </w:r>
      </w:del>
      <w:r>
        <w:t>ISO shall update the Class Year</w:t>
      </w:r>
      <w:del w:id="149" w:author="Author" w:date="2019-08-02T17:42:00Z">
        <w:r>
          <w:delText xml:space="preserve"> </w:delText>
        </w:r>
        <w:r>
          <w:rPr>
            <w:bCs/>
          </w:rPr>
          <w:delText>Interconnection Faci</w:delText>
        </w:r>
        <w:r>
          <w:rPr>
            <w:bCs/>
          </w:rPr>
          <w:delText>lities</w:delText>
        </w:r>
      </w:del>
      <w:r>
        <w:t xml:space="preserve"> Study results </w:t>
      </w:r>
      <w:ins w:id="150" w:author="Author" w:date="2019-10-25T15:45:00Z">
        <w:r>
          <w:t xml:space="preserve">or Additional SDU study results </w:t>
        </w:r>
      </w:ins>
      <w:r>
        <w:t xml:space="preserve">for those remaining </w:t>
      </w:r>
      <w:del w:id="151" w:author="Author" w:date="2019-10-25T15:46:00Z">
        <w:r>
          <w:delText>Class year Projects</w:delText>
        </w:r>
      </w:del>
      <w:ins w:id="152" w:author="Author" w:date="2019-10-25T15:46:00Z">
        <w:r>
          <w:t>Developers</w:t>
        </w:r>
      </w:ins>
      <w:r>
        <w:t xml:space="preserve"> that continue to be included in the then-current Annual Transmission Reliability Assessment</w:t>
      </w:r>
      <w:ins w:id="153" w:author="Author" w:date="2019-10-25T15:46:00Z">
        <w:r>
          <w:t>,</w:t>
        </w:r>
      </w:ins>
      <w:del w:id="154" w:author="Author" w:date="2019-10-25T15:46:00Z">
        <w:r>
          <w:delText xml:space="preserve"> and</w:delText>
        </w:r>
      </w:del>
      <w:r>
        <w:t xml:space="preserve"> Class Year Deliverability Study</w:t>
      </w:r>
      <w:ins w:id="155" w:author="Author" w:date="2019-10-25T15:46:00Z">
        <w:r>
          <w:t>, or Additional SDU Study</w:t>
        </w:r>
        <w:r>
          <w:t>, as applicable,</w:t>
        </w:r>
      </w:ins>
      <w:r>
        <w:t xml:space="preserve"> to reflect the impact of  Non</w:t>
      </w:r>
      <w:del w:id="156" w:author="Author" w:date="2019-10-28T14:28:00Z">
        <w:r>
          <w:delText xml:space="preserve"> a</w:delText>
        </w:r>
      </w:del>
      <w:ins w:id="157" w:author="Author" w:date="2019-10-28T14:28:00Z">
        <w:r>
          <w:t>-A</w:t>
        </w:r>
      </w:ins>
      <w:ins w:id="158" w:author="Author" w:date="2019-11-07T12:39:00Z">
        <w:r>
          <w:t>cceptance</w:t>
        </w:r>
      </w:ins>
      <w:del w:id="159" w:author="Author" w:date="2019-11-07T12:39:00Z">
        <w:r>
          <w:delText>acceptance</w:delText>
        </w:r>
      </w:del>
      <w:r>
        <w:t xml:space="preserve"> Notices and any Security posting Default. The updated Class Year </w:t>
      </w:r>
      <w:del w:id="160" w:author="Author" w:date="2019-08-02T17:42:00Z">
        <w:r>
          <w:delText>Interconnection Facilities</w:delText>
        </w:r>
      </w:del>
      <w:ins w:id="161" w:author="Author" w:date="2019-11-07T12:39:00Z">
        <w:r>
          <w:t xml:space="preserve"> </w:t>
        </w:r>
      </w:ins>
      <w:r>
        <w:t xml:space="preserve">Study </w:t>
      </w:r>
      <w:ins w:id="162" w:author="Author" w:date="2019-10-25T15:46:00Z">
        <w:r>
          <w:t>or Additional SDU Study, as applicable,</w:t>
        </w:r>
      </w:ins>
      <w:r>
        <w:t xml:space="preserve"> shall include updated SUF Project Cost Allocatio</w:t>
      </w:r>
      <w:r>
        <w:t xml:space="preserve">ns and updated SDU Project Cost Allocations (each a “Revised Project Cost Allocation”) together with a revised Deliverable MW report. The updated </w:t>
      </w:r>
      <w:del w:id="163" w:author="Author" w:date="2019-08-02T17:42:00Z">
        <w:r>
          <w:delText>Class Year Interconnection Facilities</w:delText>
        </w:r>
      </w:del>
      <w:ins w:id="164" w:author="Author" w:date="2019-08-02T17:42:00Z">
        <w:r>
          <w:t>Class Year</w:t>
        </w:r>
      </w:ins>
      <w:r>
        <w:t xml:space="preserve"> Study shall be issued as soon as practicable, but in no event </w:t>
      </w:r>
      <w:r>
        <w:t xml:space="preserve">later than 14 calendar days following the occurrence of the Non-Acceptance Event or the Security Posting Default that necessitated development of the Revised Project Cost Allocations and revised Deliverable MW report.  The </w:t>
      </w:r>
      <w:del w:id="165" w:author="Author" w:date="2019-08-07T16:40:00Z">
        <w:r>
          <w:delText>NY</w:delText>
        </w:r>
      </w:del>
      <w:r>
        <w:t>ISO shall also provide the addi</w:t>
      </w:r>
      <w:r>
        <w:t xml:space="preserve">tional dollar figures relating to total cost </w:t>
      </w:r>
      <w:del w:id="166" w:author="Author" w:date="2019-10-25T15:47:00Z">
        <w:r>
          <w:delText>and Class Year projects</w:delText>
        </w:r>
      </w:del>
      <w:ins w:id="167" w:author="Author" w:date="2019-10-25T15:48:00Z">
        <w:r>
          <w:t>for Developers in the Class Year Study or Additional SDU Study, as applicable</w:t>
        </w:r>
      </w:ins>
      <w:r>
        <w:t>, and the related information, described in Section 25.8.1, above.  Following the issuance of the revised Annua</w:t>
      </w:r>
      <w:r>
        <w:t>l Transmission Reliability Assessment</w:t>
      </w:r>
      <w:ins w:id="168" w:author="Author" w:date="2019-10-25T15:48:00Z">
        <w:r>
          <w:t xml:space="preserve">, </w:t>
        </w:r>
      </w:ins>
      <w:del w:id="169" w:author="Author" w:date="2019-10-25T15:48:00Z">
        <w:r>
          <w:delText xml:space="preserve"> and </w:delText>
        </w:r>
      </w:del>
      <w:r>
        <w:t>Class Year Deliverability Study</w:t>
      </w:r>
      <w:ins w:id="170" w:author="Author" w:date="2019-11-07T12:39:00Z">
        <w:r>
          <w:t xml:space="preserve">, </w:t>
        </w:r>
      </w:ins>
      <w:ins w:id="171" w:author="Author" w:date="2019-10-25T15:48:00Z">
        <w:r>
          <w:t xml:space="preserve">or Additional SDU Study, as applicable, </w:t>
        </w:r>
      </w:ins>
      <w:r>
        <w:t>and the issuance of Revised Project Cost Allocations and the revised Deliverable MW</w:t>
      </w:r>
      <w:del w:id="172" w:author="Author" w:date="2019-10-25T15:49:00Z">
        <w:r>
          <w:delText xml:space="preserve"> report</w:delText>
        </w:r>
      </w:del>
      <w:r>
        <w:t>, each remaining Developer shall provide notice t</w:t>
      </w:r>
      <w:r>
        <w:t xml:space="preserve">o the </w:t>
      </w:r>
      <w:del w:id="173" w:author="Author" w:date="2019-08-07T16:40:00Z">
        <w:r>
          <w:delText>NY</w:delText>
        </w:r>
      </w:del>
      <w:r>
        <w:t>ISO within 7 calendar days whether it will accept its respective Revised Project Cost Allocation and revised Deliverable MW.</w:t>
      </w:r>
    </w:p>
    <w:p w:rsidR="000435C8" w:rsidRDefault="00396AFD">
      <w:pPr>
        <w:pStyle w:val="Heading3"/>
      </w:pPr>
      <w:bookmarkStart w:id="174" w:name="_Toc260339086"/>
      <w:bookmarkStart w:id="175" w:name="_Toc262653043"/>
      <w:r>
        <w:t>25.8.4</w:t>
      </w:r>
      <w:r>
        <w:tab/>
        <w:t xml:space="preserve">Completion of </w:t>
      </w:r>
      <w:ins w:id="176" w:author="Author" w:date="2019-08-08T15:09:00Z">
        <w:r>
          <w:t xml:space="preserve">Class Year </w:t>
        </w:r>
      </w:ins>
      <w:r>
        <w:t>Decision Process</w:t>
      </w:r>
      <w:bookmarkEnd w:id="174"/>
      <w:bookmarkEnd w:id="175"/>
      <w:del w:id="177" w:author="Author" w:date="2019-08-08T15:09:00Z">
        <w:r>
          <w:delText xml:space="preserve"> for Class Years X-2 and Class Years Not Bifurcated Pursuant to Section 25.5.10</w:delText>
        </w:r>
      </w:del>
    </w:p>
    <w:p w:rsidR="000435C8" w:rsidRDefault="00396AFD">
      <w:pPr>
        <w:pStyle w:val="Bodypara"/>
      </w:pPr>
      <w:r>
        <w:t xml:space="preserve">The process set forth in Sections 25.8.2 through 25.8.3 shall be repeated until </w:t>
      </w:r>
      <w:del w:id="178" w:author="Author" w:date="2019-12-17T15:58:00Z">
        <w:r>
          <w:delText xml:space="preserve">either (a) </w:delText>
        </w:r>
      </w:del>
      <w:r>
        <w:t xml:space="preserve">none of the remaining eligible Developers in the Class Year </w:t>
      </w:r>
      <w:ins w:id="179" w:author="Author" w:date="2019-10-25T15:49:00Z">
        <w:r>
          <w:t>Study or Additional SDU S</w:t>
        </w:r>
        <w:r>
          <w:t xml:space="preserve">tudy, as applicable, </w:t>
        </w:r>
      </w:ins>
      <w:r>
        <w:t>provides a Non-Acceptance Notice or commits a Security Posting Default</w:t>
      </w:r>
      <w:del w:id="180" w:author="Author" w:date="2019-10-25T15:50:00Z">
        <w:r>
          <w:delText>, or (b) all Developers have dropped out of the Class Year</w:delText>
        </w:r>
      </w:del>
      <w:r>
        <w:t xml:space="preserve">.  </w:t>
      </w:r>
    </w:p>
    <w:p w:rsidR="000435C8" w:rsidRDefault="00396AFD">
      <w:pPr>
        <w:pStyle w:val="Heading3"/>
      </w:pPr>
      <w:bookmarkStart w:id="181" w:name="_Toc260339087"/>
      <w:bookmarkStart w:id="182" w:name="_Toc262653044"/>
      <w:r>
        <w:t>25.8.5</w:t>
      </w:r>
      <w:r>
        <w:tab/>
        <w:t>Forfeiture of Security</w:t>
      </w:r>
      <w:bookmarkEnd w:id="181"/>
      <w:bookmarkEnd w:id="182"/>
    </w:p>
    <w:p w:rsidR="000435C8" w:rsidRDefault="00396AFD">
      <w:pPr>
        <w:pStyle w:val="Bodypara"/>
      </w:pPr>
      <w:r>
        <w:t>With the exception of the requirement that cash and Security shall be sur</w:t>
      </w:r>
      <w:r>
        <w:t>rendered back to the issuing Developer in connection with another Developer’s Security Posting Default, once a Developer has accepted the Project Cost Allocation(s) or Revised Project Cost Allocation(s) appropriate for its Interconnection Service election,</w:t>
      </w:r>
      <w:r>
        <w:t xml:space="preserve"> as the case may be, and paid cash and posted Security or posted Security for that amount, such cash payment and Security shall be irrevocable and shall be subject to forfeiture as provided herein in the event that the Developer that paid cash and posted S</w:t>
      </w:r>
      <w:r>
        <w:t>ecurity or posted the Security subsequently terminates or abandons development of its project. Any cash and Security previously posted on a terminated interconnection project will be subject to forfeiture to the extent necessary to defray the cost of the S</w:t>
      </w:r>
      <w:r>
        <w:t xml:space="preserve">ystem Upgrade Facilities and System Deliverability Upgrades required for the projects </w:t>
      </w:r>
      <w:del w:id="183" w:author="Author" w:date="2019-10-25T15:50:00Z">
        <w:r>
          <w:delText xml:space="preserve">still </w:delText>
        </w:r>
      </w:del>
      <w:r>
        <w:t>included in the Annual Transmission Reliability Assessment</w:t>
      </w:r>
      <w:ins w:id="184" w:author="Author" w:date="2019-10-25T15:51:00Z">
        <w:r>
          <w:t>,</w:t>
        </w:r>
      </w:ins>
      <w:r>
        <w:t xml:space="preserve"> </w:t>
      </w:r>
      <w:del w:id="185" w:author="Author" w:date="2019-10-25T15:51:00Z">
        <w:r>
          <w:delText xml:space="preserve">and </w:delText>
        </w:r>
      </w:del>
      <w:r>
        <w:t>Class Year Deliverability Study</w:t>
      </w:r>
      <w:ins w:id="186" w:author="Author" w:date="2019-10-25T15:51:00Z">
        <w:r>
          <w:t>, or Additional SDU Study, as applicable</w:t>
        </w:r>
      </w:ins>
      <w:r>
        <w:t>, but only as described below</w:t>
      </w:r>
      <w:r>
        <w:t>.  Security for System Upgrade Facilities constructed by the Developer (</w:t>
      </w:r>
      <w:r>
        <w:rPr>
          <w:i/>
        </w:rPr>
        <w:t>i.e.</w:t>
      </w:r>
      <w:r>
        <w:t>, for which the Developer elects the option to build), shall be reduced after discrete portions of the System Upgrade Facilities have been completed, such reductions to be based on</w:t>
      </w:r>
      <w:r>
        <w:t xml:space="preserve"> cost estimates from the Class Year </w:t>
      </w:r>
      <w:del w:id="187" w:author="Author" w:date="2019-08-02T17:42:00Z">
        <w:r>
          <w:delText>Interconnection Facilities</w:delText>
        </w:r>
      </w:del>
      <w:del w:id="188" w:author="Author" w:date="2019-11-07T17:05:00Z">
        <w:r>
          <w:delText xml:space="preserve"> </w:delText>
        </w:r>
      </w:del>
      <w:r>
        <w:t>Study, subject to review by the Connecting Transmission Owner or Affected Transmission Owner with which Security is posted, and subject to transfer of ownership to the Connecting Transmission O</w:t>
      </w:r>
      <w:r>
        <w:t>wner or Affected Transmission Owner, as applicable of all subject property, free and clear of any liens, as well as transfer of title and any transferable equipment warranties reasonably acceptable to the Connecting Transmission Owner or Affected Transmiss</w:t>
      </w:r>
      <w:r>
        <w:t xml:space="preserve">ion Owner with which Security is posted.  For System Upgrade Facilities constructed by the Connecting Transmission Owner or Affected Transmission Owner, Security shall be reduced after discrete portions of the System Upgrade Facilities have been completed </w:t>
      </w:r>
      <w:r>
        <w:t>by the Transmission Owner and paid for by the Developer, on a dollar-for-dollar basis for payments made to the Connecting Transmission Owner or Affected Transmission Owner pursuant to an E&amp;P Agreement or Interconnection Agreement, subject to the Connecting</w:t>
      </w:r>
      <w:r>
        <w:t xml:space="preserve"> Transmission Owner’s or Affected Transmission Owner’s review and approval.</w:t>
      </w:r>
    </w:p>
    <w:p w:rsidR="000435C8" w:rsidRDefault="00396AFD">
      <w:pPr>
        <w:pStyle w:val="Heading3"/>
      </w:pPr>
      <w:bookmarkStart w:id="189" w:name="_Toc260339088"/>
      <w:bookmarkStart w:id="190" w:name="_Toc262653045"/>
      <w:r>
        <w:t>25.8.6</w:t>
      </w:r>
      <w:r>
        <w:tab/>
        <w:t>Developer’s Future Cost Responsibility</w:t>
      </w:r>
      <w:bookmarkEnd w:id="189"/>
      <w:bookmarkEnd w:id="190"/>
    </w:p>
    <w:p w:rsidR="000435C8" w:rsidRDefault="00396AFD">
      <w:pPr>
        <w:pStyle w:val="Bodypara"/>
      </w:pPr>
      <w:r>
        <w:t xml:space="preserve">Once a Developer has accepted a Project Cost Allocation or Revised Project Cost Allocation, as the case may be, in the Final Decision </w:t>
      </w:r>
      <w:r>
        <w:t>Round and paid cash and posted Security or posted Security for that amount, then the accepted figure caps the Developer’s maximum potential responsibility for the cost of System Upgrade Facilities and System Deliverability Upgrades required for its project</w:t>
      </w:r>
      <w:r>
        <w:t>, except as discussed below.</w:t>
      </w:r>
    </w:p>
    <w:p w:rsidR="000435C8" w:rsidRDefault="00396AFD">
      <w:pPr>
        <w:pStyle w:val="alphapara"/>
      </w:pPr>
      <w:r>
        <w:t>25.8.6.1</w:t>
      </w:r>
      <w:r>
        <w:tab/>
        <w:t>If the portion of the Highway System Deliverability Upgrades required to make the Developer’s generator or Class Year Transmission Project deliverable is less than 90% of the total size of the Highway System Deliverabi</w:t>
      </w:r>
      <w:r>
        <w:t>lity Upgrade identified for the Developer’s project, and the Developer elects to commit to pay for its proportionate share of the Highway System Deliverability Upgrade by posting Security instead of paying cash, then the Developer’s allocated cost of the H</w:t>
      </w:r>
      <w:r>
        <w:t>ighway System Deliverability Upgrade will be increased during the period of construction deferral by application of a construction inflation adjustment, as discussed in Section 25.7.12.2 of these rules.  When deferred construction of the Highway System Del</w:t>
      </w:r>
      <w:r>
        <w:t>iverability Upgrade commences, the Developer will be responsible for actual costs in excess of the secured amount only when the excess results from changes to the operating characteristics of the Developer’s project.  If the portion of the System Deliverab</w:t>
      </w:r>
      <w:r>
        <w:t>ility Upgrades for a Highway System Deliverability Upgrade required to make one or more generators or Class Year Transmission Projects in a Class Year deliverable is ninety percent (90%) or more of the total size (measured in MW) of the System Deliverabili</w:t>
      </w:r>
      <w:r>
        <w:t>ty Upgrades, construction is not deferred, and those Developers will be responsible for actual costs in excess of the secured amount in accordance with the rules in Sections 25.8.6.2-25.8.6.4 of this Attachment S.</w:t>
      </w:r>
    </w:p>
    <w:p w:rsidR="000435C8" w:rsidRDefault="00396AFD">
      <w:pPr>
        <w:pStyle w:val="alphapara"/>
      </w:pPr>
      <w:r>
        <w:t>25.8.6.2</w:t>
      </w:r>
      <w:r>
        <w:tab/>
        <w:t>If the actual cost of the Develop</w:t>
      </w:r>
      <w:r>
        <w:t>er’s share of required System Upgrade Facilities or System Deliverability Upgrades is less than the agreed-to and secured amount, the Developer is responsible only for the actual cost figure.</w:t>
      </w:r>
    </w:p>
    <w:p w:rsidR="000435C8" w:rsidRDefault="00396AFD">
      <w:pPr>
        <w:pStyle w:val="alphapara"/>
      </w:pPr>
      <w:r>
        <w:t>25.8.6.3</w:t>
      </w:r>
      <w:r>
        <w:tab/>
        <w:t>If the actual cost of the Developer’s share of required</w:t>
      </w:r>
      <w:r>
        <w:t xml:space="preserve"> System Upgrade Facilities or System Deliverability Upgrades would be greater than the agreed-to and secured amount because other projects have been expanded, accelerated, otherwise modified or terminated, including transmission projects evaluated pursuant</w:t>
      </w:r>
      <w:r>
        <w:t xml:space="preserve"> to Attachment P to the OATT and their required upgrades, as identified pursuant to Attachment P to the OATT, then the Developer is responsible only for the agreed-to and secured amount for its project.  The additional cost is covered by the Developers of </w:t>
      </w:r>
      <w:r>
        <w:t>the modified projects, in accordance with these cost allocation rules, or by the drawing on the cash that has been paid and the Security that has been posted for terminated projects, depending on the factors that caused the additional cost.  Forfeitable ca</w:t>
      </w:r>
      <w:r>
        <w:t>sh and Security will be drawn on only as needed for this purpose, and only to the extent that the terminated project associated with that Security has caused additional cost.</w:t>
      </w:r>
    </w:p>
    <w:p w:rsidR="000435C8" w:rsidRDefault="00396AFD">
      <w:pPr>
        <w:pStyle w:val="alphapara"/>
      </w:pPr>
      <w:r>
        <w:t>25.8.6.4</w:t>
      </w:r>
      <w:r>
        <w:tab/>
        <w:t>If the actual cost of the Developer’s share of required System Upgrade F</w:t>
      </w:r>
      <w:r>
        <w:t>acilities or System Deliverability Upgrades is greater than the agreed-to and secured amount because of circumstances that are not within the control of the Connecting Transmission Owner or Affected Transmission Owner(s) (such as, for example:  (i) changes</w:t>
      </w:r>
      <w:r>
        <w:t xml:space="preserve"> to the design or operating characteristics of the </w:t>
      </w:r>
      <w:del w:id="191" w:author="Author" w:date="2019-10-25T15:52:00Z">
        <w:r>
          <w:delText>Class Year Project</w:delText>
        </w:r>
      </w:del>
      <w:ins w:id="192" w:author="Author" w:date="2019-10-25T15:52:00Z">
        <w:r>
          <w:t>project</w:t>
        </w:r>
      </w:ins>
      <w:r>
        <w:t xml:space="preserve"> that impact the scope or cost of related System Upgrade Facilities or System Deliverability Upgrades; (ii) any costs that were not within the scope of the </w:t>
      </w:r>
      <w:del w:id="193" w:author="Author" w:date="2019-08-02T17:42:00Z">
        <w:r>
          <w:delText>Class Year Interconnecti</w:delText>
        </w:r>
        <w:r>
          <w:delText>on Facilities</w:delText>
        </w:r>
      </w:del>
      <w:ins w:id="194" w:author="Author" w:date="2019-08-02T17:42:00Z">
        <w:r>
          <w:t>Class Year</w:t>
        </w:r>
      </w:ins>
      <w:ins w:id="195" w:author="Author" w:date="2019-11-07T12:39:00Z">
        <w:r>
          <w:t xml:space="preserve"> Study </w:t>
        </w:r>
      </w:ins>
      <w:ins w:id="196" w:author="Author" w:date="2019-10-25T15:52:00Z">
        <w:r>
          <w:t>or Additional SDU Study, as applicable,</w:t>
        </w:r>
      </w:ins>
      <w:del w:id="197" w:author="Author" w:date="2019-11-07T12:39:00Z">
        <w:r>
          <w:delText xml:space="preserve"> Study</w:delText>
        </w:r>
      </w:del>
      <w:ins w:id="198" w:author="Author" w:date="2019-10-25T15:52:00Z">
        <w:r>
          <w:t xml:space="preserve"> </w:t>
        </w:r>
      </w:ins>
      <w:r>
        <w:t>that subsequently become known as part of the final construction design, including costs related to detailed design studies such as electro-magnetic transient analyses and subsynch</w:t>
      </w:r>
      <w:r>
        <w:t xml:space="preserve">ronous resonance analyses; or (iii) cost escalation of materials or labor, or changes in the commercial availability of physical components required for construction), the cost cap shall be adjusted by any such amount and the Developer or the Load Serving </w:t>
      </w:r>
      <w:r>
        <w:t xml:space="preserve">Entity will pay the additional costs to the Connecting Transmission Owner or Affected Transmission Owner(s) as such costs are incurred by each of them.  However, to the extent that some or all of the excess cost is due to factors within the control of the </w:t>
      </w:r>
      <w:r>
        <w:t>Connecting Transmission Owner or the Affected Transmission Owner(s) (such as, for example, additional construction man-hours due to Connecting Transmission Owner or the Affected Transmission Owner(s) management, or correcting equipment scope deficiencies d</w:t>
      </w:r>
      <w:r>
        <w:t>ue to Connecting Transmission Owner or the Affected Transmission Owner(s) oversights), then that portion of the excess cost will be borne by the Connecting Transmission Owner or the Affected Transmission Owner(s).  Disputes between the Developer and the Co</w:t>
      </w:r>
      <w:r>
        <w:t>nnecting Transmission Owner concerning costs in excess of the agreed-to and secured amount will be resolved by the parties in accordance with the terms and conditions of their interconnection agreement.  Disputes between the Developer and an Affected Trans</w:t>
      </w:r>
      <w:r>
        <w:t>mission Owner will be resolved in accordance with Section 30.13.5 of the LFIP, or Section 32.4.2 of Attachment Z, as applicable.</w:t>
      </w:r>
    </w:p>
    <w:p w:rsidR="000435C8" w:rsidRDefault="00396AFD">
      <w:pPr>
        <w:pStyle w:val="Heading3"/>
      </w:pPr>
      <w:bookmarkStart w:id="199" w:name="_Toc260339089"/>
      <w:bookmarkStart w:id="200" w:name="_Toc262653046"/>
      <w:r>
        <w:t>25.8.7</w:t>
      </w:r>
      <w:r>
        <w:tab/>
        <w:t>Headroom Accounting</w:t>
      </w:r>
      <w:bookmarkEnd w:id="199"/>
      <w:bookmarkEnd w:id="200"/>
    </w:p>
    <w:p w:rsidR="000435C8" w:rsidRDefault="00396AFD">
      <w:pPr>
        <w:pStyle w:val="Bodypara"/>
      </w:pPr>
      <w:r>
        <w:t>If, pursuant to these rules, a Developer, Connecting Transmission Owner, Affected Transmission Owner</w:t>
      </w:r>
      <w:r>
        <w:t xml:space="preserve"> or Load Serving Entity (each an “Entity”) pays for any System Upgrade Facilities or System Deliverability Upgrades, or for any Attachment Facilities or Distribution Upgrades that are later determined to be System Upgrade Facilities or System Deliverabilit</w:t>
      </w:r>
      <w:r>
        <w:t>y Upgrades, that create “Headroom”, and pays for the Headroom that is created,  then that Entity will be paid the depreciated cost of that Headroom by the Developer of any subsequent project that interconnects and uses the Headroom within the applicable pe</w:t>
      </w:r>
      <w:r>
        <w:t xml:space="preserve">riod of time following the creation of the Headroom, as specified in Section 25.8.7.4.3 herein.  The </w:t>
      </w:r>
      <w:del w:id="201" w:author="Author" w:date="2019-08-07T16:40:00Z">
        <w:r>
          <w:delText>NY</w:delText>
        </w:r>
      </w:del>
      <w:r>
        <w:t xml:space="preserve">ISO will depreciate Headroom cost in accordance with Section 25.8.7.3 herein.  </w:t>
      </w:r>
    </w:p>
    <w:p w:rsidR="000435C8" w:rsidRDefault="00396AFD">
      <w:pPr>
        <w:pStyle w:val="alphapara"/>
      </w:pPr>
      <w:r>
        <w:t>25.8.7.1</w:t>
      </w:r>
      <w:r>
        <w:tab/>
        <w:t>Developers of terminated projects who have paid for Headroom wit</w:t>
      </w:r>
      <w:r>
        <w:t>h forfeited cash or Security instruments, as well as Developers of completed projects who have paid for Headroom, will be repaid in accordance with these rules.</w:t>
      </w:r>
    </w:p>
    <w:p w:rsidR="000435C8" w:rsidRDefault="00396AFD">
      <w:pPr>
        <w:pStyle w:val="alphapara"/>
      </w:pPr>
      <w:r>
        <w:t>25.8.7.2</w:t>
      </w:r>
      <w:r>
        <w:tab/>
        <w:t>The Developer of the subsequent project shall pay the prior Entity as soon as the cost</w:t>
      </w:r>
      <w:r>
        <w:t xml:space="preserve"> responsibilities of the subsequent Developer are determined in accordance with these rules.  In the case of Headroom created by Load Serving Entity funding Highway System Deliverability Upgrades pursuant to Schedule 12 of the </w:t>
      </w:r>
      <w:del w:id="202" w:author="Author" w:date="2019-08-07T16:40:00Z">
        <w:r>
          <w:delText>NY</w:delText>
        </w:r>
      </w:del>
      <w:r>
        <w:t xml:space="preserve">ISO OATT, the Developer of </w:t>
      </w:r>
      <w:r>
        <w:t xml:space="preserve">the subsequent project shall pay the Connecting Transmission Owner, and any Affected Transmission Owner(s), that are receiving or will receive Load Serving Entity funding for the Highway System Deliverability Upgrades pursuant to Schedule 12 of the </w:t>
      </w:r>
      <w:del w:id="203" w:author="Author" w:date="2019-08-07T16:40:00Z">
        <w:r>
          <w:delText>NY</w:delText>
        </w:r>
      </w:del>
      <w:r>
        <w:t>ISO O</w:t>
      </w:r>
      <w:r>
        <w:t xml:space="preserve">ATT.  Upon receipt of the Developer Headroom payment, the Connecting Transmission Owner and any Affected Transmission Owner(s), will make the rate adjustment(s) called for by Section 6.12.4.1.3 of Schedule 12 of the </w:t>
      </w:r>
      <w:del w:id="204" w:author="Author" w:date="2019-08-07T16:40:00Z">
        <w:r>
          <w:delText>NY</w:delText>
        </w:r>
      </w:del>
      <w:r>
        <w:t xml:space="preserve">ISO OATT. </w:t>
      </w:r>
    </w:p>
    <w:p w:rsidR="000435C8" w:rsidRDefault="00396AFD">
      <w:pPr>
        <w:pStyle w:val="alphapara"/>
      </w:pPr>
      <w:r>
        <w:t>25.8.7.3</w:t>
      </w:r>
      <w:r>
        <w:tab/>
        <w:t xml:space="preserve">The </w:t>
      </w:r>
      <w:del w:id="205" w:author="Author" w:date="2019-08-07T16:40:00Z">
        <w:r>
          <w:delText>NY</w:delText>
        </w:r>
      </w:del>
      <w:r>
        <w:t xml:space="preserve">ISO will </w:t>
      </w:r>
      <w:r>
        <w:t>determine the depreciated cost of the System Upgrade Facilities and/or System Deliverability Upgrades associated with the Entity -created Headroom using one of the following two methods:</w:t>
      </w:r>
    </w:p>
    <w:p w:rsidR="000435C8" w:rsidRDefault="00396AFD">
      <w:pPr>
        <w:pStyle w:val="alphapara"/>
      </w:pPr>
      <w:bookmarkStart w:id="206" w:name="_Toc260339090"/>
      <w:r>
        <w:t>25.8.7.3.1</w:t>
      </w:r>
      <w:r>
        <w:tab/>
        <w:t>In all cases except the case of Highway System Deliverabil</w:t>
      </w:r>
      <w:r>
        <w:t xml:space="preserve">ity Upgrades funded by Load Serving Entities pursuant to Schedule 12 of the </w:t>
      </w:r>
      <w:del w:id="207" w:author="Author" w:date="2019-08-07T16:40:00Z">
        <w:r>
          <w:delText>NY</w:delText>
        </w:r>
      </w:del>
      <w:r>
        <w:t xml:space="preserve">ISO OATT, the </w:t>
      </w:r>
      <w:del w:id="208" w:author="Author" w:date="2019-08-07T16:40:00Z">
        <w:r>
          <w:delText>NY</w:delText>
        </w:r>
      </w:del>
      <w:r>
        <w:t>ISO will use the FERC-approved depreciation schedule applied to comparable facilities by the Connecting Transmission Owner or the applicable Affected Transmission</w:t>
      </w:r>
      <w:r>
        <w:t xml:space="preserve"> Owner.  The </w:t>
      </w:r>
      <w:del w:id="209" w:author="Author" w:date="2019-08-07T16:40:00Z">
        <w:r>
          <w:delText>NY</w:delText>
        </w:r>
      </w:del>
      <w:r>
        <w:t>ISO will depreciate the Headroom cost annually, starting with the year when the Headroom account is first established.</w:t>
      </w:r>
      <w:bookmarkEnd w:id="206"/>
    </w:p>
    <w:p w:rsidR="000435C8" w:rsidRDefault="00396AFD">
      <w:pPr>
        <w:pStyle w:val="alphapara"/>
      </w:pPr>
      <w:bookmarkStart w:id="210" w:name="_Toc260339091"/>
      <w:r>
        <w:t>25.8.7.3.2</w:t>
      </w:r>
      <w:r>
        <w:tab/>
        <w:t>In the case of Highway System Deliverability Upgrades funded by Load Serving Entities pursuant to Schedule 12 o</w:t>
      </w:r>
      <w:r>
        <w:t xml:space="preserve">f the </w:t>
      </w:r>
      <w:del w:id="211" w:author="Author" w:date="2019-08-07T16:40:00Z">
        <w:r>
          <w:delText>NY</w:delText>
        </w:r>
      </w:del>
      <w:r>
        <w:t xml:space="preserve">ISO OATT, the </w:t>
      </w:r>
      <w:del w:id="212" w:author="Author" w:date="2019-08-07T16:40:00Z">
        <w:r>
          <w:delText>NY</w:delText>
        </w:r>
      </w:del>
      <w:r>
        <w:t xml:space="preserve">ISO will use the FERC-approved depreciation schedule applied to the particular Highway System Deliverability Upgrades by the Connecting Transmission Owner or the applicable Affected Transmission Owner pursuant to Schedule 12 of the </w:t>
      </w:r>
      <w:del w:id="213" w:author="Author" w:date="2019-08-07T16:40:00Z">
        <w:r>
          <w:delText>NY</w:delText>
        </w:r>
      </w:del>
      <w:r>
        <w:t xml:space="preserve">ISO OATT.  The </w:t>
      </w:r>
      <w:del w:id="214" w:author="Author" w:date="2019-08-07T16:41:00Z">
        <w:r>
          <w:delText>NY</w:delText>
        </w:r>
      </w:del>
      <w:r>
        <w:t>ISO will depreciate the Headroom cost annually, starting with the year the Highway System Deliverability Upgrade is placed in service.  If a Class Year</w:t>
      </w:r>
      <w:bookmarkEnd w:id="210"/>
      <w:r>
        <w:t xml:space="preserve"> </w:t>
      </w:r>
      <w:bookmarkStart w:id="215" w:name="_Toc260339092"/>
      <w:r>
        <w:t xml:space="preserve">Deliverability Study </w:t>
      </w:r>
      <w:ins w:id="216" w:author="Author" w:date="2019-10-25T15:53:00Z">
        <w:r>
          <w:t xml:space="preserve">or Additional SDU Study </w:t>
        </w:r>
      </w:ins>
      <w:r>
        <w:t xml:space="preserve">determines that a </w:t>
      </w:r>
      <w:del w:id="217" w:author="Author" w:date="2019-10-25T15:53:00Z">
        <w:r>
          <w:delText>Class Year project</w:delText>
        </w:r>
      </w:del>
      <w:ins w:id="218" w:author="Author" w:date="2019-10-25T15:53:00Z">
        <w:r>
          <w:t>Deve</w:t>
        </w:r>
        <w:r>
          <w:t>loper in such study</w:t>
        </w:r>
      </w:ins>
      <w:r>
        <w:t xml:space="preserve"> uses Headroom on such a Highway System Deliverability Upgrade before the Highway System Deliverability Upgrade has been placed in service, the </w:t>
      </w:r>
      <w:del w:id="219" w:author="Author" w:date="2019-08-07T16:41:00Z">
        <w:r>
          <w:delText>NY</w:delText>
        </w:r>
      </w:del>
      <w:r>
        <w:t xml:space="preserve">ISO will calculate the Headroom use payment obligation of the </w:t>
      </w:r>
      <w:del w:id="220" w:author="Author" w:date="2019-10-25T15:54:00Z">
        <w:r>
          <w:delText>Class Year project</w:delText>
        </w:r>
      </w:del>
      <w:ins w:id="221" w:author="Author" w:date="2019-10-25T15:54:00Z">
        <w:r>
          <w:t>Developer</w:t>
        </w:r>
      </w:ins>
      <w:r>
        <w:t xml:space="preserve"> u</w:t>
      </w:r>
      <w:r>
        <w:t>sing the undepreciated cost of the Headroom.</w:t>
      </w:r>
      <w:bookmarkEnd w:id="215"/>
    </w:p>
    <w:p w:rsidR="000435C8" w:rsidRDefault="00396AFD">
      <w:pPr>
        <w:pStyle w:val="alphapara"/>
      </w:pPr>
      <w:r>
        <w:t>25.8.7.4</w:t>
      </w:r>
      <w:r>
        <w:tab/>
        <w:t xml:space="preserve">Entity-created Headroom will be measured by the </w:t>
      </w:r>
      <w:del w:id="222" w:author="Author" w:date="2019-08-07T16:41:00Z">
        <w:r>
          <w:delText>NY</w:delText>
        </w:r>
      </w:del>
      <w:r>
        <w:t xml:space="preserve">ISO in accordance with these rules.  The use that a subsequent project makes of Entity -created Headroom will also be measured by the </w:t>
      </w:r>
      <w:del w:id="223" w:author="Author" w:date="2019-08-07T16:41:00Z">
        <w:r>
          <w:delText>NY</w:delText>
        </w:r>
      </w:del>
      <w:r>
        <w:t>ISO in accordanc</w:t>
      </w:r>
      <w:r>
        <w:t xml:space="preserve">e with these rules.  </w:t>
      </w:r>
    </w:p>
    <w:p w:rsidR="000435C8" w:rsidRDefault="00396AFD">
      <w:pPr>
        <w:pStyle w:val="alphapara"/>
      </w:pPr>
      <w:r>
        <w:t>25.8.7.4.1</w:t>
      </w:r>
      <w:r>
        <w:tab/>
        <w:t>In the case of Headroom on System Upgrade Facilities that have an excess functional capacity not readily measured in amperes or other discrete electrical units, the use that each subsequent project makes of the Entity-creat</w:t>
      </w:r>
      <w:r>
        <w:t xml:space="preserve">ed Headroom will be measured solely by using the total number of projects in the current and prior Class Years needing or using the System Upgrade Facility.  </w:t>
      </w:r>
    </w:p>
    <w:p w:rsidR="000435C8" w:rsidRDefault="00396AFD">
      <w:pPr>
        <w:pStyle w:val="alphapara"/>
      </w:pPr>
      <w:bookmarkStart w:id="224" w:name="_Toc260339093"/>
      <w:r>
        <w:t>25.8.7.4.1.1</w:t>
      </w:r>
      <w:r>
        <w:tab/>
        <w:t>The use that each project in a subsequent Class Year makes of Headroom on such a Sys</w:t>
      </w:r>
      <w:r>
        <w:t>tem Upgrade Facility will be measured as an amount equal to (1/b), where “b” is the total number of</w:t>
      </w:r>
      <w:bookmarkEnd w:id="224"/>
      <w:r>
        <w:t xml:space="preserve"> </w:t>
      </w:r>
      <w:bookmarkStart w:id="225" w:name="_Toc260339094"/>
      <w:r>
        <w:t>projects in all prior and current Class Years using the System Upgrade Facility.</w:t>
      </w:r>
      <w:bookmarkEnd w:id="225"/>
    </w:p>
    <w:p w:rsidR="000435C8" w:rsidRDefault="00396AFD">
      <w:pPr>
        <w:pStyle w:val="alphapara"/>
      </w:pPr>
      <w:bookmarkStart w:id="226" w:name="_Toc260339095"/>
      <w:r>
        <w:t>25.8.7.4.1.2</w:t>
      </w:r>
      <w:r>
        <w:tab/>
        <w:t>Each Developer in a subsequent Class Year that uses Headroom o</w:t>
      </w:r>
      <w:r>
        <w:t>n such a System Upgrade Facility will make a Headroom payment to all prior Developers that have previously made payments for that System Upgrade Facility, both the prior Developers that have previously made Headroom payments and the Developers in the first</w:t>
      </w:r>
      <w:r>
        <w:t xml:space="preserve"> Class Year that paid for the original installation of the System Upgrade Facility.  The amount of the Headroom payment to each prior Developer that each Developer in a subsequent Class Year must make for its use of Headroom on such a System Upgrade Facili</w:t>
      </w:r>
      <w:r>
        <w:t xml:space="preserve">ty will be an amount equal to c/(b)x(d), where “c” is the depreciated cost of the System Upgrade Facility at the time of the subsequent Class Year </w:t>
      </w:r>
      <w:del w:id="227" w:author="Author" w:date="2019-08-02T17:42:00Z">
        <w:r>
          <w:delText>Interconnection Facilities</w:delText>
        </w:r>
      </w:del>
      <w:del w:id="228" w:author="Author" w:date="2019-11-07T17:08:00Z">
        <w:r>
          <w:delText xml:space="preserve"> </w:delText>
        </w:r>
      </w:del>
      <w:r>
        <w:t>Study, “b” is the total number of projects in all prior and current Class Years us</w:t>
      </w:r>
      <w:r>
        <w:t>ing the System Upgrade Facility, and “d” is the total number of projects in all the prior Class Years that have previously made payments for the System Upgrade Facility, both Headroom payments and payments for original installation.</w:t>
      </w:r>
      <w:bookmarkEnd w:id="226"/>
    </w:p>
    <w:p w:rsidR="000435C8" w:rsidRDefault="00396AFD">
      <w:pPr>
        <w:pStyle w:val="alphapara"/>
      </w:pPr>
      <w:r>
        <w:t>25.8.7.4.2</w:t>
      </w:r>
      <w:r>
        <w:tab/>
        <w:t xml:space="preserve">In the case </w:t>
      </w:r>
      <w:r>
        <w:t>of System Upgrade Facilities or System Deliverability Upgrades that have an excess capacity readily measured in amperes or other discrete electrical units, the use the subsequent project makes of the Entity-created Headroom will be measured in terms of the</w:t>
      </w:r>
      <w:r>
        <w:t xml:space="preserve"> electrical impact of the subsequent project, as that electrical impact is determined by the </w:t>
      </w:r>
      <w:del w:id="229" w:author="Author" w:date="2019-08-07T16:41:00Z">
        <w:r>
          <w:delText>NY</w:delText>
        </w:r>
      </w:del>
      <w:r>
        <w:t xml:space="preserve">ISO in accordance with these rules.  </w:t>
      </w:r>
    </w:p>
    <w:p w:rsidR="000435C8" w:rsidRDefault="00396AFD">
      <w:pPr>
        <w:pStyle w:val="alphapara"/>
      </w:pPr>
      <w:r>
        <w:t>25.8.7.4.3</w:t>
      </w:r>
      <w:r>
        <w:tab/>
        <w:t xml:space="preserve">The </w:t>
      </w:r>
      <w:del w:id="230" w:author="Author" w:date="2019-08-07T16:41:00Z">
        <w:r>
          <w:delText>NY</w:delText>
        </w:r>
      </w:del>
      <w:r>
        <w:t xml:space="preserve">ISO will publish accounts showing the Headroom for each </w:t>
      </w:r>
      <w:del w:id="231" w:author="Author" w:date="2019-10-25T15:56:00Z">
        <w:r>
          <w:delText xml:space="preserve">Class Year of </w:delText>
        </w:r>
      </w:del>
      <w:r>
        <w:t>Developer</w:t>
      </w:r>
      <w:del w:id="232" w:author="Author" w:date="2019-10-25T15:56:00Z">
        <w:r>
          <w:delText>s</w:delText>
        </w:r>
      </w:del>
      <w:r>
        <w:t xml:space="preserve"> and other Entities, and w</w:t>
      </w:r>
      <w:r>
        <w:t xml:space="preserve">ill update those accounts to reflect the impact of subsequent projects.  With the exception of Headroom on Highway System Deliverability Upgrades funded by Load Serving Entities pursuant to Schedule 12 of the </w:t>
      </w:r>
      <w:del w:id="233" w:author="Author" w:date="2019-08-07T16:41:00Z">
        <w:r>
          <w:delText>NY</w:delText>
        </w:r>
      </w:del>
      <w:r>
        <w:t xml:space="preserve">ISO OATT, the </w:t>
      </w:r>
      <w:del w:id="234" w:author="Author" w:date="2019-08-07T16:41:00Z">
        <w:r>
          <w:delText>NY</w:delText>
        </w:r>
      </w:del>
      <w:r>
        <w:t>ISO will close the Headroom a</w:t>
      </w:r>
      <w:r>
        <w:t>ccount of an Entity when the electrical values in the account are reduced to zero or when ten years have passed since the establishment of the account, whichever occurs first.</w:t>
      </w:r>
    </w:p>
    <w:p w:rsidR="000435C8" w:rsidRDefault="00396AFD">
      <w:pPr>
        <w:pStyle w:val="alphapara"/>
      </w:pPr>
      <w:r>
        <w:t>25.8.7.4.3.1</w:t>
      </w:r>
      <w:r>
        <w:tab/>
        <w:t>In the case of Headroom on Highway System Deliverability Upgrades f</w:t>
      </w:r>
      <w:r>
        <w:t xml:space="preserve">unded by Load Serving Entities pursuant to Schedule 12 of the </w:t>
      </w:r>
      <w:del w:id="235" w:author="Author" w:date="2019-08-07T16:41:00Z">
        <w:r>
          <w:delText>NY</w:delText>
        </w:r>
      </w:del>
      <w:r>
        <w:t xml:space="preserve">ISO OATT, the </w:t>
      </w:r>
      <w:del w:id="236" w:author="Author" w:date="2019-08-07T16:41:00Z">
        <w:r>
          <w:delText>NY</w:delText>
        </w:r>
      </w:del>
      <w:r>
        <w:t>ISO will close the Headroom account of the Load Serving Entity when the MW value in the account is reduced to zero, or at the end of the useful financial life of the Highway Sy</w:t>
      </w:r>
      <w:r>
        <w:t>stem Deliverability Upgrades, whichever occurs first.</w:t>
      </w:r>
    </w:p>
    <w:p w:rsidR="000435C8" w:rsidRDefault="00396AFD">
      <w:pPr>
        <w:pStyle w:val="alphapara"/>
        <w:rPr>
          <w:bCs/>
        </w:rPr>
      </w:pPr>
      <w:r>
        <w:t>25.8.7.4.4</w:t>
      </w:r>
      <w:r>
        <w:tab/>
        <w:t xml:space="preserve">If a subsequent Developer uses up all the Headroom of an earlier Entity, and also triggers the need for a new </w:t>
      </w:r>
      <w:r>
        <w:rPr>
          <w:bCs/>
        </w:rPr>
        <w:t xml:space="preserve">System Upgrade Facility or System Deliverability Upgrade, then the subsequent </w:t>
      </w:r>
      <w:r>
        <w:rPr>
          <w:bCs/>
        </w:rPr>
        <w:t>Developer will pay the Connecting Transmission Owner or Affected Transmission Owner for the new System Upgrade Facility or System Deliverability Upgrade, but will not pay the earlier Entity for the Headroom used up or the account extinguished.  However, th</w:t>
      </w:r>
      <w:r>
        <w:rPr>
          <w:bCs/>
        </w:rPr>
        <w:t xml:space="preserve">e earlier Entity will get a new Headroom account and a </w:t>
      </w:r>
      <w:r>
        <w:rPr>
          <w:bCs/>
          <w:i/>
          <w:iCs/>
        </w:rPr>
        <w:t>pro rata</w:t>
      </w:r>
      <w:r>
        <w:rPr>
          <w:bCs/>
        </w:rPr>
        <w:t xml:space="preserve"> share of the Headroom in the new System Upgrade Facility or System Deliverability Upgrade purchased by the subsequent Developer.  The economic value of this </w:t>
      </w:r>
      <w:r>
        <w:rPr>
          <w:bCs/>
          <w:i/>
          <w:iCs/>
        </w:rPr>
        <w:t>pro rata</w:t>
      </w:r>
      <w:r>
        <w:rPr>
          <w:bCs/>
        </w:rPr>
        <w:t xml:space="preserve"> share will be equal to the</w:t>
      </w:r>
      <w:r>
        <w:rPr>
          <w:bCs/>
        </w:rPr>
        <w:t xml:space="preserve"> economic value of the earlier Entity’s Headroom account that was extinguished by the subsequent Developer.</w:t>
      </w:r>
    </w:p>
    <w:p w:rsidR="000435C8" w:rsidRDefault="00396AFD">
      <w:pPr>
        <w:pStyle w:val="alphapara"/>
      </w:pPr>
      <w:r>
        <w:t>25.8.7.5</w:t>
      </w:r>
      <w:r>
        <w:tab/>
        <w:t xml:space="preserve">For Class Years 2001 and 2002, the </w:t>
      </w:r>
      <w:del w:id="237" w:author="Author" w:date="2019-08-07T16:41:00Z">
        <w:r>
          <w:delText>NY</w:delText>
        </w:r>
      </w:del>
      <w:r>
        <w:t xml:space="preserve">ISO shall account for Headroom as provided by the Non-Financial Settlement.  Developers in Class Year </w:t>
      </w:r>
      <w:r>
        <w:t>2002 shall reimburse Class Year 2001 Developers in accordance with the terms of the Non-Financial Settlement.</w:t>
      </w:r>
    </w:p>
    <w:p w:rsidR="000435C8" w:rsidRDefault="00396AFD">
      <w:pPr>
        <w:pStyle w:val="alphapara"/>
      </w:pPr>
      <w:r>
        <w:t>25.8.7.6</w:t>
      </w:r>
      <w:r>
        <w:tab/>
        <w:t xml:space="preserve">The Developer of the subsequent project shall pay the prior Entity within the five (5) business day period specified in Section 25.8.2.1 </w:t>
      </w:r>
      <w:r>
        <w:t xml:space="preserve">of this Attachment S.   Headroom obligations related to a System Upgrade Facility that has been fully constructed must be satisfied by cash payment.  Starting with Class Year 2012, all remaining Headroom obligations may be satisfied by a form of “Headroom </w:t>
      </w:r>
      <w:r>
        <w:t xml:space="preserve">Security” – a bond, irrevocable letter of credit, parent company guarantee or other form of security from an entity with an investment grade rating, executed for the benefit of the prior Entity, meeting the requirements of these cost allocation rules, and </w:t>
      </w:r>
      <w:r>
        <w:t>meeting the respective commercially reasonable requirements of the prior Entity.  Headroom Security shall be posted to cover the period ending on the date on which full payment is made to the prior Entity for the Headroom obligation; provided, however, tha</w:t>
      </w:r>
      <w:r>
        <w:t>t Headroom Security may be posted with a term as short as one year, so long as such Headroom Security is replaced no later than fifteen (15) business days before its stated expiration.  In the event Headroom Security is not replaced as required in the prec</w:t>
      </w:r>
      <w:r>
        <w:t>eding sentence, the prior Entity shall be entitled to draw upon the Headroom Security and convert it to cash, which cash shall be held by the prior Entity for the account of the Developer.</w:t>
      </w:r>
    </w:p>
    <w:p w:rsidR="000435C8" w:rsidRDefault="00396AFD">
      <w:pPr>
        <w:pStyle w:val="Heading3"/>
      </w:pPr>
      <w:bookmarkStart w:id="238" w:name="_Toc260339096"/>
      <w:bookmarkStart w:id="239" w:name="_Toc262653047"/>
      <w:r>
        <w:t>25.8.8</w:t>
      </w:r>
      <w:r>
        <w:tab/>
        <w:t>Headroom Account Adjustments in the ATBA</w:t>
      </w:r>
      <w:bookmarkEnd w:id="238"/>
      <w:bookmarkEnd w:id="239"/>
    </w:p>
    <w:p w:rsidR="000435C8" w:rsidRDefault="00396AFD">
      <w:pPr>
        <w:pStyle w:val="Bodypara"/>
      </w:pPr>
      <w:r>
        <w:t xml:space="preserve">In addition to the </w:t>
      </w:r>
      <w:r>
        <w:t xml:space="preserve">adjustments made by the </w:t>
      </w:r>
      <w:del w:id="240" w:author="Author" w:date="2019-08-07T16:41:00Z">
        <w:r>
          <w:delText>NY</w:delText>
        </w:r>
      </w:del>
      <w:r>
        <w:t xml:space="preserve">ISO in Headroom accounts to reflect the impact of subsequent projects, the </w:t>
      </w:r>
      <w:del w:id="241" w:author="Author" w:date="2019-08-07T16:41:00Z">
        <w:r>
          <w:delText>NY</w:delText>
        </w:r>
      </w:del>
      <w:r>
        <w:t xml:space="preserve">ISO will make other adjustments to Headroom accounts when preparing for each Annual Transmission Baseline Assessment.  The </w:t>
      </w:r>
      <w:del w:id="242" w:author="Author" w:date="2019-08-07T16:41:00Z">
        <w:r>
          <w:delText>NY</w:delText>
        </w:r>
      </w:del>
      <w:r>
        <w:t>ISO will make these adjustme</w:t>
      </w:r>
      <w:r>
        <w:t>nts to reflect the impact of changes in the Existing System Representation modeled for the Annual Transmission Baseline Assessment that result from the installation, expansion or retirement of generation and transmission facilities for load growth and chan</w:t>
      </w:r>
      <w:r>
        <w:t>ges in load patterns.  Such changes in the Existing System Representation can also result from changes in these rules or the criteria, methods or, software used to apply these rules.</w:t>
      </w:r>
    </w:p>
    <w:p w:rsidR="000435C8" w:rsidRDefault="00396AFD">
      <w:pPr>
        <w:pStyle w:val="alphapara"/>
      </w:pPr>
      <w:r>
        <w:t>25.8.8.1</w:t>
      </w:r>
      <w:r>
        <w:tab/>
        <w:t>No compensation will be paid as a result of these changes to the</w:t>
      </w:r>
      <w:r>
        <w:t xml:space="preserve"> Existing System Representation.  However, the </w:t>
      </w:r>
      <w:del w:id="243" w:author="Author" w:date="2019-08-07T16:41:00Z">
        <w:r>
          <w:delText>NY</w:delText>
        </w:r>
      </w:del>
      <w:r>
        <w:t>ISO will adjust the ratios of dollars to electrical values in each Entity’s account to maintain the economic value of the Entity’s account that existed before the changes were made in the Existing System Rep</w:t>
      </w:r>
      <w:r>
        <w:t>resentation.</w:t>
      </w:r>
    </w:p>
    <w:p w:rsidR="000435C8" w:rsidRDefault="00396AFD">
      <w:pPr>
        <w:pStyle w:val="alphapara"/>
      </w:pPr>
      <w:r>
        <w:t>25.8.8.2</w:t>
      </w:r>
      <w:r>
        <w:tab/>
        <w:t xml:space="preserve">The </w:t>
      </w:r>
      <w:del w:id="244" w:author="Author" w:date="2019-08-07T16:41:00Z">
        <w:r>
          <w:delText>NY</w:delText>
        </w:r>
      </w:del>
      <w:r>
        <w:t>ISO will make no adjustments to Headroom accounts for the impact of subsequent generic solutions, except in those cases where the generic solution is a Class Year project and the adjustment is made to reflect the impact of the C</w:t>
      </w:r>
      <w:r>
        <w:t>lass Year project.</w:t>
      </w:r>
    </w:p>
    <w:p w:rsidR="000435C8" w:rsidRDefault="00396AFD">
      <w:pPr>
        <w:pStyle w:val="Heading3"/>
      </w:pPr>
      <w:bookmarkStart w:id="245" w:name="_Toc260339097"/>
      <w:bookmarkStart w:id="246" w:name="_Toc262653048"/>
      <w:r>
        <w:t>25.8.9</w:t>
      </w:r>
      <w:r>
        <w:tab/>
        <w:t>Rate Base Facilities</w:t>
      </w:r>
      <w:bookmarkEnd w:id="245"/>
      <w:bookmarkEnd w:id="246"/>
    </w:p>
    <w:p w:rsidR="000435C8" w:rsidRDefault="00396AFD">
      <w:pPr>
        <w:pStyle w:val="Bodypara"/>
      </w:pPr>
      <w:r>
        <w:t>With the exception of Developer use of Headroom created by Load Serving Ent</w:t>
      </w:r>
      <w:r>
        <w:rPr>
          <w:rStyle w:val="BodyparaChar"/>
        </w:rPr>
        <w:t>i</w:t>
      </w:r>
      <w:r>
        <w:t xml:space="preserve">ty funding of Highway System Deliverability Upgrades pursuant to Schedule 12 of the </w:t>
      </w:r>
      <w:del w:id="247" w:author="Author" w:date="2019-08-07T16:42:00Z">
        <w:r>
          <w:delText>N</w:delText>
        </w:r>
      </w:del>
      <w:del w:id="248" w:author="Author" w:date="2019-08-07T16:43:00Z">
        <w:r>
          <w:delText>Y</w:delText>
        </w:r>
      </w:del>
      <w:r>
        <w:t xml:space="preserve">ISO OATT, Developers are not charged for their </w:t>
      </w:r>
      <w:r>
        <w:t>use of any rate base facilities, except to the degree applicable as customers taking service in accordance with the rates, if any, that apply to those facilities.</w:t>
      </w:r>
    </w:p>
    <w:p w:rsidR="000435C8" w:rsidRDefault="00396AFD">
      <w:pPr>
        <w:tabs>
          <w:tab w:val="left" w:pos="0"/>
          <w:tab w:val="left" w:pos="720"/>
          <w:tab w:val="center" w:pos="4680"/>
          <w:tab w:val="left" w:pos="6480"/>
          <w:tab w:val="left" w:pos="7200"/>
          <w:tab w:val="left" w:pos="7920"/>
          <w:tab w:val="left" w:pos="8640"/>
        </w:tabs>
      </w:pPr>
    </w:p>
    <w:sectPr w:rsidR="000435C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AFD">
      <w:r>
        <w:separator/>
      </w:r>
    </w:p>
  </w:endnote>
  <w:endnote w:type="continuationSeparator" w:id="0">
    <w:p w:rsidR="00000000" w:rsidRDefault="0039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AFD">
      <w:r>
        <w:separator/>
      </w:r>
    </w:p>
  </w:footnote>
  <w:footnote w:type="continuationSeparator" w:id="0">
    <w:p w:rsidR="00000000" w:rsidRDefault="0039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r>
      <w:rPr>
        <w:rFonts w:ascii="Arial" w:eastAsia="Arial" w:hAnsi="Arial" w:cs="Arial"/>
        <w:color w:val="000000"/>
        <w:sz w:val="16"/>
      </w:rPr>
      <w:t>NYISO Tariffs --&gt; Open Access Transmission Tariff (OATT) --&gt; 25 OATT Attachment S - Rules To Allocate R</w:t>
    </w:r>
    <w:r>
      <w:rPr>
        <w:rFonts w:ascii="Arial" w:eastAsia="Arial" w:hAnsi="Arial" w:cs="Arial"/>
        <w:color w:val="000000"/>
        <w:sz w:val="16"/>
      </w:rPr>
      <w:t>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FE" w:rsidRDefault="00396AFD">
    <w:r>
      <w:rPr>
        <w:rFonts w:ascii="Arial" w:eastAsia="Arial" w:hAnsi="Arial" w:cs="Arial"/>
        <w:color w:val="000000"/>
        <w:sz w:val="16"/>
      </w:rPr>
      <w:t>NYISO Tariffs --&gt; Open Access Transmission Tariff (OAT</w:t>
    </w:r>
    <w:r>
      <w:rPr>
        <w:rFonts w:ascii="Arial" w:eastAsia="Arial" w:hAnsi="Arial" w:cs="Arial"/>
        <w:color w:val="000000"/>
        <w:sz w:val="16"/>
      </w:rPr>
      <w:t>T) --&gt; 25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DEA9B82">
      <w:start w:val="1"/>
      <w:numFmt w:val="bullet"/>
      <w:lvlText w:val=""/>
      <w:lvlJc w:val="left"/>
      <w:pPr>
        <w:tabs>
          <w:tab w:val="num" w:pos="720"/>
        </w:tabs>
        <w:ind w:left="720" w:hanging="360"/>
      </w:pPr>
      <w:rPr>
        <w:rFonts w:ascii="Symbol" w:hAnsi="Symbol" w:hint="default"/>
      </w:rPr>
    </w:lvl>
    <w:lvl w:ilvl="1" w:tplc="5282B562" w:tentative="1">
      <w:start w:val="1"/>
      <w:numFmt w:val="bullet"/>
      <w:lvlText w:val="o"/>
      <w:lvlJc w:val="left"/>
      <w:pPr>
        <w:tabs>
          <w:tab w:val="num" w:pos="1440"/>
        </w:tabs>
        <w:ind w:left="1440" w:hanging="360"/>
      </w:pPr>
      <w:rPr>
        <w:rFonts w:ascii="Courier New" w:hAnsi="Courier New" w:hint="default"/>
      </w:rPr>
    </w:lvl>
    <w:lvl w:ilvl="2" w:tplc="0B5C3FE8" w:tentative="1">
      <w:start w:val="1"/>
      <w:numFmt w:val="bullet"/>
      <w:lvlText w:val=""/>
      <w:lvlJc w:val="left"/>
      <w:pPr>
        <w:tabs>
          <w:tab w:val="num" w:pos="2160"/>
        </w:tabs>
        <w:ind w:left="2160" w:hanging="360"/>
      </w:pPr>
      <w:rPr>
        <w:rFonts w:ascii="Wingdings" w:hAnsi="Wingdings" w:hint="default"/>
      </w:rPr>
    </w:lvl>
    <w:lvl w:ilvl="3" w:tplc="23D615B8" w:tentative="1">
      <w:start w:val="1"/>
      <w:numFmt w:val="bullet"/>
      <w:lvlText w:val=""/>
      <w:lvlJc w:val="left"/>
      <w:pPr>
        <w:tabs>
          <w:tab w:val="num" w:pos="2880"/>
        </w:tabs>
        <w:ind w:left="2880" w:hanging="360"/>
      </w:pPr>
      <w:rPr>
        <w:rFonts w:ascii="Symbol" w:hAnsi="Symbol" w:hint="default"/>
      </w:rPr>
    </w:lvl>
    <w:lvl w:ilvl="4" w:tplc="82AEE0AE" w:tentative="1">
      <w:start w:val="1"/>
      <w:numFmt w:val="bullet"/>
      <w:lvlText w:val="o"/>
      <w:lvlJc w:val="left"/>
      <w:pPr>
        <w:tabs>
          <w:tab w:val="num" w:pos="3600"/>
        </w:tabs>
        <w:ind w:left="3600" w:hanging="360"/>
      </w:pPr>
      <w:rPr>
        <w:rFonts w:ascii="Courier New" w:hAnsi="Courier New" w:hint="default"/>
      </w:rPr>
    </w:lvl>
    <w:lvl w:ilvl="5" w:tplc="F6E4150E" w:tentative="1">
      <w:start w:val="1"/>
      <w:numFmt w:val="bullet"/>
      <w:lvlText w:val=""/>
      <w:lvlJc w:val="left"/>
      <w:pPr>
        <w:tabs>
          <w:tab w:val="num" w:pos="4320"/>
        </w:tabs>
        <w:ind w:left="4320" w:hanging="360"/>
      </w:pPr>
      <w:rPr>
        <w:rFonts w:ascii="Wingdings" w:hAnsi="Wingdings" w:hint="default"/>
      </w:rPr>
    </w:lvl>
    <w:lvl w:ilvl="6" w:tplc="069AC3BA" w:tentative="1">
      <w:start w:val="1"/>
      <w:numFmt w:val="bullet"/>
      <w:lvlText w:val=""/>
      <w:lvlJc w:val="left"/>
      <w:pPr>
        <w:tabs>
          <w:tab w:val="num" w:pos="5040"/>
        </w:tabs>
        <w:ind w:left="5040" w:hanging="360"/>
      </w:pPr>
      <w:rPr>
        <w:rFonts w:ascii="Symbol" w:hAnsi="Symbol" w:hint="default"/>
      </w:rPr>
    </w:lvl>
    <w:lvl w:ilvl="7" w:tplc="287EE6DE" w:tentative="1">
      <w:start w:val="1"/>
      <w:numFmt w:val="bullet"/>
      <w:lvlText w:val="o"/>
      <w:lvlJc w:val="left"/>
      <w:pPr>
        <w:tabs>
          <w:tab w:val="num" w:pos="5760"/>
        </w:tabs>
        <w:ind w:left="5760" w:hanging="360"/>
      </w:pPr>
      <w:rPr>
        <w:rFonts w:ascii="Courier New" w:hAnsi="Courier New" w:hint="default"/>
      </w:rPr>
    </w:lvl>
    <w:lvl w:ilvl="8" w:tplc="880E210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8028128">
      <w:start w:val="1"/>
      <w:numFmt w:val="lowerRoman"/>
      <w:lvlText w:val="(%1)"/>
      <w:lvlJc w:val="left"/>
      <w:pPr>
        <w:tabs>
          <w:tab w:val="num" w:pos="2448"/>
        </w:tabs>
        <w:ind w:left="2448" w:hanging="648"/>
      </w:pPr>
      <w:rPr>
        <w:rFonts w:cs="Times New Roman" w:hint="default"/>
        <w:b w:val="0"/>
        <w:i w:val="0"/>
        <w:u w:val="none"/>
      </w:rPr>
    </w:lvl>
    <w:lvl w:ilvl="1" w:tplc="5B622DA2" w:tentative="1">
      <w:start w:val="1"/>
      <w:numFmt w:val="lowerLetter"/>
      <w:lvlText w:val="%2."/>
      <w:lvlJc w:val="left"/>
      <w:pPr>
        <w:tabs>
          <w:tab w:val="num" w:pos="1440"/>
        </w:tabs>
        <w:ind w:left="1440" w:hanging="360"/>
      </w:pPr>
      <w:rPr>
        <w:rFonts w:cs="Times New Roman"/>
      </w:rPr>
    </w:lvl>
    <w:lvl w:ilvl="2" w:tplc="1DCA1B0A" w:tentative="1">
      <w:start w:val="1"/>
      <w:numFmt w:val="lowerRoman"/>
      <w:lvlText w:val="%3."/>
      <w:lvlJc w:val="right"/>
      <w:pPr>
        <w:tabs>
          <w:tab w:val="num" w:pos="2160"/>
        </w:tabs>
        <w:ind w:left="2160" w:hanging="180"/>
      </w:pPr>
      <w:rPr>
        <w:rFonts w:cs="Times New Roman"/>
      </w:rPr>
    </w:lvl>
    <w:lvl w:ilvl="3" w:tplc="9DEE5A86" w:tentative="1">
      <w:start w:val="1"/>
      <w:numFmt w:val="decimal"/>
      <w:lvlText w:val="%4."/>
      <w:lvlJc w:val="left"/>
      <w:pPr>
        <w:tabs>
          <w:tab w:val="num" w:pos="2880"/>
        </w:tabs>
        <w:ind w:left="2880" w:hanging="360"/>
      </w:pPr>
      <w:rPr>
        <w:rFonts w:cs="Times New Roman"/>
      </w:rPr>
    </w:lvl>
    <w:lvl w:ilvl="4" w:tplc="5BAAE064" w:tentative="1">
      <w:start w:val="1"/>
      <w:numFmt w:val="lowerLetter"/>
      <w:lvlText w:val="%5."/>
      <w:lvlJc w:val="left"/>
      <w:pPr>
        <w:tabs>
          <w:tab w:val="num" w:pos="3600"/>
        </w:tabs>
        <w:ind w:left="3600" w:hanging="360"/>
      </w:pPr>
      <w:rPr>
        <w:rFonts w:cs="Times New Roman"/>
      </w:rPr>
    </w:lvl>
    <w:lvl w:ilvl="5" w:tplc="D71E1A78" w:tentative="1">
      <w:start w:val="1"/>
      <w:numFmt w:val="lowerRoman"/>
      <w:lvlText w:val="%6."/>
      <w:lvlJc w:val="right"/>
      <w:pPr>
        <w:tabs>
          <w:tab w:val="num" w:pos="4320"/>
        </w:tabs>
        <w:ind w:left="4320" w:hanging="180"/>
      </w:pPr>
      <w:rPr>
        <w:rFonts w:cs="Times New Roman"/>
      </w:rPr>
    </w:lvl>
    <w:lvl w:ilvl="6" w:tplc="EF6A4962" w:tentative="1">
      <w:start w:val="1"/>
      <w:numFmt w:val="decimal"/>
      <w:lvlText w:val="%7."/>
      <w:lvlJc w:val="left"/>
      <w:pPr>
        <w:tabs>
          <w:tab w:val="num" w:pos="5040"/>
        </w:tabs>
        <w:ind w:left="5040" w:hanging="360"/>
      </w:pPr>
      <w:rPr>
        <w:rFonts w:cs="Times New Roman"/>
      </w:rPr>
    </w:lvl>
    <w:lvl w:ilvl="7" w:tplc="C3702BC0" w:tentative="1">
      <w:start w:val="1"/>
      <w:numFmt w:val="lowerLetter"/>
      <w:lvlText w:val="%8."/>
      <w:lvlJc w:val="left"/>
      <w:pPr>
        <w:tabs>
          <w:tab w:val="num" w:pos="5760"/>
        </w:tabs>
        <w:ind w:left="5760" w:hanging="360"/>
      </w:pPr>
      <w:rPr>
        <w:rFonts w:cs="Times New Roman"/>
      </w:rPr>
    </w:lvl>
    <w:lvl w:ilvl="8" w:tplc="B3BA6D5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1449228">
      <w:start w:val="1"/>
      <w:numFmt w:val="decimal"/>
      <w:lvlText w:val="%1."/>
      <w:lvlJc w:val="left"/>
      <w:pPr>
        <w:tabs>
          <w:tab w:val="num" w:pos="720"/>
        </w:tabs>
        <w:ind w:left="720" w:hanging="360"/>
      </w:pPr>
      <w:rPr>
        <w:rFonts w:cs="Times New Roman"/>
      </w:rPr>
    </w:lvl>
    <w:lvl w:ilvl="1" w:tplc="A9B8690A" w:tentative="1">
      <w:start w:val="1"/>
      <w:numFmt w:val="lowerLetter"/>
      <w:lvlText w:val="%2."/>
      <w:lvlJc w:val="left"/>
      <w:pPr>
        <w:tabs>
          <w:tab w:val="num" w:pos="1440"/>
        </w:tabs>
        <w:ind w:left="1440" w:hanging="360"/>
      </w:pPr>
      <w:rPr>
        <w:rFonts w:cs="Times New Roman"/>
      </w:rPr>
    </w:lvl>
    <w:lvl w:ilvl="2" w:tplc="195053CA" w:tentative="1">
      <w:start w:val="1"/>
      <w:numFmt w:val="lowerRoman"/>
      <w:lvlText w:val="%3."/>
      <w:lvlJc w:val="right"/>
      <w:pPr>
        <w:tabs>
          <w:tab w:val="num" w:pos="2160"/>
        </w:tabs>
        <w:ind w:left="2160" w:hanging="180"/>
      </w:pPr>
      <w:rPr>
        <w:rFonts w:cs="Times New Roman"/>
      </w:rPr>
    </w:lvl>
    <w:lvl w:ilvl="3" w:tplc="D2B87C2C" w:tentative="1">
      <w:start w:val="1"/>
      <w:numFmt w:val="decimal"/>
      <w:lvlText w:val="%4."/>
      <w:lvlJc w:val="left"/>
      <w:pPr>
        <w:tabs>
          <w:tab w:val="num" w:pos="2880"/>
        </w:tabs>
        <w:ind w:left="2880" w:hanging="360"/>
      </w:pPr>
      <w:rPr>
        <w:rFonts w:cs="Times New Roman"/>
      </w:rPr>
    </w:lvl>
    <w:lvl w:ilvl="4" w:tplc="3630511A" w:tentative="1">
      <w:start w:val="1"/>
      <w:numFmt w:val="lowerLetter"/>
      <w:lvlText w:val="%5."/>
      <w:lvlJc w:val="left"/>
      <w:pPr>
        <w:tabs>
          <w:tab w:val="num" w:pos="3600"/>
        </w:tabs>
        <w:ind w:left="3600" w:hanging="360"/>
      </w:pPr>
      <w:rPr>
        <w:rFonts w:cs="Times New Roman"/>
      </w:rPr>
    </w:lvl>
    <w:lvl w:ilvl="5" w:tplc="E116ABFA" w:tentative="1">
      <w:start w:val="1"/>
      <w:numFmt w:val="lowerRoman"/>
      <w:lvlText w:val="%6."/>
      <w:lvlJc w:val="right"/>
      <w:pPr>
        <w:tabs>
          <w:tab w:val="num" w:pos="4320"/>
        </w:tabs>
        <w:ind w:left="4320" w:hanging="180"/>
      </w:pPr>
      <w:rPr>
        <w:rFonts w:cs="Times New Roman"/>
      </w:rPr>
    </w:lvl>
    <w:lvl w:ilvl="6" w:tplc="28A23B14" w:tentative="1">
      <w:start w:val="1"/>
      <w:numFmt w:val="decimal"/>
      <w:lvlText w:val="%7."/>
      <w:lvlJc w:val="left"/>
      <w:pPr>
        <w:tabs>
          <w:tab w:val="num" w:pos="5040"/>
        </w:tabs>
        <w:ind w:left="5040" w:hanging="360"/>
      </w:pPr>
      <w:rPr>
        <w:rFonts w:cs="Times New Roman"/>
      </w:rPr>
    </w:lvl>
    <w:lvl w:ilvl="7" w:tplc="CB669778" w:tentative="1">
      <w:start w:val="1"/>
      <w:numFmt w:val="lowerLetter"/>
      <w:lvlText w:val="%8."/>
      <w:lvlJc w:val="left"/>
      <w:pPr>
        <w:tabs>
          <w:tab w:val="num" w:pos="5760"/>
        </w:tabs>
        <w:ind w:left="5760" w:hanging="360"/>
      </w:pPr>
      <w:rPr>
        <w:rFonts w:cs="Times New Roman"/>
      </w:rPr>
    </w:lvl>
    <w:lvl w:ilvl="8" w:tplc="489E369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46CC0D8">
      <w:start w:val="6"/>
      <w:numFmt w:val="lowerLetter"/>
      <w:lvlText w:val="%1."/>
      <w:lvlJc w:val="left"/>
      <w:pPr>
        <w:tabs>
          <w:tab w:val="num" w:pos="2520"/>
        </w:tabs>
        <w:ind w:left="2520" w:hanging="360"/>
      </w:pPr>
      <w:rPr>
        <w:rFonts w:hint="default"/>
      </w:rPr>
    </w:lvl>
    <w:lvl w:ilvl="1" w:tplc="D2EA17E4" w:tentative="1">
      <w:start w:val="1"/>
      <w:numFmt w:val="lowerLetter"/>
      <w:lvlText w:val="%2."/>
      <w:lvlJc w:val="left"/>
      <w:pPr>
        <w:tabs>
          <w:tab w:val="num" w:pos="3240"/>
        </w:tabs>
        <w:ind w:left="3240" w:hanging="360"/>
      </w:pPr>
    </w:lvl>
    <w:lvl w:ilvl="2" w:tplc="D1C29F1A" w:tentative="1">
      <w:start w:val="1"/>
      <w:numFmt w:val="lowerRoman"/>
      <w:lvlText w:val="%3."/>
      <w:lvlJc w:val="right"/>
      <w:pPr>
        <w:tabs>
          <w:tab w:val="num" w:pos="3960"/>
        </w:tabs>
        <w:ind w:left="3960" w:hanging="180"/>
      </w:pPr>
    </w:lvl>
    <w:lvl w:ilvl="3" w:tplc="2FB80D48" w:tentative="1">
      <w:start w:val="1"/>
      <w:numFmt w:val="decimal"/>
      <w:lvlText w:val="%4."/>
      <w:lvlJc w:val="left"/>
      <w:pPr>
        <w:tabs>
          <w:tab w:val="num" w:pos="4680"/>
        </w:tabs>
        <w:ind w:left="4680" w:hanging="360"/>
      </w:pPr>
    </w:lvl>
    <w:lvl w:ilvl="4" w:tplc="D8D6025C" w:tentative="1">
      <w:start w:val="1"/>
      <w:numFmt w:val="lowerLetter"/>
      <w:lvlText w:val="%5."/>
      <w:lvlJc w:val="left"/>
      <w:pPr>
        <w:tabs>
          <w:tab w:val="num" w:pos="5400"/>
        </w:tabs>
        <w:ind w:left="5400" w:hanging="360"/>
      </w:pPr>
    </w:lvl>
    <w:lvl w:ilvl="5" w:tplc="D7B4A560" w:tentative="1">
      <w:start w:val="1"/>
      <w:numFmt w:val="lowerRoman"/>
      <w:lvlText w:val="%6."/>
      <w:lvlJc w:val="right"/>
      <w:pPr>
        <w:tabs>
          <w:tab w:val="num" w:pos="6120"/>
        </w:tabs>
        <w:ind w:left="6120" w:hanging="180"/>
      </w:pPr>
    </w:lvl>
    <w:lvl w:ilvl="6" w:tplc="00C4C3E2" w:tentative="1">
      <w:start w:val="1"/>
      <w:numFmt w:val="decimal"/>
      <w:lvlText w:val="%7."/>
      <w:lvlJc w:val="left"/>
      <w:pPr>
        <w:tabs>
          <w:tab w:val="num" w:pos="6840"/>
        </w:tabs>
        <w:ind w:left="6840" w:hanging="360"/>
      </w:pPr>
    </w:lvl>
    <w:lvl w:ilvl="7" w:tplc="290E57A8" w:tentative="1">
      <w:start w:val="1"/>
      <w:numFmt w:val="lowerLetter"/>
      <w:lvlText w:val="%8."/>
      <w:lvlJc w:val="left"/>
      <w:pPr>
        <w:tabs>
          <w:tab w:val="num" w:pos="7560"/>
        </w:tabs>
        <w:ind w:left="7560" w:hanging="360"/>
      </w:pPr>
    </w:lvl>
    <w:lvl w:ilvl="8" w:tplc="446C37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F921DC8">
      <w:start w:val="1"/>
      <w:numFmt w:val="bullet"/>
      <w:lvlText w:val=""/>
      <w:lvlJc w:val="left"/>
      <w:pPr>
        <w:tabs>
          <w:tab w:val="num" w:pos="5760"/>
        </w:tabs>
        <w:ind w:left="5760" w:hanging="360"/>
      </w:pPr>
      <w:rPr>
        <w:rFonts w:ascii="Symbol" w:hAnsi="Symbol" w:hint="default"/>
        <w:color w:val="auto"/>
        <w:u w:val="none"/>
      </w:rPr>
    </w:lvl>
    <w:lvl w:ilvl="1" w:tplc="F424AE2A" w:tentative="1">
      <w:start w:val="1"/>
      <w:numFmt w:val="bullet"/>
      <w:lvlText w:val="o"/>
      <w:lvlJc w:val="left"/>
      <w:pPr>
        <w:tabs>
          <w:tab w:val="num" w:pos="3600"/>
        </w:tabs>
        <w:ind w:left="3600" w:hanging="360"/>
      </w:pPr>
      <w:rPr>
        <w:rFonts w:ascii="Courier New" w:hAnsi="Courier New" w:hint="default"/>
      </w:rPr>
    </w:lvl>
    <w:lvl w:ilvl="2" w:tplc="22A21712" w:tentative="1">
      <w:start w:val="1"/>
      <w:numFmt w:val="bullet"/>
      <w:lvlText w:val=""/>
      <w:lvlJc w:val="left"/>
      <w:pPr>
        <w:tabs>
          <w:tab w:val="num" w:pos="4320"/>
        </w:tabs>
        <w:ind w:left="4320" w:hanging="360"/>
      </w:pPr>
      <w:rPr>
        <w:rFonts w:ascii="Wingdings" w:hAnsi="Wingdings" w:hint="default"/>
      </w:rPr>
    </w:lvl>
    <w:lvl w:ilvl="3" w:tplc="6C348FFA">
      <w:start w:val="1"/>
      <w:numFmt w:val="bullet"/>
      <w:lvlText w:val=""/>
      <w:lvlJc w:val="left"/>
      <w:pPr>
        <w:tabs>
          <w:tab w:val="num" w:pos="5040"/>
        </w:tabs>
        <w:ind w:left="5040" w:hanging="360"/>
      </w:pPr>
      <w:rPr>
        <w:rFonts w:ascii="Symbol" w:hAnsi="Symbol" w:hint="default"/>
      </w:rPr>
    </w:lvl>
    <w:lvl w:ilvl="4" w:tplc="F67A50E8" w:tentative="1">
      <w:start w:val="1"/>
      <w:numFmt w:val="bullet"/>
      <w:lvlText w:val="o"/>
      <w:lvlJc w:val="left"/>
      <w:pPr>
        <w:tabs>
          <w:tab w:val="num" w:pos="5760"/>
        </w:tabs>
        <w:ind w:left="5760" w:hanging="360"/>
      </w:pPr>
      <w:rPr>
        <w:rFonts w:ascii="Courier New" w:hAnsi="Courier New" w:hint="default"/>
      </w:rPr>
    </w:lvl>
    <w:lvl w:ilvl="5" w:tplc="65B2E7B2" w:tentative="1">
      <w:start w:val="1"/>
      <w:numFmt w:val="bullet"/>
      <w:lvlText w:val=""/>
      <w:lvlJc w:val="left"/>
      <w:pPr>
        <w:tabs>
          <w:tab w:val="num" w:pos="6480"/>
        </w:tabs>
        <w:ind w:left="6480" w:hanging="360"/>
      </w:pPr>
      <w:rPr>
        <w:rFonts w:ascii="Wingdings" w:hAnsi="Wingdings" w:hint="default"/>
      </w:rPr>
    </w:lvl>
    <w:lvl w:ilvl="6" w:tplc="30D835C4" w:tentative="1">
      <w:start w:val="1"/>
      <w:numFmt w:val="bullet"/>
      <w:lvlText w:val=""/>
      <w:lvlJc w:val="left"/>
      <w:pPr>
        <w:tabs>
          <w:tab w:val="num" w:pos="7200"/>
        </w:tabs>
        <w:ind w:left="7200" w:hanging="360"/>
      </w:pPr>
      <w:rPr>
        <w:rFonts w:ascii="Symbol" w:hAnsi="Symbol" w:hint="default"/>
      </w:rPr>
    </w:lvl>
    <w:lvl w:ilvl="7" w:tplc="3120E028" w:tentative="1">
      <w:start w:val="1"/>
      <w:numFmt w:val="bullet"/>
      <w:lvlText w:val="o"/>
      <w:lvlJc w:val="left"/>
      <w:pPr>
        <w:tabs>
          <w:tab w:val="num" w:pos="7920"/>
        </w:tabs>
        <w:ind w:left="7920" w:hanging="360"/>
      </w:pPr>
      <w:rPr>
        <w:rFonts w:ascii="Courier New" w:hAnsi="Courier New" w:hint="default"/>
      </w:rPr>
    </w:lvl>
    <w:lvl w:ilvl="8" w:tplc="000C28E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C600B32">
      <w:start w:val="1"/>
      <w:numFmt w:val="decimal"/>
      <w:lvlText w:val="(%1)"/>
      <w:lvlJc w:val="left"/>
      <w:pPr>
        <w:tabs>
          <w:tab w:val="num" w:pos="2520"/>
        </w:tabs>
        <w:ind w:left="2520" w:hanging="720"/>
      </w:pPr>
      <w:rPr>
        <w:rFonts w:cs="Times New Roman" w:hint="default"/>
      </w:rPr>
    </w:lvl>
    <w:lvl w:ilvl="1" w:tplc="D2FA8106">
      <w:start w:val="1"/>
      <w:numFmt w:val="lowerRoman"/>
      <w:lvlText w:val="(%2)"/>
      <w:lvlJc w:val="left"/>
      <w:pPr>
        <w:tabs>
          <w:tab w:val="num" w:pos="1800"/>
        </w:tabs>
        <w:ind w:left="1800" w:hanging="720"/>
      </w:pPr>
      <w:rPr>
        <w:rFonts w:cs="Times New Roman" w:hint="default"/>
        <w:b w:val="0"/>
      </w:rPr>
    </w:lvl>
    <w:lvl w:ilvl="2" w:tplc="2E4ECC72">
      <w:start w:val="1"/>
      <w:numFmt w:val="decimal"/>
      <w:lvlText w:val="(%3)"/>
      <w:lvlJc w:val="right"/>
      <w:pPr>
        <w:tabs>
          <w:tab w:val="num" w:pos="2160"/>
        </w:tabs>
        <w:ind w:left="2160" w:hanging="180"/>
      </w:pPr>
      <w:rPr>
        <w:rFonts w:ascii="Times New Roman" w:eastAsia="Times New Roman" w:hAnsi="Times New Roman" w:cs="Times New Roman"/>
        <w:b w:val="0"/>
      </w:rPr>
    </w:lvl>
    <w:lvl w:ilvl="3" w:tplc="B09841E8">
      <w:start w:val="1"/>
      <w:numFmt w:val="lowerRoman"/>
      <w:lvlText w:val="(%4)"/>
      <w:lvlJc w:val="left"/>
      <w:pPr>
        <w:tabs>
          <w:tab w:val="num" w:pos="2520"/>
        </w:tabs>
        <w:ind w:left="2880" w:hanging="360"/>
      </w:pPr>
      <w:rPr>
        <w:rFonts w:cs="Times New Roman" w:hint="default"/>
        <w:b w:val="0"/>
      </w:rPr>
    </w:lvl>
    <w:lvl w:ilvl="4" w:tplc="F742336C" w:tentative="1">
      <w:start w:val="1"/>
      <w:numFmt w:val="lowerLetter"/>
      <w:lvlText w:val="%5."/>
      <w:lvlJc w:val="left"/>
      <w:pPr>
        <w:tabs>
          <w:tab w:val="num" w:pos="3600"/>
        </w:tabs>
        <w:ind w:left="3600" w:hanging="360"/>
      </w:pPr>
      <w:rPr>
        <w:rFonts w:cs="Times New Roman"/>
      </w:rPr>
    </w:lvl>
    <w:lvl w:ilvl="5" w:tplc="055874E2" w:tentative="1">
      <w:start w:val="1"/>
      <w:numFmt w:val="lowerRoman"/>
      <w:lvlText w:val="%6."/>
      <w:lvlJc w:val="right"/>
      <w:pPr>
        <w:tabs>
          <w:tab w:val="num" w:pos="4320"/>
        </w:tabs>
        <w:ind w:left="4320" w:hanging="180"/>
      </w:pPr>
      <w:rPr>
        <w:rFonts w:cs="Times New Roman"/>
      </w:rPr>
    </w:lvl>
    <w:lvl w:ilvl="6" w:tplc="9CCCB940" w:tentative="1">
      <w:start w:val="1"/>
      <w:numFmt w:val="decimal"/>
      <w:lvlText w:val="%7."/>
      <w:lvlJc w:val="left"/>
      <w:pPr>
        <w:tabs>
          <w:tab w:val="num" w:pos="5040"/>
        </w:tabs>
        <w:ind w:left="5040" w:hanging="360"/>
      </w:pPr>
      <w:rPr>
        <w:rFonts w:cs="Times New Roman"/>
      </w:rPr>
    </w:lvl>
    <w:lvl w:ilvl="7" w:tplc="4DD45768" w:tentative="1">
      <w:start w:val="1"/>
      <w:numFmt w:val="lowerLetter"/>
      <w:lvlText w:val="%8."/>
      <w:lvlJc w:val="left"/>
      <w:pPr>
        <w:tabs>
          <w:tab w:val="num" w:pos="5760"/>
        </w:tabs>
        <w:ind w:left="5760" w:hanging="360"/>
      </w:pPr>
      <w:rPr>
        <w:rFonts w:cs="Times New Roman"/>
      </w:rPr>
    </w:lvl>
    <w:lvl w:ilvl="8" w:tplc="C0228F6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240A156">
      <w:start w:val="1"/>
      <w:numFmt w:val="bullet"/>
      <w:lvlText w:val=""/>
      <w:lvlJc w:val="left"/>
      <w:pPr>
        <w:tabs>
          <w:tab w:val="num" w:pos="775"/>
        </w:tabs>
        <w:ind w:left="775" w:hanging="360"/>
      </w:pPr>
      <w:rPr>
        <w:rFonts w:ascii="Symbol" w:hAnsi="Symbol" w:hint="default"/>
      </w:rPr>
    </w:lvl>
    <w:lvl w:ilvl="1" w:tplc="CAF2562A" w:tentative="1">
      <w:start w:val="1"/>
      <w:numFmt w:val="bullet"/>
      <w:lvlText w:val="o"/>
      <w:lvlJc w:val="left"/>
      <w:pPr>
        <w:tabs>
          <w:tab w:val="num" w:pos="1495"/>
        </w:tabs>
        <w:ind w:left="1495" w:hanging="360"/>
      </w:pPr>
      <w:rPr>
        <w:rFonts w:ascii="Courier New" w:hAnsi="Courier New" w:hint="default"/>
      </w:rPr>
    </w:lvl>
    <w:lvl w:ilvl="2" w:tplc="019C1534" w:tentative="1">
      <w:start w:val="1"/>
      <w:numFmt w:val="bullet"/>
      <w:lvlText w:val=""/>
      <w:lvlJc w:val="left"/>
      <w:pPr>
        <w:tabs>
          <w:tab w:val="num" w:pos="2215"/>
        </w:tabs>
        <w:ind w:left="2215" w:hanging="360"/>
      </w:pPr>
      <w:rPr>
        <w:rFonts w:ascii="Wingdings" w:hAnsi="Wingdings" w:hint="default"/>
      </w:rPr>
    </w:lvl>
    <w:lvl w:ilvl="3" w:tplc="B8A8B37E" w:tentative="1">
      <w:start w:val="1"/>
      <w:numFmt w:val="bullet"/>
      <w:lvlText w:val=""/>
      <w:lvlJc w:val="left"/>
      <w:pPr>
        <w:tabs>
          <w:tab w:val="num" w:pos="2935"/>
        </w:tabs>
        <w:ind w:left="2935" w:hanging="360"/>
      </w:pPr>
      <w:rPr>
        <w:rFonts w:ascii="Symbol" w:hAnsi="Symbol" w:hint="default"/>
      </w:rPr>
    </w:lvl>
    <w:lvl w:ilvl="4" w:tplc="8F16E5A8" w:tentative="1">
      <w:start w:val="1"/>
      <w:numFmt w:val="bullet"/>
      <w:lvlText w:val="o"/>
      <w:lvlJc w:val="left"/>
      <w:pPr>
        <w:tabs>
          <w:tab w:val="num" w:pos="3655"/>
        </w:tabs>
        <w:ind w:left="3655" w:hanging="360"/>
      </w:pPr>
      <w:rPr>
        <w:rFonts w:ascii="Courier New" w:hAnsi="Courier New" w:hint="default"/>
      </w:rPr>
    </w:lvl>
    <w:lvl w:ilvl="5" w:tplc="060C7640" w:tentative="1">
      <w:start w:val="1"/>
      <w:numFmt w:val="bullet"/>
      <w:lvlText w:val=""/>
      <w:lvlJc w:val="left"/>
      <w:pPr>
        <w:tabs>
          <w:tab w:val="num" w:pos="4375"/>
        </w:tabs>
        <w:ind w:left="4375" w:hanging="360"/>
      </w:pPr>
      <w:rPr>
        <w:rFonts w:ascii="Wingdings" w:hAnsi="Wingdings" w:hint="default"/>
      </w:rPr>
    </w:lvl>
    <w:lvl w:ilvl="6" w:tplc="F2C0412E" w:tentative="1">
      <w:start w:val="1"/>
      <w:numFmt w:val="bullet"/>
      <w:lvlText w:val=""/>
      <w:lvlJc w:val="left"/>
      <w:pPr>
        <w:tabs>
          <w:tab w:val="num" w:pos="5095"/>
        </w:tabs>
        <w:ind w:left="5095" w:hanging="360"/>
      </w:pPr>
      <w:rPr>
        <w:rFonts w:ascii="Symbol" w:hAnsi="Symbol" w:hint="default"/>
      </w:rPr>
    </w:lvl>
    <w:lvl w:ilvl="7" w:tplc="FD02BC10" w:tentative="1">
      <w:start w:val="1"/>
      <w:numFmt w:val="bullet"/>
      <w:lvlText w:val="o"/>
      <w:lvlJc w:val="left"/>
      <w:pPr>
        <w:tabs>
          <w:tab w:val="num" w:pos="5815"/>
        </w:tabs>
        <w:ind w:left="5815" w:hanging="360"/>
      </w:pPr>
      <w:rPr>
        <w:rFonts w:ascii="Courier New" w:hAnsi="Courier New" w:hint="default"/>
      </w:rPr>
    </w:lvl>
    <w:lvl w:ilvl="8" w:tplc="67D283F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51DFE"/>
    <w:rsid w:val="00151DFE"/>
    <w:rsid w:val="0039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2.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3.xml><?xml version="1.0" encoding="utf-8"?>
<ds:datastoreItem xmlns:ds="http://schemas.openxmlformats.org/officeDocument/2006/customXml" ds:itemID="{B2E8EE56-A4C6-47DC-9203-A48DA1D7D0F1}">
  <ds:schemaRefs>
    <ds:schemaRef ds:uri="http://purl.org/dc/dcmitype/"/>
    <ds:schemaRef ds:uri="http://purl.org/dc/terms/"/>
    <ds:schemaRef ds:uri="d2a2a88e-ed6e-437f-8263-76e618aa10b0"/>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2BB017-8F9C-4878-BAE6-051E01F6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5695</Words>
  <Characters>32462</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y fmtid="{D5CDD505-2E9C-101B-9397-08002B2CF9AE}" pid="5" name="_NewReviewCycle">
    <vt:lpwstr/>
  </property>
</Properties>
</file>