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D5" w:rsidRDefault="00C211BF">
      <w:pPr>
        <w:pStyle w:val="Heading2"/>
        <w:pageBreakBefore w:val="0"/>
        <w:rPr>
          <w:ins w:id="0" w:author="Zimberlin, Joy" w:date="2019-06-18T10:40:00Z"/>
          <w:b w:val="0"/>
          <w:bCs/>
        </w:rPr>
      </w:pPr>
      <w:bookmarkStart w:id="1" w:name="15.7_Rate_Schedule_7_-_Charges_for_Inter"/>
      <w:bookmarkStart w:id="2" w:name="_GoBack"/>
      <w:bookmarkEnd w:id="1"/>
      <w:bookmarkEnd w:id="2"/>
      <w:ins w:id="3" w:author="Zimberlin, Joy" w:date="2019-06-18T10:40:00Z">
        <w:r>
          <w:rPr>
            <w:spacing w:val="-1"/>
          </w:rPr>
          <w:t>15.10</w:t>
        </w:r>
        <w:r>
          <w:rPr>
            <w:spacing w:val="-1"/>
          </w:rPr>
          <w:tab/>
          <w:t xml:space="preserve">Rate </w:t>
        </w:r>
        <w:r>
          <w:t>Schedule 10</w:t>
        </w:r>
        <w:r>
          <w:rPr>
            <w:spacing w:val="1"/>
          </w:rPr>
          <w:t xml:space="preserve"> </w:t>
        </w:r>
        <w:r>
          <w:t>-</w:t>
        </w:r>
        <w:r>
          <w:rPr>
            <w:spacing w:val="-1"/>
          </w:rPr>
          <w:t xml:space="preserve"> </w:t>
        </w:r>
        <w:r>
          <w:t>Charges for</w:t>
        </w:r>
        <w:r>
          <w:rPr>
            <w:spacing w:val="-1"/>
          </w:rPr>
          <w:t xml:space="preserve"> Market Participants utilizing a Meter Services Entity in the ISO Wholesale markets</w:t>
        </w:r>
      </w:ins>
    </w:p>
    <w:p w:rsidR="00B849D5" w:rsidRDefault="00C211BF">
      <w:pPr>
        <w:pStyle w:val="Bodypara"/>
        <w:rPr>
          <w:ins w:id="4" w:author="Zimberlin, Joy" w:date="2019-06-18T10:40:00Z"/>
        </w:rPr>
      </w:pPr>
      <w:ins w:id="5" w:author="Zimberlin, Joy" w:date="2019-06-18T10:40:00Z">
        <w:r>
          <w:t xml:space="preserve">The </w:t>
        </w:r>
        <w:r>
          <w:rPr>
            <w:spacing w:val="-1"/>
          </w:rPr>
          <w:t>ISO</w:t>
        </w:r>
        <w:r>
          <w:t xml:space="preserve"> </w:t>
        </w:r>
        <w:r>
          <w:rPr>
            <w:spacing w:val="-1"/>
          </w:rPr>
          <w:t>shall</w:t>
        </w:r>
        <w:r>
          <w:t xml:space="preserve"> </w:t>
        </w:r>
        <w:r>
          <w:rPr>
            <w:spacing w:val="-1"/>
          </w:rPr>
          <w:t xml:space="preserve">charge, and </w:t>
        </w:r>
        <w:r>
          <w:t>each</w:t>
        </w:r>
        <w:r>
          <w:rPr>
            <w:spacing w:val="2"/>
          </w:rPr>
          <w:t xml:space="preserve"> </w:t>
        </w:r>
        <w:r>
          <w:rPr>
            <w:spacing w:val="-1"/>
          </w:rPr>
          <w:t xml:space="preserve">Market Participant that uses a Meter Services Entity shall pay, the </w:t>
        </w:r>
        <w:r>
          <w:t>costs</w:t>
        </w:r>
        <w:r>
          <w:rPr>
            <w:spacing w:val="-1"/>
          </w:rPr>
          <w:t xml:space="preserve"> incurred by the ISO to audit a Market Participant’s utilization of a Meter Services Entity for participation in the ISO </w:t>
        </w:r>
        <w:r>
          <w:t xml:space="preserve">wholesale </w:t>
        </w:r>
        <w:r>
          <w:rPr>
            <w:spacing w:val="-1"/>
          </w:rPr>
          <w:t>markets.  Meter Services Entities must comply with, i) periodic audits in accordance with ISO procedures and the ISO requirem</w:t>
        </w:r>
        <w:r>
          <w:rPr>
            <w:spacing w:val="-1"/>
          </w:rPr>
          <w:t xml:space="preserve">ents found in Section 13.3.2.3.1 and ii) audits in accordance with ISO procedures and the ISO requirements found in Section 13.3.2.3.1 when the Market Participant enrolls new resources or modifies the metering scheme of existing resources.  </w:t>
        </w:r>
      </w:ins>
    </w:p>
    <w:p w:rsidR="00B849D5" w:rsidRDefault="00C211BF">
      <w:pPr>
        <w:pStyle w:val="Bodypara"/>
        <w:rPr>
          <w:ins w:id="6" w:author="Zimberlin, Joy" w:date="2019-06-18T10:40:00Z"/>
        </w:rPr>
      </w:pPr>
      <w:ins w:id="7" w:author="Zimberlin, Joy" w:date="2019-06-18T10:40:00Z">
        <w:r>
          <w:t xml:space="preserve">The </w:t>
        </w:r>
        <w:r>
          <w:rPr>
            <w:spacing w:val="-1"/>
          </w:rPr>
          <w:t>ISO</w:t>
        </w:r>
        <w:r>
          <w:t xml:space="preserve"> </w:t>
        </w:r>
        <w:r>
          <w:rPr>
            <w:spacing w:val="-1"/>
          </w:rPr>
          <w:t>shall</w:t>
        </w:r>
        <w:r>
          <w:t xml:space="preserve"> </w:t>
        </w:r>
        <w:r>
          <w:rPr>
            <w:spacing w:val="-1"/>
          </w:rPr>
          <w:t xml:space="preserve">calculate the costs of any such audits, inspections and/or tests </w:t>
        </w:r>
        <w:r>
          <w:t xml:space="preserve">and </w:t>
        </w:r>
        <w:r>
          <w:rPr>
            <w:spacing w:val="-1"/>
          </w:rPr>
          <w:t>assess</w:t>
        </w:r>
        <w:r>
          <w:t xml:space="preserve"> </w:t>
        </w:r>
        <w:r>
          <w:rPr>
            <w:spacing w:val="-1"/>
          </w:rPr>
          <w:t>such</w:t>
        </w:r>
        <w:r>
          <w:t xml:space="preserve"> </w:t>
        </w:r>
        <w:r>
          <w:rPr>
            <w:spacing w:val="-1"/>
          </w:rPr>
          <w:t>charges</w:t>
        </w:r>
        <w:r>
          <w:rPr>
            <w:spacing w:val="2"/>
          </w:rPr>
          <w:t xml:space="preserve"> </w:t>
        </w:r>
        <w:r>
          <w:rPr>
            <w:spacing w:val="-1"/>
          </w:rPr>
          <w:t>each</w:t>
        </w:r>
        <w:r>
          <w:t xml:space="preserve"> </w:t>
        </w:r>
        <w:r>
          <w:rPr>
            <w:spacing w:val="-1"/>
          </w:rPr>
          <w:t>Billing</w:t>
        </w:r>
        <w:r>
          <w:rPr>
            <w:spacing w:val="-3"/>
          </w:rPr>
          <w:t xml:space="preserve"> </w:t>
        </w:r>
        <w:r>
          <w:t>Period as described in this Rate Schedule.  The functions that will be subject to cost recovery will include only those costs that are incurred as a resul</w:t>
        </w:r>
        <w:r>
          <w:t>t of ISO’s audit, inspection and/or test of the services being provided by a Meter Services Entity to a Market Participant.  In accordance with ISO Procedures the ISO audit of a Meter Services Entity’s services may involve, but is not limited to, the ISO r</w:t>
        </w:r>
        <w:r>
          <w:t>eview, inspection, performance testing and review of corrective actions taken in the following categories:</w:t>
        </w:r>
      </w:ins>
    </w:p>
    <w:p w:rsidR="00B849D5" w:rsidRDefault="00C211BF">
      <w:pPr>
        <w:pStyle w:val="alphapara"/>
        <w:rPr>
          <w:ins w:id="8" w:author="Zimberlin, Joy" w:date="2019-06-18T10:40:00Z"/>
        </w:rPr>
      </w:pPr>
      <w:ins w:id="9" w:author="Zimberlin, Joy" w:date="2019-06-18T10:40:00Z">
        <w:r>
          <w:t>(A)</w:t>
        </w:r>
        <w:r>
          <w:tab/>
          <w:t xml:space="preserve">Validation, Estimation, &amp; Editing (VEE) methodology </w:t>
        </w:r>
      </w:ins>
    </w:p>
    <w:p w:rsidR="00B849D5" w:rsidRDefault="00C211BF">
      <w:pPr>
        <w:pStyle w:val="alphapara"/>
        <w:rPr>
          <w:ins w:id="10" w:author="Zimberlin, Joy" w:date="2019-06-18T10:40:00Z"/>
        </w:rPr>
      </w:pPr>
      <w:ins w:id="11" w:author="Zimberlin, Joy" w:date="2019-06-18T10:40:00Z">
        <w:r>
          <w:t>(B)</w:t>
        </w:r>
        <w:r>
          <w:tab/>
          <w:t>Site meter configurations</w:t>
        </w:r>
      </w:ins>
    </w:p>
    <w:p w:rsidR="00B849D5" w:rsidRDefault="00C211BF">
      <w:pPr>
        <w:pStyle w:val="alphapara"/>
        <w:rPr>
          <w:ins w:id="12" w:author="Zimberlin, Joy" w:date="2019-06-18T10:40:00Z"/>
        </w:rPr>
      </w:pPr>
      <w:ins w:id="13" w:author="Zimberlin, Joy" w:date="2019-06-18T10:40:00Z">
        <w:r>
          <w:t>(C)</w:t>
        </w:r>
        <w:r>
          <w:tab/>
          <w:t>Meter compliance with ISO rules and procedures</w:t>
        </w:r>
      </w:ins>
    </w:p>
    <w:p w:rsidR="00B849D5" w:rsidRDefault="00C211BF">
      <w:pPr>
        <w:pStyle w:val="alphapara"/>
        <w:rPr>
          <w:ins w:id="14" w:author="Zimberlin, Joy" w:date="2019-06-18T10:40:00Z"/>
        </w:rPr>
      </w:pPr>
      <w:ins w:id="15" w:author="Zimberlin, Joy" w:date="2019-06-18T10:40:00Z">
        <w:r>
          <w:t>(D)</w:t>
        </w:r>
        <w:r>
          <w:tab/>
          <w:t>Meter S</w:t>
        </w:r>
        <w:r>
          <w:t>ervices Entity operational protocols, procedures, record keeping, and compliance with ISO rules and procedures</w:t>
        </w:r>
      </w:ins>
    </w:p>
    <w:p w:rsidR="00B849D5" w:rsidRDefault="00C211BF">
      <w:pPr>
        <w:pStyle w:val="alphapara"/>
        <w:rPr>
          <w:ins w:id="16" w:author="Zimberlin, Joy" w:date="2019-06-18T10:40:00Z"/>
        </w:rPr>
      </w:pPr>
      <w:ins w:id="17" w:author="Zimberlin, Joy" w:date="2019-06-18T10:40:00Z">
        <w:r>
          <w:t>(E)</w:t>
        </w:r>
        <w:r>
          <w:tab/>
          <w:t>Telemetry and communication data and records</w:t>
        </w:r>
      </w:ins>
    </w:p>
    <w:p w:rsidR="00B849D5" w:rsidRDefault="00C211BF">
      <w:pPr>
        <w:pStyle w:val="Bodypara"/>
        <w:rPr>
          <w:ins w:id="18" w:author="Zimberlin, Joy" w:date="2019-06-18T10:40:00Z"/>
        </w:rPr>
      </w:pPr>
      <w:ins w:id="19" w:author="Zimberlin, Joy" w:date="2019-06-18T10:40:00Z">
        <w:r>
          <w:t>ISO cost recovery for each audit will be the sum of the ISO’s labor costs to complete each audit</w:t>
        </w:r>
        <w:r>
          <w:t xml:space="preserve"> task conducted by the ISO based on an hourly rate and a prorated cost of overhead.  In </w:t>
        </w:r>
        <w:r>
          <w:lastRenderedPageBreak/>
          <w:t>addition, if the ISO utilizes a third party vendor to complete audit tasks, the cost of that vendor will be billed to the Market Participant utilizing a MSE for their m</w:t>
        </w:r>
        <w:r>
          <w:t>eter services.</w:t>
        </w:r>
      </w:ins>
    </w:p>
    <w:p w:rsidR="00B849D5" w:rsidRDefault="00C211BF">
      <w:pPr>
        <w:pStyle w:val="Heading3"/>
        <w:rPr>
          <w:ins w:id="20" w:author="Zimberlin, Joy" w:date="2019-06-18T10:40:00Z"/>
          <w:b w:val="0"/>
          <w:bCs/>
        </w:rPr>
      </w:pPr>
      <w:bookmarkStart w:id="21" w:name="15.7.1_Responsibilities"/>
      <w:bookmarkEnd w:id="21"/>
      <w:ins w:id="22" w:author="Zimberlin, Joy" w:date="2019-06-18T10:40:00Z">
        <w:r>
          <w:rPr>
            <w:spacing w:val="-1"/>
          </w:rPr>
          <w:t>15.10.1</w:t>
        </w:r>
        <w:r>
          <w:rPr>
            <w:spacing w:val="-1"/>
          </w:rPr>
          <w:tab/>
        </w:r>
        <w:r>
          <w:t>Responsibilities</w:t>
        </w:r>
      </w:ins>
    </w:p>
    <w:p w:rsidR="00B849D5" w:rsidRDefault="00C211BF">
      <w:pPr>
        <w:pStyle w:val="Bodypara"/>
        <w:rPr>
          <w:ins w:id="23" w:author="Zimberlin, Joy" w:date="2019-06-18T10:40:00Z"/>
        </w:rPr>
      </w:pPr>
      <w:ins w:id="24" w:author="Zimberlin, Joy" w:date="2019-06-18T10:40:00Z">
        <w:r>
          <w:t xml:space="preserve">The ISO </w:t>
        </w:r>
        <w:r>
          <w:rPr>
            <w:spacing w:val="-1"/>
          </w:rPr>
          <w:t>shall</w:t>
        </w:r>
        <w:r>
          <w:t xml:space="preserve"> </w:t>
        </w:r>
        <w:r>
          <w:rPr>
            <w:spacing w:val="-1"/>
          </w:rPr>
          <w:t>cal</w:t>
        </w:r>
        <w:r>
          <w:rPr>
            <w:bCs/>
            <w:spacing w:val="-1"/>
          </w:rPr>
          <w:t>c</w:t>
        </w:r>
        <w:r>
          <w:rPr>
            <w:spacing w:val="-1"/>
          </w:rPr>
          <w:t>ulate</w:t>
        </w:r>
        <w:r>
          <w:t xml:space="preserve"> a </w:t>
        </w:r>
        <w:r>
          <w:rPr>
            <w:spacing w:val="-1"/>
          </w:rPr>
          <w:t>Meter Services Entity audit</w:t>
        </w:r>
        <w:r>
          <w:rPr>
            <w:spacing w:val="-3"/>
          </w:rPr>
          <w:t xml:space="preserve"> </w:t>
        </w:r>
        <w:r>
          <w:rPr>
            <w:spacing w:val="-1"/>
          </w:rPr>
          <w:t>services</w:t>
        </w:r>
        <w:r>
          <w:rPr>
            <w:spacing w:val="1"/>
          </w:rPr>
          <w:t xml:space="preserve"> </w:t>
        </w:r>
        <w:r>
          <w:rPr>
            <w:spacing w:val="-1"/>
          </w:rPr>
          <w:t>charge</w:t>
        </w:r>
        <w:r>
          <w:rPr>
            <w:spacing w:val="1"/>
          </w:rPr>
          <w:t xml:space="preserve"> </w:t>
        </w:r>
        <w:r>
          <w:rPr>
            <w:spacing w:val="-1"/>
          </w:rPr>
          <w:t>which</w:t>
        </w:r>
        <w:r>
          <w:t xml:space="preserve"> </w:t>
        </w:r>
        <w:r>
          <w:rPr>
            <w:spacing w:val="1"/>
          </w:rPr>
          <w:t>shall</w:t>
        </w:r>
        <w:r>
          <w:t xml:space="preserve"> be</w:t>
        </w:r>
        <w:r>
          <w:rPr>
            <w:spacing w:val="-1"/>
          </w:rPr>
          <w:t xml:space="preserve"> equal to </w:t>
        </w:r>
        <w:r>
          <w:t xml:space="preserve">the </w:t>
        </w:r>
        <w:r>
          <w:rPr>
            <w:spacing w:val="-1"/>
          </w:rPr>
          <w:t>costs</w:t>
        </w:r>
        <w:r>
          <w:t xml:space="preserve"> the </w:t>
        </w:r>
        <w:r>
          <w:rPr>
            <w:spacing w:val="-1"/>
          </w:rPr>
          <w:t>ISO</w:t>
        </w:r>
        <w:r>
          <w:t xml:space="preserve"> </w:t>
        </w:r>
        <w:r>
          <w:rPr>
            <w:spacing w:val="-1"/>
          </w:rPr>
          <w:t>incurs</w:t>
        </w:r>
        <w:r>
          <w:t xml:space="preserve"> in performing audits of Meter Services Entities, as described above in Services Tariff Section 13.3.2 for that Billing Organization.</w:t>
        </w:r>
      </w:ins>
    </w:p>
    <w:p w:rsidR="00B849D5" w:rsidRDefault="00C211BF">
      <w:pPr>
        <w:pStyle w:val="Heading3"/>
        <w:rPr>
          <w:ins w:id="25" w:author="Zimberlin, Joy" w:date="2019-06-18T10:40:00Z"/>
          <w:b w:val="0"/>
          <w:bCs/>
        </w:rPr>
      </w:pPr>
      <w:bookmarkStart w:id="26" w:name="15.7.2_Charges"/>
      <w:bookmarkEnd w:id="26"/>
      <w:ins w:id="27" w:author="Zimberlin, Joy" w:date="2019-06-18T10:40:00Z">
        <w:r>
          <w:rPr>
            <w:spacing w:val="-1"/>
          </w:rPr>
          <w:t>15.10.2</w:t>
        </w:r>
        <w:r>
          <w:rPr>
            <w:spacing w:val="-1"/>
          </w:rPr>
          <w:tab/>
        </w:r>
        <w:r>
          <w:t>Charges</w:t>
        </w:r>
      </w:ins>
    </w:p>
    <w:p w:rsidR="00B849D5" w:rsidRDefault="00C211BF">
      <w:pPr>
        <w:pStyle w:val="Bodypara"/>
        <w:rPr>
          <w:ins w:id="28" w:author="Zimberlin, Joy" w:date="2019-06-18T10:40:00Z"/>
        </w:rPr>
      </w:pPr>
      <w:ins w:id="29" w:author="Zimberlin, Joy" w:date="2019-06-18T10:40:00Z">
        <w:r>
          <w:t>In each Billing Period, the ISO shall assess any applicable Metering Services Entity audit</w:t>
        </w:r>
        <w:r>
          <w:rPr>
            <w:spacing w:val="-1"/>
          </w:rPr>
          <w:t xml:space="preserve"> services charge</w:t>
        </w:r>
        <w:r>
          <w:rPr>
            <w:spacing w:val="-1"/>
          </w:rPr>
          <w:t xml:space="preserve">s </w:t>
        </w:r>
        <w:r>
          <w:t xml:space="preserve">for </w:t>
        </w:r>
        <w:r>
          <w:rPr>
            <w:spacing w:val="-1"/>
          </w:rPr>
          <w:t>each</w:t>
        </w:r>
        <w:r>
          <w:rPr>
            <w:spacing w:val="2"/>
          </w:rPr>
          <w:t xml:space="preserve"> Billing Organization</w:t>
        </w:r>
        <w:r>
          <w:rPr>
            <w:spacing w:val="-1"/>
          </w:rPr>
          <w:t>.  Upon request, the NYISO will provide to the billing organization a detailed listing of the costs incurred for the given Billing Period.</w:t>
        </w:r>
      </w:ins>
    </w:p>
    <w:p w:rsidR="00B849D5" w:rsidRDefault="00B849D5"/>
    <w:sectPr w:rsidR="00B849D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1BF">
      <w:r>
        <w:separator/>
      </w:r>
    </w:p>
  </w:endnote>
  <w:endnote w:type="continuationSeparator" w:id="0">
    <w:p w:rsidR="00000000" w:rsidRDefault="00C2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D5" w:rsidRDefault="00C211BF">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D5" w:rsidRDefault="00C211BF">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D5" w:rsidRDefault="00C211BF">
    <w:pPr>
      <w:jc w:val="right"/>
    </w:pPr>
    <w:r>
      <w:rPr>
        <w:rFonts w:ascii="Arial" w:eastAsia="Arial" w:hAnsi="Arial" w:cs="Arial"/>
        <w:color w:val="000000"/>
        <w:sz w:val="16"/>
      </w:rPr>
      <w:t xml:space="preserve">Effective Date: 5/1/2020 - Docket #: ER19-2276-001 -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1BF">
      <w:r>
        <w:separator/>
      </w:r>
    </w:p>
  </w:footnote>
  <w:footnote w:type="continuationSeparator" w:id="0">
    <w:p w:rsidR="00000000" w:rsidRDefault="00C21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D5" w:rsidRDefault="00C211BF">
    <w:r>
      <w:rPr>
        <w:rFonts w:ascii="Arial" w:eastAsia="Arial" w:hAnsi="Arial" w:cs="Arial"/>
        <w:color w:val="000000"/>
        <w:sz w:val="16"/>
      </w:rPr>
      <w:t>NYISO Tariffs -</w:t>
    </w:r>
    <w:r>
      <w:rPr>
        <w:rFonts w:ascii="Arial" w:eastAsia="Arial" w:hAnsi="Arial" w:cs="Arial"/>
        <w:color w:val="000000"/>
        <w:sz w:val="16"/>
      </w:rPr>
      <w:t xml:space="preserve">-&gt; Market Administration and Control Area Services Tariff (MST) --&gt; 15 MST Rate Schedules --&gt; 15.10 MST Rate Schedule 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D5" w:rsidRDefault="00C211BF">
    <w:r>
      <w:rPr>
        <w:rFonts w:ascii="Arial" w:eastAsia="Arial" w:hAnsi="Arial" w:cs="Arial"/>
        <w:color w:val="000000"/>
        <w:sz w:val="16"/>
      </w:rPr>
      <w:t>NYISO Tariffs --&gt; Market Administration and Control Area Services Tariff (MST) --&gt; 15 MST Rate Schedules --&gt; 15.10 MST Rate Schedule 1</w:t>
    </w:r>
    <w:r>
      <w:rPr>
        <w:rFonts w:ascii="Arial" w:eastAsia="Arial" w:hAnsi="Arial" w:cs="Arial"/>
        <w:color w:val="000000"/>
        <w:sz w:val="16"/>
      </w:rPr>
      <w:t xml:space="preserve">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D5" w:rsidRDefault="00C211BF">
    <w:r>
      <w:rPr>
        <w:rFonts w:ascii="Arial" w:eastAsia="Arial" w:hAnsi="Arial" w:cs="Arial"/>
        <w:color w:val="000000"/>
        <w:sz w:val="16"/>
      </w:rPr>
      <w:t>NYISO Tariffs --&gt; Market Administration and Control Area Services Tariff (MST) --&gt; 15 MST Rate Schedules --&gt; 15.10 MST Rate</w:t>
    </w:r>
    <w:r>
      <w:rPr>
        <w:rFonts w:ascii="Arial" w:eastAsia="Arial" w:hAnsi="Arial" w:cs="Arial"/>
        <w:color w:val="000000"/>
        <w:sz w:val="16"/>
      </w:rPr>
      <w:t xml:space="preserve"> Schedule 10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7A7"/>
    <w:multiLevelType w:val="multilevel"/>
    <w:tmpl w:val="9C7AA5E0"/>
    <w:lvl w:ilvl="0">
      <w:start w:val="15"/>
      <w:numFmt w:val="decimal"/>
      <w:lvlText w:val="%1"/>
      <w:lvlJc w:val="left"/>
      <w:pPr>
        <w:ind w:left="1180" w:hanging="1080"/>
        <w:jc w:val="left"/>
      </w:pPr>
      <w:rPr>
        <w:rFonts w:hint="default"/>
      </w:rPr>
    </w:lvl>
    <w:lvl w:ilvl="1">
      <w:start w:val="7"/>
      <w:numFmt w:val="decimal"/>
      <w:lvlText w:val="%1.%2"/>
      <w:lvlJc w:val="left"/>
      <w:pPr>
        <w:ind w:left="1180" w:hanging="1080"/>
        <w:jc w:val="left"/>
      </w:pPr>
      <w:rPr>
        <w:rFonts w:ascii="Times New Roman" w:eastAsia="Times New Roman" w:hAnsi="Times New Roman" w:hint="default"/>
        <w:b/>
        <w:bCs/>
        <w:sz w:val="24"/>
        <w:szCs w:val="24"/>
      </w:rPr>
    </w:lvl>
    <w:lvl w:ilvl="2">
      <w:start w:val="1"/>
      <w:numFmt w:val="decimal"/>
      <w:lvlText w:val="%1.%2.%3"/>
      <w:lvlJc w:val="left"/>
      <w:pPr>
        <w:ind w:left="1180" w:hanging="1080"/>
        <w:jc w:val="left"/>
      </w:pPr>
      <w:rPr>
        <w:rFonts w:ascii="Times New Roman" w:eastAsia="Times New Roman" w:hAnsi="Times New Roman" w:hint="default"/>
        <w:b/>
        <w:bCs/>
        <w:sz w:val="24"/>
        <w:szCs w:val="24"/>
      </w:rPr>
    </w:lvl>
    <w:lvl w:ilvl="3">
      <w:start w:val="1"/>
      <w:numFmt w:val="bullet"/>
      <w:lvlText w:val=""/>
      <w:lvlJc w:val="left"/>
      <w:pPr>
        <w:ind w:left="820" w:hanging="360"/>
      </w:pPr>
      <w:rPr>
        <w:rFonts w:ascii="Symbol" w:eastAsia="Symbol" w:hAnsi="Symbol" w:hint="default"/>
        <w:sz w:val="24"/>
        <w:szCs w:val="24"/>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
    <w:nsid w:val="124D597F"/>
    <w:multiLevelType w:val="hybridMultilevel"/>
    <w:tmpl w:val="7214DDF4"/>
    <w:lvl w:ilvl="0" w:tplc="F18AD4D2">
      <w:start w:val="1"/>
      <w:numFmt w:val="upperLetter"/>
      <w:lvlText w:val="%1)"/>
      <w:lvlJc w:val="left"/>
      <w:pPr>
        <w:ind w:left="1260" w:hanging="360"/>
      </w:pPr>
      <w:rPr>
        <w:rFonts w:hint="default"/>
      </w:rPr>
    </w:lvl>
    <w:lvl w:ilvl="1" w:tplc="1EA64C40">
      <w:start w:val="1"/>
      <w:numFmt w:val="lowerLetter"/>
      <w:lvlText w:val="%2."/>
      <w:lvlJc w:val="left"/>
      <w:pPr>
        <w:ind w:left="1980" w:hanging="360"/>
      </w:pPr>
    </w:lvl>
    <w:lvl w:ilvl="2" w:tplc="9F04FAC4" w:tentative="1">
      <w:start w:val="1"/>
      <w:numFmt w:val="lowerRoman"/>
      <w:lvlText w:val="%3."/>
      <w:lvlJc w:val="right"/>
      <w:pPr>
        <w:ind w:left="2700" w:hanging="180"/>
      </w:pPr>
    </w:lvl>
    <w:lvl w:ilvl="3" w:tplc="C00ABDDA" w:tentative="1">
      <w:start w:val="1"/>
      <w:numFmt w:val="decimal"/>
      <w:lvlText w:val="%4."/>
      <w:lvlJc w:val="left"/>
      <w:pPr>
        <w:ind w:left="3420" w:hanging="360"/>
      </w:pPr>
    </w:lvl>
    <w:lvl w:ilvl="4" w:tplc="07CEA9A8" w:tentative="1">
      <w:start w:val="1"/>
      <w:numFmt w:val="lowerLetter"/>
      <w:lvlText w:val="%5."/>
      <w:lvlJc w:val="left"/>
      <w:pPr>
        <w:ind w:left="4140" w:hanging="360"/>
      </w:pPr>
    </w:lvl>
    <w:lvl w:ilvl="5" w:tplc="0D84E9FA" w:tentative="1">
      <w:start w:val="1"/>
      <w:numFmt w:val="lowerRoman"/>
      <w:lvlText w:val="%6."/>
      <w:lvlJc w:val="right"/>
      <w:pPr>
        <w:ind w:left="4860" w:hanging="180"/>
      </w:pPr>
    </w:lvl>
    <w:lvl w:ilvl="6" w:tplc="B3F4107E" w:tentative="1">
      <w:start w:val="1"/>
      <w:numFmt w:val="decimal"/>
      <w:lvlText w:val="%7."/>
      <w:lvlJc w:val="left"/>
      <w:pPr>
        <w:ind w:left="5580" w:hanging="360"/>
      </w:pPr>
    </w:lvl>
    <w:lvl w:ilvl="7" w:tplc="0A36378E" w:tentative="1">
      <w:start w:val="1"/>
      <w:numFmt w:val="lowerLetter"/>
      <w:lvlText w:val="%8."/>
      <w:lvlJc w:val="left"/>
      <w:pPr>
        <w:ind w:left="6300" w:hanging="360"/>
      </w:pPr>
    </w:lvl>
    <w:lvl w:ilvl="8" w:tplc="BB9CEBD4"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D5"/>
    <w:rsid w:val="00B849D5"/>
    <w:rsid w:val="00C2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80" w:hanging="108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pPr>
      <w:keepNext/>
      <w:pageBreakBefore/>
      <w:widowControl/>
      <w:tabs>
        <w:tab w:val="left" w:pos="1080"/>
      </w:tabs>
      <w:spacing w:before="240" w:after="240"/>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9"/>
    <w:qFormat/>
    <w:pPr>
      <w:keepNext/>
      <w:keepLines/>
      <w:widowControl/>
      <w:tabs>
        <w:tab w:val="left" w:pos="1080"/>
      </w:tabs>
      <w:spacing w:before="240" w:after="240"/>
      <w:ind w:left="1080" w:right="634" w:hanging="108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4"/>
    </w:rPr>
  </w:style>
  <w:style w:type="paragraph" w:customStyle="1" w:styleId="Bodypara">
    <w:name w:val="Body para"/>
    <w:basedOn w:val="Normal"/>
    <w:link w:val="BodyparaChar"/>
    <w:uiPriority w:val="99"/>
    <w:pPr>
      <w:widowControl/>
      <w:spacing w:line="480" w:lineRule="auto"/>
      <w:ind w:firstLine="720"/>
    </w:pPr>
    <w:rPr>
      <w:rFonts w:ascii="Times New Roman" w:eastAsia="Times New Roman" w:hAnsi="Times New Roman" w:cs="Times New Roman"/>
      <w:sz w:val="24"/>
      <w:szCs w:val="24"/>
    </w:rPr>
  </w:style>
  <w:style w:type="character" w:customStyle="1" w:styleId="BodyparaChar">
    <w:name w:val="Body para Char"/>
    <w:link w:val="Bodypara"/>
    <w:uiPriority w:val="9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Pr>
      <w:rFonts w:ascii="Times New Roman" w:eastAsia="Times New Roman" w:hAnsi="Times New Roman" w:cs="Times New Roman"/>
      <w:b/>
      <w:sz w:val="24"/>
      <w:szCs w:val="24"/>
    </w:rPr>
  </w:style>
  <w:style w:type="paragraph" w:customStyle="1" w:styleId="alphapara">
    <w:name w:val="alpha para"/>
    <w:basedOn w:val="Bodypara"/>
    <w:link w:val="alphaparaChar"/>
    <w:pPr>
      <w:ind w:left="1440" w:hanging="720"/>
    </w:pPr>
  </w:style>
  <w:style w:type="character" w:customStyle="1" w:styleId="alphaparaChar">
    <w:name w:val="alpha para Char"/>
    <w:basedOn w:val="DefaultParagraphFont"/>
    <w:link w:val="alphapara"/>
    <w:uiPriority w:val="99"/>
    <w:lock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80" w:hanging="108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pPr>
      <w:keepNext/>
      <w:pageBreakBefore/>
      <w:widowControl/>
      <w:tabs>
        <w:tab w:val="left" w:pos="1080"/>
      </w:tabs>
      <w:spacing w:before="240" w:after="240"/>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9"/>
    <w:qFormat/>
    <w:pPr>
      <w:keepNext/>
      <w:keepLines/>
      <w:widowControl/>
      <w:tabs>
        <w:tab w:val="left" w:pos="1080"/>
      </w:tabs>
      <w:spacing w:before="240" w:after="240"/>
      <w:ind w:left="1080" w:right="634" w:hanging="108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4"/>
    </w:rPr>
  </w:style>
  <w:style w:type="paragraph" w:customStyle="1" w:styleId="Bodypara">
    <w:name w:val="Body para"/>
    <w:basedOn w:val="Normal"/>
    <w:link w:val="BodyparaChar"/>
    <w:uiPriority w:val="99"/>
    <w:pPr>
      <w:widowControl/>
      <w:spacing w:line="480" w:lineRule="auto"/>
      <w:ind w:firstLine="720"/>
    </w:pPr>
    <w:rPr>
      <w:rFonts w:ascii="Times New Roman" w:eastAsia="Times New Roman" w:hAnsi="Times New Roman" w:cs="Times New Roman"/>
      <w:sz w:val="24"/>
      <w:szCs w:val="24"/>
    </w:rPr>
  </w:style>
  <w:style w:type="character" w:customStyle="1" w:styleId="BodyparaChar">
    <w:name w:val="Body para Char"/>
    <w:link w:val="Bodypara"/>
    <w:uiPriority w:val="9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Pr>
      <w:rFonts w:ascii="Times New Roman" w:eastAsia="Times New Roman" w:hAnsi="Times New Roman" w:cs="Times New Roman"/>
      <w:b/>
      <w:sz w:val="24"/>
      <w:szCs w:val="24"/>
    </w:rPr>
  </w:style>
  <w:style w:type="paragraph" w:customStyle="1" w:styleId="alphapara">
    <w:name w:val="alpha para"/>
    <w:basedOn w:val="Bodypara"/>
    <w:link w:val="alphaparaChar"/>
    <w:pPr>
      <w:ind w:left="1440" w:hanging="720"/>
    </w:pPr>
  </w:style>
  <w:style w:type="character" w:customStyle="1" w:styleId="alphaparaChar">
    <w:name w:val="alpha para Char"/>
    <w:basedOn w:val="DefaultParagraphFont"/>
    <w:link w:val="alphapara"/>
    <w:uiPriority w:val="99"/>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PORTALPPM-1942338773-375</_dlc_DocId>
    <_dlc_DocIdUrl xmlns="71ccccbe-1511-42f1-b286-e696e814489e">
      <Url>https://portal.nyiso.com/sites/ppm/projects/dr/m133/_layouts/DocIdRedir.aspx?ID=PORTALPPM-1942338773-375</Url>
      <Description>PORTALPPM-1942338773-375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C6DE7-C08E-424D-84B0-D0735736F864}">
  <ds:schemaRefs>
    <ds:schemaRef ds:uri="http://schemas.microsoft.com/sharepoint/events"/>
  </ds:schemaRefs>
</ds:datastoreItem>
</file>

<file path=customXml/itemProps2.xml><?xml version="1.0" encoding="utf-8"?>
<ds:datastoreItem xmlns:ds="http://schemas.openxmlformats.org/officeDocument/2006/customXml" ds:itemID="{7D9588F4-5B50-4C3D-B8E5-BF8D03F25B36}">
  <ds:schemaRefs>
    <ds:schemaRef ds:uri="http://schemas.microsoft.com/sharepoint/v3/contenttype/forms"/>
  </ds:schemaRefs>
</ds:datastoreItem>
</file>

<file path=customXml/itemProps3.xml><?xml version="1.0" encoding="utf-8"?>
<ds:datastoreItem xmlns:ds="http://schemas.openxmlformats.org/officeDocument/2006/customXml" ds:itemID="{EB8CE9E8-2E1F-4542-AEA1-C6DE9A4F3EB4}">
  <ds:schemaRefs>
    <ds:schemaRef ds:uri="http://schemas.microsoft.com/office/2006/metadata/properties"/>
    <ds:schemaRef ds:uri="http://schemas.microsoft.com/office/infopath/2007/PartnerControls"/>
    <ds:schemaRef ds:uri="71ccccbe-1511-42f1-b286-e696e814489e"/>
  </ds:schemaRefs>
</ds:datastoreItem>
</file>

<file path=customXml/itemProps4.xml><?xml version="1.0" encoding="utf-8"?>
<ds:datastoreItem xmlns:ds="http://schemas.openxmlformats.org/officeDocument/2006/customXml" ds:itemID="{67084FD0-CD2F-4D34-A8D3-037C2DBB1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Christopher</dc:creator>
  <cp:lastModifiedBy>TMSServices Starter</cp:lastModifiedBy>
  <cp:revision>2</cp:revision>
  <cp:lastPrinted>2019-03-27T17:40:00Z</cp:lastPrinted>
  <dcterms:created xsi:type="dcterms:W3CDTF">2020-05-13T19:00:00Z</dcterms:created>
  <dcterms:modified xsi:type="dcterms:W3CDTF">2020-05-13T19:00:00Z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Created">
    <vt:filetime>2018-09-17T00:00:00Z</vt:filetime>
  </property>
  <property fmtid="{D5CDD505-2E9C-101B-9397-08002B2CF9AE}" pid="4" name="LastSaved">
    <vt:filetime>2018-09-17T00:00:00Z</vt:filetime>
  </property>
  <property fmtid="{D5CDD505-2E9C-101B-9397-08002B2CF9AE}" pid="5" name="_dlc_DocIdItemGuid">
    <vt:lpwstr>11c07bd8-e95a-4f47-8021-1b01918b62e6</vt:lpwstr>
  </property>
</Properties>
</file>