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719" w:rsidRDefault="00C46825">
      <w:pPr>
        <w:pStyle w:val="Heading2"/>
        <w:pageBreakBefore w:val="0"/>
      </w:pPr>
      <w:bookmarkStart w:id="0" w:name="_Toc263691832"/>
      <w:bookmarkStart w:id="1" w:name="_GoBack"/>
      <w:bookmarkEnd w:id="1"/>
      <w:r>
        <w:t>26.4</w:t>
      </w:r>
      <w:r>
        <w:tab/>
        <w:t>Operating Requirement and Bidding Requirement</w:t>
      </w:r>
      <w:bookmarkEnd w:id="0"/>
    </w:p>
    <w:p w:rsidR="00AF7719" w:rsidRDefault="00C46825">
      <w:pPr>
        <w:pStyle w:val="Heading3"/>
      </w:pPr>
      <w:bookmarkStart w:id="2" w:name="_Toc263691833"/>
      <w:r>
        <w:t>26.4.1</w:t>
      </w:r>
      <w:r>
        <w:tab/>
        <w:t>Purpose and Function</w:t>
      </w:r>
      <w:bookmarkEnd w:id="2"/>
      <w:r>
        <w:t xml:space="preserve">  </w:t>
      </w:r>
    </w:p>
    <w:p w:rsidR="00AF7719" w:rsidRDefault="00C46825">
      <w:pPr>
        <w:pStyle w:val="Bodypara"/>
        <w:rPr>
          <w:bCs/>
        </w:rPr>
      </w:pPr>
      <w:r>
        <w:t xml:space="preserve">The Operating Requirement is a measure of a Customer’s expected financial obligations to the ISO based on the nature and extent of that Customer’s participation in ISO-Administered Markets.  </w:t>
      </w:r>
      <w:r>
        <w:rPr>
          <w:bCs/>
        </w:rPr>
        <w:t xml:space="preserve">A Customer shall be required to allocate Unsecured Credit, where </w:t>
      </w:r>
      <w:r>
        <w:rPr>
          <w:bCs/>
        </w:rPr>
        <w:t xml:space="preserve">allowed, and/or provide collateral in an amount equal to or greater than its Operating Requirement.  Upon a Customer’s written request, the ISO will provide a written explanation for any changes in the Customer’s Operating Requirement.  </w:t>
      </w:r>
    </w:p>
    <w:p w:rsidR="00AF7719" w:rsidRDefault="00C46825">
      <w:pPr>
        <w:pStyle w:val="Bodypara"/>
      </w:pPr>
      <w:r>
        <w:t>The Bidding Requir</w:t>
      </w:r>
      <w:r>
        <w:t xml:space="preserve">ement is a measure of a Customer’s potential financial obligation to </w:t>
      </w:r>
      <w:r>
        <w:rPr>
          <w:bCs/>
        </w:rPr>
        <w:t>the</w:t>
      </w:r>
      <w:r>
        <w:t xml:space="preserve"> ISO based upon </w:t>
      </w:r>
      <w:r>
        <w:rPr>
          <w:bCs/>
        </w:rPr>
        <w:t>the</w:t>
      </w:r>
      <w:r>
        <w:t xml:space="preserve"> bids that Customer seeks to submit in an ISO-administered TCC or ICAP auction.  </w:t>
      </w:r>
      <w:bookmarkStart w:id="3" w:name="OLE_LINK6"/>
      <w:bookmarkStart w:id="4" w:name="OLE_LINK7"/>
      <w:r>
        <w:t xml:space="preserve">A Customer shall be required to allocate Unsecured Credit, where allowed, and/or </w:t>
      </w:r>
      <w:bookmarkEnd w:id="3"/>
      <w:bookmarkEnd w:id="4"/>
      <w:r>
        <w:t>pro</w:t>
      </w:r>
      <w:r>
        <w:t>vide collateral in an amount equal to or greater than its Bidding Requirement prior to submitting bids in an ISO-administered TCC or ICAP auction.</w:t>
      </w:r>
    </w:p>
    <w:p w:rsidR="00AF7719" w:rsidRDefault="00C46825">
      <w:pPr>
        <w:pStyle w:val="Heading3"/>
      </w:pPr>
      <w:bookmarkStart w:id="5" w:name="_Toc263691834"/>
      <w:r>
        <w:t>26.4.2</w:t>
      </w:r>
      <w:r>
        <w:tab/>
        <w:t>Calculation of Operating Requirement</w:t>
      </w:r>
      <w:bookmarkEnd w:id="5"/>
      <w:r>
        <w:t xml:space="preserve"> </w:t>
      </w:r>
    </w:p>
    <w:p w:rsidR="00AF7719" w:rsidRDefault="00C46825">
      <w:pPr>
        <w:pStyle w:val="Bodypara"/>
      </w:pPr>
      <w:r>
        <w:t>The Operating Requirement shall be equal to the sum of (i) the E</w:t>
      </w:r>
      <w:r>
        <w:t xml:space="preserve">nergy and Ancillary Services Component;  (ii) the External Transaction Component; (iii) the UCAP Component; (iv) the TCC Component; (v) the WTSC Component; (vi) the </w:t>
      </w:r>
      <w:r>
        <w:rPr>
          <w:bCs/>
        </w:rPr>
        <w:t>Virtual</w:t>
      </w:r>
      <w:r>
        <w:t xml:space="preserve"> Transaction Component; </w:t>
      </w:r>
      <w:del w:id="6" w:author="Cutting, John" w:date="2019-06-07T09:14:00Z">
        <w:r>
          <w:delText xml:space="preserve">(vii) the DADRP Component; (viii) the DSASP Component;  </w:delText>
        </w:r>
      </w:del>
      <w:r>
        <w:t>(</w:t>
      </w:r>
      <w:del w:id="7" w:author="Cutting, John" w:date="2019-06-07T09:15:00Z">
        <w:r>
          <w:delText>ix</w:delText>
        </w:r>
      </w:del>
      <w:ins w:id="8" w:author="Cutting, John" w:date="2019-06-07T09:15:00Z">
        <w:r>
          <w:t>v</w:t>
        </w:r>
        <w:r>
          <w:t>ii</w:t>
        </w:r>
      </w:ins>
      <w:r>
        <w:t>) the Projected True-Up Exposure Component; and (</w:t>
      </w:r>
      <w:del w:id="9" w:author="Cutting, John" w:date="2019-06-07T09:15:00Z">
        <w:r>
          <w:delText>x</w:delText>
        </w:r>
      </w:del>
      <w:ins w:id="10" w:author="Cutting, John" w:date="2019-06-07T09:15:00Z">
        <w:r>
          <w:t>viii</w:t>
        </w:r>
      </w:ins>
      <w:r>
        <w:t xml:space="preserve">) the Former RMR Generator Component, where:  </w:t>
      </w:r>
    </w:p>
    <w:p w:rsidR="00AF7719" w:rsidRDefault="00C46825">
      <w:pPr>
        <w:pStyle w:val="Heading4"/>
      </w:pPr>
      <w:bookmarkStart w:id="11" w:name="_Toc263691835"/>
      <w:r>
        <w:t>26.4.2.1</w:t>
      </w:r>
      <w:r>
        <w:tab/>
        <w:t>Energy and Ancillary Services Component</w:t>
      </w:r>
      <w:bookmarkEnd w:id="11"/>
      <w:r>
        <w:t xml:space="preserve"> </w:t>
      </w:r>
    </w:p>
    <w:p w:rsidR="00AF7719" w:rsidRDefault="00C46825">
      <w:pPr>
        <w:pStyle w:val="Bodypara"/>
      </w:pPr>
      <w:r>
        <w:t xml:space="preserve">The Energy and Ancillary Services Component shall be equal to: </w:t>
      </w:r>
    </w:p>
    <w:p w:rsidR="00AF7719" w:rsidRDefault="00C46825">
      <w:pPr>
        <w:pStyle w:val="alphapara"/>
      </w:pPr>
      <w:r>
        <w:t>(a)</w:t>
      </w:r>
      <w:r>
        <w:tab/>
        <w:t xml:space="preserve">For Customers without a prepayment </w:t>
      </w:r>
      <w:r>
        <w:t xml:space="preserve">agreement, the greater of either: </w:t>
      </w:r>
    </w:p>
    <w:p w:rsidR="00AF7719" w:rsidRDefault="00C46825">
      <w:pPr>
        <w:pStyle w:val="Bodypara"/>
        <w:jc w:val="center"/>
        <w:rPr>
          <w:bCs/>
        </w:rPr>
      </w:pPr>
      <m:oMath>
        <m:f>
          <m:fPr>
            <m:ctrlPr>
              <w:rPr>
                <w:rFonts w:ascii="Cambria Math" w:hAnsi="Cambria Math"/>
                <w:bCs/>
                <w:i/>
                <w:sz w:val="28"/>
              </w:rPr>
            </m:ctrlPr>
          </m:fPr>
          <m:num>
            <m:r>
              <w:rPr>
                <w:rFonts w:ascii="Cambria Math" w:hAnsi="Cambria Math"/>
                <w:sz w:val="28"/>
              </w:rPr>
              <m:t>Basis</m:t>
            </m:r>
            <m:r>
              <w:rPr>
                <w:rFonts w:ascii="Cambria Math" w:hAnsi="Cambria Math"/>
                <w:sz w:val="28"/>
              </w:rPr>
              <m:t xml:space="preserve"> </m:t>
            </m:r>
            <m:r>
              <w:rPr>
                <w:rFonts w:ascii="Cambria Math" w:hAnsi="Cambria Math"/>
                <w:sz w:val="28"/>
              </w:rPr>
              <m:t>Amount</m:t>
            </m:r>
            <m:r>
              <w:rPr>
                <w:rFonts w:ascii="Cambria Math" w:hAnsi="Cambria Math"/>
                <w:sz w:val="28"/>
              </w:rPr>
              <m:t xml:space="preserve"> </m:t>
            </m:r>
            <m:r>
              <w:rPr>
                <w:rFonts w:ascii="Cambria Math" w:hAnsi="Cambria Math"/>
                <w:sz w:val="28"/>
              </w:rPr>
              <m:t>for</m:t>
            </m:r>
            <m:r>
              <w:rPr>
                <w:rFonts w:ascii="Cambria Math" w:hAnsi="Cambria Math"/>
                <w:sz w:val="28"/>
              </w:rPr>
              <m:t xml:space="preserve"> </m:t>
            </m:r>
            <m:r>
              <w:rPr>
                <w:rFonts w:ascii="Cambria Math" w:hAnsi="Cambria Math"/>
                <w:sz w:val="28"/>
              </w:rPr>
              <m:t>Energy</m:t>
            </m:r>
            <m:r>
              <w:rPr>
                <w:rFonts w:ascii="Cambria Math" w:hAnsi="Cambria Math"/>
                <w:sz w:val="28"/>
              </w:rPr>
              <m:t xml:space="preserve"> </m:t>
            </m:r>
            <m:r>
              <w:rPr>
                <w:rFonts w:ascii="Cambria Math" w:hAnsi="Cambria Math"/>
                <w:sz w:val="28"/>
              </w:rPr>
              <m:t>and</m:t>
            </m:r>
            <m:r>
              <w:rPr>
                <w:rFonts w:ascii="Cambria Math" w:hAnsi="Cambria Math"/>
                <w:sz w:val="28"/>
              </w:rPr>
              <m:t xml:space="preserve"> </m:t>
            </m:r>
            <m:r>
              <w:rPr>
                <w:rFonts w:ascii="Cambria Math" w:hAnsi="Cambria Math"/>
                <w:sz w:val="28"/>
              </w:rPr>
              <m:t>Ancillary</m:t>
            </m:r>
            <m:r>
              <w:rPr>
                <w:rFonts w:ascii="Cambria Math" w:hAnsi="Cambria Math"/>
                <w:sz w:val="28"/>
              </w:rPr>
              <m:t xml:space="preserve"> </m:t>
            </m:r>
            <m:r>
              <w:rPr>
                <w:rFonts w:ascii="Cambria Math" w:hAnsi="Cambria Math"/>
                <w:sz w:val="28"/>
              </w:rPr>
              <m:t>Services</m:t>
            </m:r>
          </m:num>
          <m:den>
            <m:r>
              <w:rPr>
                <w:rFonts w:ascii="Cambria Math" w:hAnsi="Cambria Math"/>
                <w:sz w:val="28"/>
              </w:rPr>
              <m:t>Days</m:t>
            </m:r>
            <m:r>
              <w:rPr>
                <w:rFonts w:ascii="Cambria Math" w:hAnsi="Cambria Math"/>
                <w:sz w:val="28"/>
              </w:rPr>
              <m:t xml:space="preserve"> </m:t>
            </m:r>
            <m:r>
              <w:rPr>
                <w:rFonts w:ascii="Cambria Math" w:hAnsi="Cambria Math"/>
                <w:sz w:val="28"/>
              </w:rPr>
              <m:t>in</m:t>
            </m:r>
            <m:r>
              <w:rPr>
                <w:rFonts w:ascii="Cambria Math" w:hAnsi="Cambria Math"/>
                <w:sz w:val="28"/>
              </w:rPr>
              <m:t xml:space="preserve"> </m:t>
            </m:r>
            <m:r>
              <w:rPr>
                <w:rFonts w:ascii="Cambria Math" w:hAnsi="Cambria Math"/>
                <w:sz w:val="28"/>
              </w:rPr>
              <m:t>Basis</m:t>
            </m:r>
            <m:r>
              <w:rPr>
                <w:rFonts w:ascii="Cambria Math" w:hAnsi="Cambria Math"/>
                <w:sz w:val="28"/>
              </w:rPr>
              <m:t xml:space="preserve"> </m:t>
            </m:r>
            <m:r>
              <w:rPr>
                <w:rFonts w:ascii="Cambria Math" w:hAnsi="Cambria Math"/>
                <w:sz w:val="28"/>
              </w:rPr>
              <m:t>Mont</m:t>
            </m:r>
            <m:r>
              <w:rPr>
                <w:rFonts w:ascii="Cambria Math" w:hAnsi="Cambria Math"/>
                <w:sz w:val="28"/>
              </w:rPr>
              <m:t>h</m:t>
            </m:r>
          </m:den>
        </m:f>
      </m:oMath>
      <w:r>
        <w:rPr>
          <w:bCs/>
          <w:sz w:val="32"/>
        </w:rPr>
        <w:t xml:space="preserve"> </w:t>
      </w:r>
      <w:r>
        <w:rPr>
          <w:bCs/>
        </w:rPr>
        <w:t>* 16</w:t>
      </w:r>
    </w:p>
    <w:p w:rsidR="00AF7719" w:rsidRDefault="00C46825">
      <w:pPr>
        <w:pStyle w:val="Bodypara"/>
      </w:pPr>
      <w:r>
        <w:t>- or -</w:t>
      </w:r>
    </w:p>
    <w:p w:rsidR="00AF7719" w:rsidRDefault="00C46825">
      <w:pPr>
        <w:keepNext/>
        <w:jc w:val="center"/>
      </w:pPr>
      <m:oMathPara>
        <m:oMath>
          <m:f>
            <m:fPr>
              <m:ctrlPr>
                <w:rPr>
                  <w:rFonts w:ascii="Cambria Math" w:hAnsi="Cambria Math"/>
                  <w:i/>
                  <w:sz w:val="22"/>
                </w:rPr>
              </m:ctrlPr>
            </m:fPr>
            <m:num>
              <m:eqArr>
                <m:eqArrPr>
                  <m:ctrlPr>
                    <w:rPr>
                      <w:rFonts w:ascii="Cambria Math" w:hAnsi="Cambria Math"/>
                      <w:i/>
                      <w:sz w:val="22"/>
                    </w:rPr>
                  </m:ctrlPr>
                </m:eqArrPr>
                <m:e>
                  <m:r>
                    <w:rPr>
                      <w:rFonts w:ascii="Cambria Math" w:hAnsi="Cambria Math"/>
                      <w:sz w:val="22"/>
                    </w:rPr>
                    <m:t>Total</m:t>
                  </m:r>
                  <m:r>
                    <w:rPr>
                      <w:rFonts w:ascii="Cambria Math" w:hAnsi="Cambria Math"/>
                      <w:sz w:val="22"/>
                    </w:rPr>
                    <m:t xml:space="preserve"> </m:t>
                  </m:r>
                  <m:r>
                    <w:rPr>
                      <w:rFonts w:ascii="Cambria Math" w:hAnsi="Cambria Math"/>
                      <w:sz w:val="22"/>
                    </w:rPr>
                    <m:t>C</m:t>
                  </m:r>
                  <m:r>
                    <w:rPr>
                      <w:rFonts w:ascii="Cambria Math" w:hAnsi="Cambria Math"/>
                      <w:sz w:val="22"/>
                    </w:rPr>
                    <m:t>h</m:t>
                  </m:r>
                  <m:r>
                    <w:rPr>
                      <w:rFonts w:ascii="Cambria Math" w:hAnsi="Cambria Math"/>
                      <w:sz w:val="22"/>
                    </w:rPr>
                    <m:t>arges</m:t>
                  </m:r>
                  <m:r>
                    <w:rPr>
                      <w:rFonts w:ascii="Cambria Math" w:hAnsi="Cambria Math"/>
                      <w:sz w:val="22"/>
                    </w:rPr>
                    <m:t xml:space="preserve"> </m:t>
                  </m:r>
                  <m:r>
                    <w:rPr>
                      <w:rFonts w:ascii="Cambria Math" w:hAnsi="Cambria Math"/>
                      <w:sz w:val="22"/>
                    </w:rPr>
                    <m:t>Incurred</m:t>
                  </m:r>
                  <m:r>
                    <w:rPr>
                      <w:rFonts w:ascii="Cambria Math" w:hAnsi="Cambria Math"/>
                      <w:sz w:val="22"/>
                    </w:rPr>
                    <m:t xml:space="preserve"> </m:t>
                  </m:r>
                  <m:r>
                    <w:rPr>
                      <w:rFonts w:ascii="Cambria Math" w:hAnsi="Cambria Math"/>
                      <w:sz w:val="22"/>
                    </w:rPr>
                    <m:t>for</m:t>
                  </m:r>
                  <m:r>
                    <w:rPr>
                      <w:rFonts w:ascii="Cambria Math" w:hAnsi="Cambria Math"/>
                      <w:sz w:val="22"/>
                    </w:rPr>
                    <m:t xml:space="preserve"> </m:t>
                  </m:r>
                  <m:r>
                    <w:rPr>
                      <w:rFonts w:ascii="Cambria Math" w:hAnsi="Cambria Math"/>
                      <w:sz w:val="22"/>
                    </w:rPr>
                    <m:t>Energy</m:t>
                  </m:r>
                  <m:r>
                    <w:rPr>
                      <w:rFonts w:ascii="Cambria Math" w:hAnsi="Cambria Math"/>
                      <w:sz w:val="22"/>
                    </w:rPr>
                    <m:t xml:space="preserve"> </m:t>
                  </m:r>
                  <m:r>
                    <w:rPr>
                      <w:rFonts w:ascii="Cambria Math" w:hAnsi="Cambria Math"/>
                      <w:sz w:val="22"/>
                    </w:rPr>
                    <m:t>and</m:t>
                  </m:r>
                </m:e>
                <m:e>
                  <m:r>
                    <w:rPr>
                      <w:rFonts w:ascii="Cambria Math" w:hAnsi="Cambria Math"/>
                      <w:sz w:val="22"/>
                    </w:rPr>
                    <m:t>Ancillary</m:t>
                  </m:r>
                  <m:r>
                    <w:rPr>
                      <w:rFonts w:ascii="Cambria Math" w:hAnsi="Cambria Math"/>
                      <w:sz w:val="22"/>
                    </w:rPr>
                    <m:t xml:space="preserve"> </m:t>
                  </m:r>
                  <m:r>
                    <w:rPr>
                      <w:rFonts w:ascii="Cambria Math" w:hAnsi="Cambria Math"/>
                      <w:sz w:val="22"/>
                    </w:rPr>
                    <m:t>S</m:t>
                  </m:r>
                  <m:r>
                    <w:rPr>
                      <w:rFonts w:ascii="Cambria Math" w:hAnsi="Cambria Math"/>
                      <w:sz w:val="22"/>
                    </w:rPr>
                    <m:t>ervices</m:t>
                  </m:r>
                  <m:r>
                    <w:rPr>
                      <w:rFonts w:ascii="Cambria Math" w:hAnsi="Cambria Math"/>
                      <w:sz w:val="22"/>
                    </w:rPr>
                    <m:t xml:space="preserve"> </m:t>
                  </m:r>
                  <m:r>
                    <w:rPr>
                      <w:rFonts w:ascii="Cambria Math" w:hAnsi="Cambria Math"/>
                      <w:sz w:val="22"/>
                    </w:rPr>
                    <m:t>for</m:t>
                  </m:r>
                  <m:r>
                    <w:rPr>
                      <w:rFonts w:ascii="Cambria Math" w:hAnsi="Cambria Math"/>
                      <w:sz w:val="22"/>
                    </w:rPr>
                    <m:t xml:space="preserve"> </m:t>
                  </m:r>
                  <m:r>
                    <w:rPr>
                      <w:rFonts w:ascii="Cambria Math" w:hAnsi="Cambria Math"/>
                      <w:sz w:val="22"/>
                    </w:rPr>
                    <m:t>Previous</m:t>
                  </m:r>
                  <m:r>
                    <w:rPr>
                      <w:rFonts w:ascii="Cambria Math" w:hAnsi="Cambria Math"/>
                      <w:sz w:val="22"/>
                    </w:rPr>
                    <m:t xml:space="preserve"> </m:t>
                  </m:r>
                  <m:r>
                    <w:rPr>
                      <w:rFonts w:ascii="Cambria Math" w:hAnsi="Cambria Math"/>
                      <w:sz w:val="22"/>
                    </w:rPr>
                    <m:t>Ten</m:t>
                  </m:r>
                  <m:r>
                    <w:rPr>
                      <w:rFonts w:ascii="Cambria Math" w:hAnsi="Cambria Math"/>
                      <w:sz w:val="22"/>
                    </w:rPr>
                    <m:t xml:space="preserve"> </m:t>
                  </m:r>
                  <m:d>
                    <m:dPr>
                      <m:ctrlPr>
                        <w:rPr>
                          <w:rFonts w:ascii="Cambria Math" w:hAnsi="Cambria Math"/>
                          <w:i/>
                          <w:sz w:val="22"/>
                        </w:rPr>
                      </m:ctrlPr>
                    </m:dPr>
                    <m:e>
                      <m:r>
                        <w:rPr>
                          <w:rFonts w:ascii="Cambria Math" w:hAnsi="Cambria Math"/>
                          <w:sz w:val="22"/>
                        </w:rPr>
                        <m:t>10</m:t>
                      </m:r>
                    </m:e>
                  </m:d>
                  <m:r>
                    <w:rPr>
                      <w:rFonts w:ascii="Cambria Math" w:hAnsi="Cambria Math"/>
                      <w:sz w:val="22"/>
                    </w:rPr>
                    <m:t>Days</m:t>
                  </m:r>
                </m:e>
              </m:eqArr>
            </m:num>
            <m:den>
              <m:r>
                <w:rPr>
                  <w:rFonts w:ascii="Cambria Math" w:hAnsi="Cambria Math"/>
                  <w:sz w:val="22"/>
                </w:rPr>
                <m:t>10</m:t>
              </m:r>
            </m:den>
          </m:f>
          <m:r>
            <w:rPr>
              <w:rFonts w:ascii="Cambria Math" w:hAnsi="Cambria Math"/>
              <w:sz w:val="22"/>
            </w:rPr>
            <m:t>*16</m:t>
          </m:r>
        </m:oMath>
      </m:oMathPara>
    </w:p>
    <w:p w:rsidR="00AF7719" w:rsidRDefault="00C46825">
      <w:pPr>
        <w:keepNext/>
        <w:ind w:left="2160"/>
        <w:jc w:val="both"/>
      </w:pPr>
    </w:p>
    <w:p w:rsidR="00AF7719" w:rsidRDefault="00C46825">
      <w:pPr>
        <w:ind w:left="2160"/>
        <w:jc w:val="both"/>
      </w:pPr>
    </w:p>
    <w:p w:rsidR="00AF7719" w:rsidRDefault="00C46825">
      <w:pPr>
        <w:pStyle w:val="alphapara"/>
      </w:pPr>
      <w:r>
        <w:t>(b)</w:t>
      </w:r>
      <w:r>
        <w:tab/>
        <w:t>For Customers that qualify for a prepayment agreement, subject to the ISO’s credit analysis and approval, and execute a prepayment agreement in the form provided in Appendix K-1, the grea</w:t>
      </w:r>
      <w:r>
        <w:t xml:space="preserve">ter of either: </w:t>
      </w:r>
    </w:p>
    <w:p w:rsidR="00AF7719" w:rsidRDefault="00C46825">
      <w:pPr>
        <w:pStyle w:val="Bodypara"/>
        <w:jc w:val="center"/>
        <w:rPr>
          <w:bCs/>
        </w:rPr>
      </w:pPr>
      <m:oMath>
        <m:f>
          <m:fPr>
            <m:ctrlPr>
              <w:rPr>
                <w:rFonts w:ascii="Cambria Math" w:hAnsi="Cambria Math"/>
                <w:bCs/>
                <w:i/>
                <w:sz w:val="28"/>
              </w:rPr>
            </m:ctrlPr>
          </m:fPr>
          <m:num>
            <m:r>
              <w:rPr>
                <w:rFonts w:ascii="Cambria Math" w:hAnsi="Cambria Math"/>
                <w:sz w:val="28"/>
              </w:rPr>
              <m:t>Basis</m:t>
            </m:r>
            <m:r>
              <w:rPr>
                <w:rFonts w:ascii="Cambria Math" w:hAnsi="Cambria Math"/>
                <w:sz w:val="28"/>
              </w:rPr>
              <m:t xml:space="preserve"> </m:t>
            </m:r>
            <m:r>
              <w:rPr>
                <w:rFonts w:ascii="Cambria Math" w:hAnsi="Cambria Math"/>
                <w:sz w:val="28"/>
              </w:rPr>
              <m:t>Amount</m:t>
            </m:r>
            <m:r>
              <w:rPr>
                <w:rFonts w:ascii="Cambria Math" w:hAnsi="Cambria Math"/>
                <w:sz w:val="28"/>
              </w:rPr>
              <m:t xml:space="preserve"> </m:t>
            </m:r>
            <m:r>
              <w:rPr>
                <w:rFonts w:ascii="Cambria Math" w:hAnsi="Cambria Math"/>
                <w:sz w:val="28"/>
              </w:rPr>
              <m:t>for</m:t>
            </m:r>
            <m:r>
              <w:rPr>
                <w:rFonts w:ascii="Cambria Math" w:hAnsi="Cambria Math"/>
                <w:sz w:val="28"/>
              </w:rPr>
              <m:t xml:space="preserve"> </m:t>
            </m:r>
            <m:r>
              <w:rPr>
                <w:rFonts w:ascii="Cambria Math" w:hAnsi="Cambria Math"/>
                <w:sz w:val="28"/>
              </w:rPr>
              <m:t>Energy</m:t>
            </m:r>
            <m:r>
              <w:rPr>
                <w:rFonts w:ascii="Cambria Math" w:hAnsi="Cambria Math"/>
                <w:sz w:val="28"/>
              </w:rPr>
              <m:t xml:space="preserve"> </m:t>
            </m:r>
            <m:r>
              <w:rPr>
                <w:rFonts w:ascii="Cambria Math" w:hAnsi="Cambria Math"/>
                <w:sz w:val="28"/>
              </w:rPr>
              <m:t>and</m:t>
            </m:r>
            <m:r>
              <w:rPr>
                <w:rFonts w:ascii="Cambria Math" w:hAnsi="Cambria Math"/>
                <w:sz w:val="28"/>
              </w:rPr>
              <m:t xml:space="preserve"> </m:t>
            </m:r>
            <m:r>
              <w:rPr>
                <w:rFonts w:ascii="Cambria Math" w:hAnsi="Cambria Math"/>
                <w:sz w:val="28"/>
              </w:rPr>
              <m:t>Ancillary</m:t>
            </m:r>
            <m:r>
              <w:rPr>
                <w:rFonts w:ascii="Cambria Math" w:hAnsi="Cambria Math"/>
                <w:sz w:val="28"/>
              </w:rPr>
              <m:t xml:space="preserve"> </m:t>
            </m:r>
            <m:r>
              <w:rPr>
                <w:rFonts w:ascii="Cambria Math" w:hAnsi="Cambria Math"/>
                <w:sz w:val="28"/>
              </w:rPr>
              <m:t>Services</m:t>
            </m:r>
          </m:num>
          <m:den>
            <m:r>
              <w:rPr>
                <w:rFonts w:ascii="Cambria Math" w:hAnsi="Cambria Math"/>
                <w:sz w:val="28"/>
              </w:rPr>
              <m:t>Days</m:t>
            </m:r>
            <m:r>
              <w:rPr>
                <w:rFonts w:ascii="Cambria Math" w:hAnsi="Cambria Math"/>
                <w:sz w:val="28"/>
              </w:rPr>
              <m:t xml:space="preserve"> </m:t>
            </m:r>
            <m:r>
              <w:rPr>
                <w:rFonts w:ascii="Cambria Math" w:hAnsi="Cambria Math"/>
                <w:sz w:val="28"/>
              </w:rPr>
              <m:t>in</m:t>
            </m:r>
            <m:r>
              <w:rPr>
                <w:rFonts w:ascii="Cambria Math" w:hAnsi="Cambria Math"/>
                <w:sz w:val="28"/>
              </w:rPr>
              <m:t xml:space="preserve"> </m:t>
            </m:r>
            <m:r>
              <w:rPr>
                <w:rFonts w:ascii="Cambria Math" w:hAnsi="Cambria Math"/>
                <w:sz w:val="28"/>
              </w:rPr>
              <m:t>Basis</m:t>
            </m:r>
            <m:r>
              <w:rPr>
                <w:rFonts w:ascii="Cambria Math" w:hAnsi="Cambria Math"/>
                <w:sz w:val="28"/>
              </w:rPr>
              <m:t xml:space="preserve"> </m:t>
            </m:r>
            <m:r>
              <w:rPr>
                <w:rFonts w:ascii="Cambria Math" w:hAnsi="Cambria Math"/>
                <w:sz w:val="28"/>
              </w:rPr>
              <m:t>Mont</m:t>
            </m:r>
            <m:r>
              <w:rPr>
                <w:rFonts w:ascii="Cambria Math" w:hAnsi="Cambria Math"/>
                <w:sz w:val="28"/>
              </w:rPr>
              <m:t>h</m:t>
            </m:r>
          </m:den>
        </m:f>
      </m:oMath>
      <w:r>
        <w:rPr>
          <w:bCs/>
          <w:sz w:val="32"/>
        </w:rPr>
        <w:t xml:space="preserve"> </w:t>
      </w:r>
      <w:r>
        <w:rPr>
          <w:bCs/>
        </w:rPr>
        <w:t>* 3</w:t>
      </w:r>
    </w:p>
    <w:p w:rsidR="00AF7719" w:rsidRDefault="00C46825">
      <w:pPr>
        <w:pStyle w:val="Bodypara"/>
      </w:pPr>
      <w:r>
        <w:t>-or-</w:t>
      </w:r>
    </w:p>
    <w:p w:rsidR="00AF7719" w:rsidRDefault="00C46825">
      <w:pPr>
        <w:tabs>
          <w:tab w:val="center" w:pos="4680"/>
        </w:tabs>
        <w:rPr>
          <w:rFonts w:eastAsia="Arial Unicode MS"/>
        </w:rPr>
      </w:pPr>
      <m:oMathPara>
        <m:oMath>
          <m:f>
            <m:fPr>
              <m:ctrlPr>
                <w:rPr>
                  <w:rFonts w:ascii="Cambria Math" w:eastAsia="Arial Unicode MS" w:hAnsi="Cambria Math"/>
                  <w:i/>
                  <w:sz w:val="22"/>
                </w:rPr>
              </m:ctrlPr>
            </m:fPr>
            <m:num>
              <m:eqArr>
                <m:eqArrPr>
                  <m:ctrlPr>
                    <w:rPr>
                      <w:rFonts w:ascii="Cambria Math" w:eastAsia="Arial Unicode MS" w:hAnsi="Cambria Math"/>
                      <w:i/>
                      <w:sz w:val="22"/>
                    </w:rPr>
                  </m:ctrlPr>
                </m:eqArrPr>
                <m:e>
                  <m:r>
                    <w:rPr>
                      <w:rFonts w:ascii="Cambria Math" w:eastAsia="Arial Unicode MS" w:hAnsi="Cambria Math"/>
                      <w:sz w:val="22"/>
                    </w:rPr>
                    <m:t>Total</m:t>
                  </m:r>
                  <m:r>
                    <w:rPr>
                      <w:rFonts w:ascii="Cambria Math" w:eastAsia="Arial Unicode MS" w:hAnsi="Cambria Math"/>
                      <w:sz w:val="22"/>
                    </w:rPr>
                    <m:t xml:space="preserve"> </m:t>
                  </m:r>
                  <m:r>
                    <w:rPr>
                      <w:rFonts w:ascii="Cambria Math" w:eastAsia="Arial Unicode MS" w:hAnsi="Cambria Math"/>
                      <w:sz w:val="22"/>
                    </w:rPr>
                    <m:t>C</m:t>
                  </m:r>
                  <m:r>
                    <w:rPr>
                      <w:rFonts w:ascii="Cambria Math" w:eastAsia="Arial Unicode MS" w:hAnsi="Cambria Math"/>
                      <w:sz w:val="22"/>
                    </w:rPr>
                    <m:t>h</m:t>
                  </m:r>
                  <m:r>
                    <w:rPr>
                      <w:rFonts w:ascii="Cambria Math" w:eastAsia="Arial Unicode MS" w:hAnsi="Cambria Math"/>
                      <w:sz w:val="22"/>
                    </w:rPr>
                    <m:t>arges</m:t>
                  </m:r>
                  <m:r>
                    <w:rPr>
                      <w:rFonts w:ascii="Cambria Math" w:eastAsia="Arial Unicode MS" w:hAnsi="Cambria Math"/>
                      <w:sz w:val="22"/>
                    </w:rPr>
                    <m:t xml:space="preserve"> </m:t>
                  </m:r>
                  <m:r>
                    <w:rPr>
                      <w:rFonts w:ascii="Cambria Math" w:eastAsia="Arial Unicode MS" w:hAnsi="Cambria Math"/>
                      <w:sz w:val="22"/>
                    </w:rPr>
                    <m:t>Incurred</m:t>
                  </m:r>
                  <m:r>
                    <w:rPr>
                      <w:rFonts w:ascii="Cambria Math" w:eastAsia="Arial Unicode MS" w:hAnsi="Cambria Math"/>
                      <w:sz w:val="22"/>
                    </w:rPr>
                    <m:t xml:space="preserve"> </m:t>
                  </m:r>
                  <m:r>
                    <w:rPr>
                      <w:rFonts w:ascii="Cambria Math" w:eastAsia="Arial Unicode MS" w:hAnsi="Cambria Math"/>
                      <w:sz w:val="22"/>
                    </w:rPr>
                    <m:t>for</m:t>
                  </m:r>
                  <m:r>
                    <w:rPr>
                      <w:rFonts w:ascii="Cambria Math" w:eastAsia="Arial Unicode MS" w:hAnsi="Cambria Math"/>
                      <w:sz w:val="22"/>
                    </w:rPr>
                    <m:t xml:space="preserve"> </m:t>
                  </m:r>
                  <m:r>
                    <w:rPr>
                      <w:rFonts w:ascii="Cambria Math" w:eastAsia="Arial Unicode MS" w:hAnsi="Cambria Math"/>
                      <w:sz w:val="22"/>
                    </w:rPr>
                    <m:t>Energy</m:t>
                  </m:r>
                  <m:r>
                    <w:rPr>
                      <w:rFonts w:ascii="Cambria Math" w:eastAsia="Arial Unicode MS" w:hAnsi="Cambria Math"/>
                      <w:sz w:val="22"/>
                    </w:rPr>
                    <m:t xml:space="preserve"> </m:t>
                  </m:r>
                  <m:r>
                    <w:rPr>
                      <w:rFonts w:ascii="Cambria Math" w:eastAsia="Arial Unicode MS" w:hAnsi="Cambria Math"/>
                      <w:sz w:val="22"/>
                    </w:rPr>
                    <m:t>and</m:t>
                  </m:r>
                </m:e>
                <m:e>
                  <m:r>
                    <w:rPr>
                      <w:rFonts w:ascii="Cambria Math" w:eastAsia="Arial Unicode MS" w:hAnsi="Cambria Math"/>
                      <w:sz w:val="22"/>
                    </w:rPr>
                    <m:t>Ancillary</m:t>
                  </m:r>
                  <m:r>
                    <w:rPr>
                      <w:rFonts w:ascii="Cambria Math" w:eastAsia="Arial Unicode MS" w:hAnsi="Cambria Math"/>
                      <w:sz w:val="22"/>
                    </w:rPr>
                    <m:t xml:space="preserve"> </m:t>
                  </m:r>
                  <m:r>
                    <w:rPr>
                      <w:rFonts w:ascii="Cambria Math" w:eastAsia="Arial Unicode MS" w:hAnsi="Cambria Math"/>
                      <w:sz w:val="22"/>
                    </w:rPr>
                    <m:t>Services</m:t>
                  </m:r>
                  <m:r>
                    <w:rPr>
                      <w:rFonts w:ascii="Cambria Math" w:eastAsia="Arial Unicode MS" w:hAnsi="Cambria Math"/>
                      <w:sz w:val="22"/>
                    </w:rPr>
                    <m:t xml:space="preserve"> </m:t>
                  </m:r>
                  <m:r>
                    <w:rPr>
                      <w:rFonts w:ascii="Cambria Math" w:eastAsia="Arial Unicode MS" w:hAnsi="Cambria Math"/>
                      <w:sz w:val="22"/>
                    </w:rPr>
                    <m:t>for</m:t>
                  </m:r>
                  <m:r>
                    <w:rPr>
                      <w:rFonts w:ascii="Cambria Math" w:eastAsia="Arial Unicode MS" w:hAnsi="Cambria Math"/>
                      <w:sz w:val="22"/>
                    </w:rPr>
                    <m:t xml:space="preserve"> </m:t>
                  </m:r>
                  <m:r>
                    <w:rPr>
                      <w:rFonts w:ascii="Cambria Math" w:eastAsia="Arial Unicode MS" w:hAnsi="Cambria Math"/>
                      <w:sz w:val="22"/>
                    </w:rPr>
                    <m:t>Previous</m:t>
                  </m:r>
                  <m:r>
                    <w:rPr>
                      <w:rFonts w:ascii="Cambria Math" w:eastAsia="Arial Unicode MS" w:hAnsi="Cambria Math"/>
                      <w:sz w:val="22"/>
                    </w:rPr>
                    <m:t xml:space="preserve"> </m:t>
                  </m:r>
                  <m:r>
                    <w:rPr>
                      <w:rFonts w:ascii="Cambria Math" w:eastAsia="Arial Unicode MS" w:hAnsi="Cambria Math"/>
                      <w:sz w:val="22"/>
                    </w:rPr>
                    <m:t>Ten</m:t>
                  </m:r>
                  <m:r>
                    <w:rPr>
                      <w:rFonts w:ascii="Cambria Math" w:eastAsia="Arial Unicode MS" w:hAnsi="Cambria Math"/>
                      <w:sz w:val="22"/>
                    </w:rPr>
                    <m:t xml:space="preserve"> </m:t>
                  </m:r>
                  <m:d>
                    <m:dPr>
                      <m:ctrlPr>
                        <w:rPr>
                          <w:rFonts w:ascii="Cambria Math" w:eastAsia="Arial Unicode MS" w:hAnsi="Cambria Math"/>
                          <w:i/>
                          <w:sz w:val="22"/>
                        </w:rPr>
                      </m:ctrlPr>
                    </m:dPr>
                    <m:e>
                      <m:r>
                        <w:rPr>
                          <w:rFonts w:ascii="Cambria Math" w:eastAsia="Arial Unicode MS" w:hAnsi="Cambria Math"/>
                          <w:sz w:val="22"/>
                        </w:rPr>
                        <m:t>10</m:t>
                      </m:r>
                    </m:e>
                  </m:d>
                  <m:r>
                    <w:rPr>
                      <w:rFonts w:ascii="Cambria Math" w:eastAsia="Arial Unicode MS" w:hAnsi="Cambria Math"/>
                      <w:sz w:val="22"/>
                    </w:rPr>
                    <m:t>Days</m:t>
                  </m:r>
                </m:e>
              </m:eqArr>
            </m:num>
            <m:den>
              <m:r>
                <w:rPr>
                  <w:rFonts w:ascii="Cambria Math" w:eastAsia="Arial Unicode MS" w:hAnsi="Cambria Math"/>
                  <w:sz w:val="22"/>
                </w:rPr>
                <m:t>10</m:t>
              </m:r>
            </m:den>
          </m:f>
          <m:r>
            <w:rPr>
              <w:rFonts w:ascii="Cambria Math" w:eastAsia="Arial Unicode MS" w:hAnsi="Cambria Math"/>
              <w:sz w:val="22"/>
            </w:rPr>
            <m:t>*</m:t>
          </m:r>
          <m:r>
            <w:rPr>
              <w:rFonts w:ascii="Cambria Math" w:eastAsia="Arial Unicode MS" w:hAnsi="Cambria Math"/>
              <w:sz w:val="22"/>
            </w:rPr>
            <m:t>3</m:t>
          </m:r>
        </m:oMath>
      </m:oMathPara>
    </w:p>
    <w:p w:rsidR="00AF7719" w:rsidRDefault="00C46825">
      <w:pPr>
        <w:tabs>
          <w:tab w:val="center" w:pos="4680"/>
        </w:tabs>
        <w:rPr>
          <w:rFonts w:eastAsia="Arial Unicode MS"/>
        </w:rPr>
      </w:pPr>
    </w:p>
    <w:p w:rsidR="00AF7719" w:rsidRDefault="00C46825">
      <w:pPr>
        <w:pStyle w:val="alphapara"/>
        <w:rPr>
          <w:bCs/>
        </w:rPr>
      </w:pPr>
      <w:r>
        <w:rPr>
          <w:bCs/>
        </w:rPr>
        <w:t xml:space="preserve"> (c)</w:t>
      </w:r>
      <w:r>
        <w:rPr>
          <w:bCs/>
        </w:rPr>
        <w:tab/>
        <w:t>For new Customers, the ISO shall determine a substitute for the Basis Amount for Energy and Ancillary Services for use in the appropriate formula above equal to:</w:t>
      </w:r>
    </w:p>
    <w:p w:rsidR="00AF7719" w:rsidRDefault="00C46825">
      <w:pPr>
        <w:pStyle w:val="Bodypara"/>
        <w:ind w:firstLine="0"/>
        <w:jc w:val="center"/>
        <w:rPr>
          <w:sz w:val="28"/>
        </w:rPr>
      </w:pPr>
      <m:oMathPara>
        <m:oMath>
          <m:r>
            <w:rPr>
              <w:rFonts w:ascii="Cambria Math" w:hAnsi="Cambria Math"/>
              <w:sz w:val="28"/>
            </w:rPr>
            <m:t>EPL</m:t>
          </m:r>
          <m:r>
            <w:rPr>
              <w:rFonts w:ascii="Cambria Math" w:hAnsi="Cambria Math"/>
              <w:sz w:val="28"/>
            </w:rPr>
            <m:t>*</m:t>
          </m:r>
          <m:r>
            <w:rPr>
              <w:rFonts w:ascii="Cambria Math" w:hAnsi="Cambria Math"/>
              <w:sz w:val="28"/>
            </w:rPr>
            <m:t>720*</m:t>
          </m:r>
          <m:r>
            <w:rPr>
              <w:rFonts w:ascii="Cambria Math" w:hAnsi="Cambria Math"/>
              <w:sz w:val="28"/>
            </w:rPr>
            <m:t>AEP</m:t>
          </m:r>
        </m:oMath>
      </m:oMathPara>
    </w:p>
    <w:p w:rsidR="00AF7719" w:rsidRDefault="00C46825">
      <w:pPr>
        <w:pStyle w:val="Bodypara"/>
      </w:pPr>
      <w:r>
        <w:t>where:</w:t>
      </w:r>
      <w:r>
        <w:tab/>
      </w:r>
    </w:p>
    <w:p w:rsidR="00AF7719" w:rsidRDefault="00C46825">
      <w:pPr>
        <w:pStyle w:val="equationtext"/>
        <w:rPr>
          <w:rFonts w:eastAsia="Arial Unicode MS"/>
        </w:rPr>
      </w:pPr>
      <w:r>
        <w:t xml:space="preserve">EPL </w:t>
      </w:r>
      <w:r>
        <w:tab/>
        <w:t xml:space="preserve">= </w:t>
      </w:r>
      <w:r>
        <w:tab/>
      </w:r>
      <w:r>
        <w:t xml:space="preserve">estimated peak Load for the Capability Period; and </w:t>
      </w:r>
    </w:p>
    <w:p w:rsidR="00AF7719" w:rsidRDefault="00C46825">
      <w:pPr>
        <w:pStyle w:val="equationtext"/>
        <w:rPr>
          <w:rFonts w:eastAsia="Arial Unicode MS"/>
        </w:rPr>
      </w:pPr>
      <w:r>
        <w:t xml:space="preserve">AEP </w:t>
      </w:r>
      <w:r>
        <w:tab/>
        <w:t xml:space="preserve">= </w:t>
      </w:r>
      <w:r>
        <w:tab/>
        <w:t>average Energy and Ancillary Services price during the Prior Equivalent Capability Period after applying the Price Adjustment.</w:t>
      </w:r>
    </w:p>
    <w:p w:rsidR="00AF7719" w:rsidRDefault="00C46825">
      <w:pPr>
        <w:pStyle w:val="Heading4"/>
      </w:pPr>
      <w:bookmarkStart w:id="12" w:name="_Toc263691836"/>
      <w:r>
        <w:t xml:space="preserve">26.4.2.2 </w:t>
      </w:r>
      <w:r>
        <w:tab/>
        <w:t>External Transaction Component</w:t>
      </w:r>
    </w:p>
    <w:p w:rsidR="00AF7719" w:rsidRDefault="00C46825">
      <w:pPr>
        <w:pStyle w:val="Bodypara"/>
      </w:pPr>
      <w:r>
        <w:t>The External Transaction Com</w:t>
      </w:r>
      <w:r>
        <w:t>ponent shall equal the sum of the Customer’s (i) Import Credit Requirement, (ii) Export Credit Requirement, (iii) Wheels Through Credit Requirement, and (iv) the net amount owed to the ISO for the settled External Transaction Component Transactions.</w:t>
      </w:r>
    </w:p>
    <w:p w:rsidR="00AF7719" w:rsidRDefault="00C46825">
      <w:pPr>
        <w:pStyle w:val="Heading4"/>
        <w:rPr>
          <w:b w:val="0"/>
        </w:rPr>
      </w:pPr>
      <w:r>
        <w:lastRenderedPageBreak/>
        <w:t>26.4.2</w:t>
      </w:r>
      <w:r>
        <w:t xml:space="preserve">.2.1 </w:t>
      </w:r>
      <w:r>
        <w:tab/>
        <w:t>Import Credit Requirement</w:t>
      </w:r>
    </w:p>
    <w:p w:rsidR="00AF7719" w:rsidRDefault="00C46825">
      <w:pPr>
        <w:pStyle w:val="Bodypara"/>
      </w:pPr>
      <w:r>
        <w:t xml:space="preserve">For a given month, the Import Credit Requirement shall apply to any Customer that Bids to Import in the Day-Ahead Market (“DAM”) unless (i) the Customer has at least 50 scheduled Day-Ahead Import Bids in the three-month </w:t>
      </w:r>
      <w:r>
        <w:t>period ending on the 15</w:t>
      </w:r>
      <w:r>
        <w:rPr>
          <w:vertAlign w:val="superscript"/>
        </w:rPr>
        <w:t>th</w:t>
      </w:r>
      <w:r>
        <w:t xml:space="preserve"> day of the preceding month (or the six-month period ending on the 15</w:t>
      </w:r>
      <w:r>
        <w:rPr>
          <w:vertAlign w:val="superscript"/>
        </w:rPr>
        <w:t>th</w:t>
      </w:r>
      <w:r>
        <w:t xml:space="preserve"> day of the preceding month if the Customer has fewer than 50 scheduled Day-Ahead Import Bids in the immediately preceding three-month period), and (ii) fewer t</w:t>
      </w:r>
      <w:r>
        <w:t>han 25% of the MWhs of such scheduled Day-Ahead Import Bids were settled at a loss to the Customer.</w:t>
      </w:r>
    </w:p>
    <w:p w:rsidR="00AF7719" w:rsidRDefault="00C46825">
      <w:pPr>
        <w:pStyle w:val="Bodypara"/>
      </w:pPr>
      <w:r>
        <w:t xml:space="preserve">The Import Credit Requirement shall equal the sum of the amounts calculated for each Bid in accordance with the appropriate formulas below:  </w:t>
      </w:r>
    </w:p>
    <w:p w:rsidR="00AF7719" w:rsidRDefault="00C46825">
      <w:pPr>
        <w:pStyle w:val="alphaheading"/>
      </w:pPr>
      <w:r>
        <w:t>(1)</w:t>
      </w:r>
      <w:r>
        <w:tab/>
        <w:t>Upon submi</w:t>
      </w:r>
      <w:r>
        <w:t>ssion of a DAM Import Bid until posting of the applicable DAM schedule/price.</w:t>
      </w:r>
    </w:p>
    <w:p w:rsidR="00AF7719" w:rsidRDefault="00C46825">
      <w:pPr>
        <w:pStyle w:val="alphapara"/>
      </w:pPr>
      <w:r>
        <w:tab/>
        <w:t>The ISO will calculate the required credit support for pending DAM Import Bids for a market day three days prior to the DAM close for that market day.  The ISO will calculate th</w:t>
      </w:r>
      <w:r>
        <w:t>e required credit support for DAM Import Bids that are submitted after the commencement of the initial credit evaluation upon Bid submission. The ISO will categorize each Import Bid into one of the 18 Import Price Differential (IPD) groups set forth in the</w:t>
      </w:r>
      <w:r>
        <w:t xml:space="preserve"> IPD chart in Section 26.4.2.2.5</w:t>
      </w:r>
      <w:r>
        <w:rPr>
          <w:b/>
        </w:rPr>
        <w:t xml:space="preserve"> </w:t>
      </w:r>
      <w:r>
        <w:t>below, as appropriate, based upon the season and time-of-day of the Import Bid.  The amount of credit support required in $/MWh that applies to an Import Bid shall equal the 97</w:t>
      </w:r>
      <w:r>
        <w:rPr>
          <w:vertAlign w:val="superscript"/>
        </w:rPr>
        <w:t>th</w:t>
      </w:r>
      <w:r>
        <w:t xml:space="preserve"> percentile level of the following: the hourl</w:t>
      </w:r>
      <w:r>
        <w:t xml:space="preserve">y average Energy price calculated in the Real-Time Market at the location associated with the Import Bid, minus the Energy price calculated in the DAM at the same location and time, with the dataset used to perform this calculation consisting of all hours </w:t>
      </w:r>
      <w:r>
        <w:t xml:space="preserve">that are in the </w:t>
      </w:r>
      <w:r>
        <w:lastRenderedPageBreak/>
        <w:t>same IPD group as the hour to which the Import Bid applies, and that occurred no earlier than April 1, 2005 nor later than the end of the calendar month preceding the month to which the Import Bid applies.  The amount of credit support requ</w:t>
      </w:r>
      <w:r>
        <w:t>ired in $/MWh shall not be less than $0/MWh.</w:t>
      </w:r>
    </w:p>
    <w:p w:rsidR="00AF7719" w:rsidRDefault="00C46825">
      <w:pPr>
        <w:pStyle w:val="Bodypara"/>
        <w:ind w:left="720"/>
      </w:pPr>
      <w:r>
        <w:t xml:space="preserve">The credit requirement for each Import Bid shall be calculated as follows:  </w:t>
      </w:r>
    </w:p>
    <w:p w:rsidR="00AF7719" w:rsidRDefault="00C46825">
      <w:pPr>
        <w:pStyle w:val="Bodypara"/>
        <w:jc w:val="center"/>
      </w:pPr>
      <m:oMathPara>
        <m:oMath>
          <m:sSub>
            <m:sSubPr>
              <m:ctrlPr>
                <w:rPr>
                  <w:rFonts w:ascii="Cambria Math" w:hAnsi="Cambria Math"/>
                  <w:i/>
                </w:rPr>
              </m:ctrlPr>
            </m:sSubPr>
            <m:e>
              <m:r>
                <w:rPr>
                  <w:rFonts w:ascii="Cambria Math" w:hAnsi="Cambria Math"/>
                </w:rPr>
                <m:t>Bid</m:t>
              </m:r>
            </m:e>
            <m:sub>
              <m:r>
                <w:rPr>
                  <w:rFonts w:ascii="Cambria Math" w:hAnsi="Cambria Math"/>
                </w:rPr>
                <m:t>MW</m:t>
              </m:r>
              <m:r>
                <w:rPr>
                  <w:rFonts w:ascii="Cambria Math" w:hAnsi="Cambria Math"/>
                </w:rPr>
                <m:t>h</m:t>
              </m:r>
              <m:r>
                <w:rPr>
                  <w:rFonts w:ascii="Cambria Math" w:hAnsi="Cambria Math"/>
                </w:rPr>
                <m:t>B</m:t>
              </m:r>
            </m:sub>
          </m:sSub>
          <m:r>
            <w:rPr>
              <w:rFonts w:ascii="Cambria Math" w:hAnsi="Cambria Math"/>
            </w:rPr>
            <m:t>*</m:t>
          </m:r>
          <m:r>
            <w:rPr>
              <w:rFonts w:ascii="Cambria Math" w:hAnsi="Cambria Math"/>
            </w:rPr>
            <m:t>Max</m:t>
          </m:r>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IPD</m:t>
                  </m:r>
                </m:e>
                <m:sub>
                  <m:r>
                    <w:rPr>
                      <w:rFonts w:ascii="Cambria Math" w:hAnsi="Cambria Math"/>
                    </w:rPr>
                    <m:t>CS</m:t>
                  </m:r>
                </m:sub>
              </m:sSub>
              <m:r>
                <w:rPr>
                  <w:rFonts w:ascii="Cambria Math" w:hAnsi="Cambria Math"/>
                </w:rPr>
                <m:t>, 0</m:t>
              </m:r>
            </m:e>
          </m:d>
        </m:oMath>
      </m:oMathPara>
    </w:p>
    <w:p w:rsidR="00AF7719" w:rsidRDefault="00C46825">
      <w:pPr>
        <w:pStyle w:val="Bodypara"/>
        <w:spacing w:line="240" w:lineRule="auto"/>
      </w:pPr>
      <w:r>
        <w:t>Where:</w:t>
      </w:r>
    </w:p>
    <w:p w:rsidR="00AF7719" w:rsidRDefault="00C46825">
      <w:pPr>
        <w:pStyle w:val="equationtext"/>
        <w:spacing w:before="0" w:after="0"/>
      </w:pPr>
    </w:p>
    <w:p w:rsidR="00AF7719" w:rsidRDefault="00C46825">
      <w:pPr>
        <w:pStyle w:val="equationtext"/>
        <w:tabs>
          <w:tab w:val="clear" w:pos="1620"/>
          <w:tab w:val="left" w:pos="2520"/>
        </w:tabs>
        <w:ind w:left="2520" w:hanging="1800"/>
      </w:pPr>
      <w:r>
        <w:t>Bid</w:t>
      </w:r>
      <w:r>
        <w:rPr>
          <w:vertAlign w:val="subscript"/>
        </w:rPr>
        <w:t>MWhB</w:t>
      </w:r>
      <w:r>
        <w:tab/>
        <w:t>=</w:t>
      </w:r>
      <w:r>
        <w:tab/>
        <w:t>the total quantity of MWhs that a Customer Bids to Import in a particular hour an</w:t>
      </w:r>
      <w:r>
        <w:t>d at a particular location.</w:t>
      </w:r>
    </w:p>
    <w:p w:rsidR="00AF7719" w:rsidRDefault="00C46825">
      <w:pPr>
        <w:pStyle w:val="equationtext"/>
        <w:tabs>
          <w:tab w:val="clear" w:pos="1620"/>
          <w:tab w:val="left" w:pos="2520"/>
        </w:tabs>
        <w:ind w:left="2520" w:hanging="1800"/>
      </w:pPr>
      <w:r>
        <w:t>IPD</w:t>
      </w:r>
      <w:r>
        <w:rPr>
          <w:vertAlign w:val="subscript"/>
        </w:rPr>
        <w:t>CS</w:t>
      </w:r>
      <w:r>
        <w:tab/>
        <w:t>=</w:t>
      </w:r>
      <w:r>
        <w:rPr>
          <w:vertAlign w:val="subscript"/>
        </w:rPr>
        <w:t xml:space="preserve"> </w:t>
      </w:r>
      <w:r>
        <w:rPr>
          <w:vertAlign w:val="subscript"/>
        </w:rPr>
        <w:tab/>
      </w:r>
      <w:r>
        <w:t>the amount of credit support required, in $/MWh, for an Import Bid as described above, for the location associated with the Import Bid and for the IPD group that contains the hour to which the Import Bid applies.</w:t>
      </w:r>
    </w:p>
    <w:p w:rsidR="00AF7719" w:rsidRDefault="00C46825">
      <w:pPr>
        <w:pStyle w:val="alphaheading"/>
      </w:pPr>
      <w:r>
        <w:t>(2)</w:t>
      </w:r>
      <w:r>
        <w:tab/>
        <w:t>Up</w:t>
      </w:r>
      <w:r>
        <w:t>on posting of the applicable DAM schedule/price until completion of the hour Bid in real-time for a DAM Import Bid.</w:t>
      </w:r>
    </w:p>
    <w:p w:rsidR="00AF7719" w:rsidRDefault="00C46825">
      <w:pPr>
        <w:pStyle w:val="alphapara"/>
      </w:pPr>
      <w:r>
        <w:tab/>
        <w:t xml:space="preserve">The credit requirement for each Import Bid shall be calculated as follows:  </w:t>
      </w:r>
    </w:p>
    <w:p w:rsidR="00AF7719" w:rsidRDefault="00C46825">
      <w:pPr>
        <w:pStyle w:val="Bodypara"/>
        <w:ind w:firstLine="0"/>
        <w:jc w:val="center"/>
      </w:pPr>
      <m:oMathPara>
        <m:oMath>
          <m:sSub>
            <m:sSubPr>
              <m:ctrlPr>
                <w:rPr>
                  <w:rFonts w:ascii="Cambria Math" w:hAnsi="Cambria Math"/>
                  <w:i/>
                </w:rPr>
              </m:ctrlPr>
            </m:sSubPr>
            <m:e>
              <m:r>
                <w:rPr>
                  <w:rFonts w:ascii="Cambria Math" w:hAnsi="Cambria Math"/>
                </w:rPr>
                <m:t>Sc</m:t>
              </m:r>
              <m:r>
                <w:rPr>
                  <w:rFonts w:ascii="Cambria Math" w:hAnsi="Cambria Math"/>
                </w:rPr>
                <m:t>h</m:t>
              </m:r>
              <m:r>
                <w:rPr>
                  <w:rFonts w:ascii="Cambria Math" w:hAnsi="Cambria Math"/>
                </w:rPr>
                <m:t>Bid</m:t>
              </m:r>
            </m:e>
            <m:sub>
              <m:r>
                <w:rPr>
                  <w:rFonts w:ascii="Cambria Math" w:hAnsi="Cambria Math"/>
                </w:rPr>
                <m:t>MW</m:t>
              </m:r>
              <m:r>
                <w:rPr>
                  <w:rFonts w:ascii="Cambria Math" w:hAnsi="Cambria Math"/>
                </w:rPr>
                <m:t>h</m:t>
              </m:r>
              <m:r>
                <w:rPr>
                  <w:rFonts w:ascii="Cambria Math" w:hAnsi="Cambria Math"/>
                </w:rPr>
                <m:t>I</m:t>
              </m:r>
            </m:sub>
          </m:sSub>
          <m:r>
            <w:rPr>
              <w:rFonts w:ascii="Cambria Math" w:hAnsi="Cambria Math"/>
            </w:rPr>
            <m:t>*</m:t>
          </m:r>
          <m:r>
            <w:rPr>
              <w:rFonts w:ascii="Cambria Math"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IPD</m:t>
                  </m:r>
                </m:e>
                <m:sub>
                  <m:r>
                    <w:rPr>
                      <w:rFonts w:ascii="Cambria Math" w:hAnsi="Cambria Math"/>
                    </w:rPr>
                    <m:t>CS</m:t>
                  </m:r>
                </m:sub>
              </m:sSub>
              <m:r>
                <w:rPr>
                  <w:rFonts w:ascii="Cambria Math" w:hAnsi="Cambria Math"/>
                </w:rPr>
                <m:t>, 0</m:t>
              </m:r>
            </m:e>
          </m:d>
        </m:oMath>
      </m:oMathPara>
    </w:p>
    <w:p w:rsidR="00AF7719" w:rsidRDefault="00C46825">
      <w:pPr>
        <w:pStyle w:val="Bodypara"/>
        <w:spacing w:line="240" w:lineRule="auto"/>
      </w:pPr>
      <w:r>
        <w:t>Where:</w:t>
      </w:r>
    </w:p>
    <w:p w:rsidR="00AF7719" w:rsidRDefault="00C46825">
      <w:pPr>
        <w:pStyle w:val="equationtext"/>
        <w:spacing w:before="0" w:after="0"/>
      </w:pPr>
    </w:p>
    <w:p w:rsidR="00AF7719" w:rsidRDefault="00C46825">
      <w:pPr>
        <w:pStyle w:val="equationtext"/>
        <w:tabs>
          <w:tab w:val="clear" w:pos="1620"/>
          <w:tab w:val="left" w:pos="2520"/>
        </w:tabs>
        <w:ind w:left="2520" w:hanging="1800"/>
      </w:pPr>
      <w:r>
        <w:t>SchBid</w:t>
      </w:r>
      <w:r>
        <w:rPr>
          <w:vertAlign w:val="subscript"/>
        </w:rPr>
        <w:t>MWhI</w:t>
      </w:r>
      <w:r>
        <w:rPr>
          <w:vertAlign w:val="subscript"/>
        </w:rPr>
        <w:tab/>
      </w:r>
      <w:r>
        <w:t>=</w:t>
      </w:r>
      <w:r>
        <w:tab/>
        <w:t>th</w:t>
      </w:r>
      <w:r>
        <w:t>e total quantity of MWhs that is scheduled in the DAM in a particular hour and at a particular location as a result of the Customer’s Import Bid.</w:t>
      </w:r>
    </w:p>
    <w:p w:rsidR="00AF7719" w:rsidRDefault="00C46825">
      <w:pPr>
        <w:pStyle w:val="equationtext"/>
        <w:tabs>
          <w:tab w:val="clear" w:pos="1620"/>
          <w:tab w:val="left" w:pos="2520"/>
        </w:tabs>
        <w:ind w:left="2520" w:hanging="1800"/>
      </w:pPr>
      <w:r>
        <w:t>IPD</w:t>
      </w:r>
      <w:r>
        <w:rPr>
          <w:vertAlign w:val="subscript"/>
        </w:rPr>
        <w:t>CS</w:t>
      </w:r>
      <w:r>
        <w:t xml:space="preserve"> </w:t>
      </w:r>
      <w:r>
        <w:tab/>
        <w:t>=</w:t>
      </w:r>
      <w:r>
        <w:tab/>
        <w:t>the amount of credit support required, in $/MWh, for an Import Bid as described above, for the locati</w:t>
      </w:r>
      <w:r>
        <w:t>on associated with the Import Bid and for the IPD group that contains the hour to which the Import Bid applies.</w:t>
      </w:r>
    </w:p>
    <w:p w:rsidR="00AF7719" w:rsidRDefault="00C46825">
      <w:pPr>
        <w:pStyle w:val="alphaheading"/>
      </w:pPr>
      <w:r>
        <w:t>(3)</w:t>
      </w:r>
      <w:r>
        <w:tab/>
        <w:t>Upon completion of the hour Bid in real-time for a DAM Import Bid until the net amount owed to the ISO is determined for settled External Tr</w:t>
      </w:r>
      <w:r>
        <w:t>ansactions.</w:t>
      </w:r>
    </w:p>
    <w:p w:rsidR="00AF7719" w:rsidRDefault="00C46825">
      <w:pPr>
        <w:pStyle w:val="alphapara"/>
      </w:pPr>
      <w:r>
        <w:tab/>
        <w:t xml:space="preserve">The credit requirement for each Import Bid shall be calculated as follows:  </w:t>
      </w:r>
    </w:p>
    <w:p w:rsidR="00AF7719" w:rsidRDefault="00C46825">
      <w:pPr>
        <w:pStyle w:val="Bodypara"/>
        <w:ind w:firstLine="0"/>
        <w:jc w:val="center"/>
      </w:pPr>
      <m:oMathPara>
        <m:oMath>
          <m:r>
            <w:rPr>
              <w:rFonts w:ascii="Cambria Math" w:hAnsi="Cambria Math"/>
            </w:rPr>
            <m:t>Max</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BalPay</m:t>
                      </m:r>
                    </m:e>
                    <m:sub>
                      <m:r>
                        <w:rPr>
                          <w:rFonts w:ascii="Cambria Math" w:hAnsi="Cambria Math"/>
                        </w:rPr>
                        <m:t xml:space="preserve">$ </m:t>
                      </m:r>
                    </m:sub>
                  </m:sSub>
                  <m:r>
                    <w:rPr>
                      <w:rFonts w:ascii="Cambria Math" w:hAnsi="Cambria Math"/>
                    </w:rPr>
                    <m:t xml:space="preserve">- </m:t>
                  </m:r>
                  <m:sSub>
                    <m:sSubPr>
                      <m:ctrlPr>
                        <w:rPr>
                          <w:rFonts w:ascii="Cambria Math" w:hAnsi="Cambria Math"/>
                          <w:i/>
                        </w:rPr>
                      </m:ctrlPr>
                    </m:sSubPr>
                    <m:e>
                      <m:r>
                        <w:rPr>
                          <w:rFonts w:ascii="Cambria Math" w:hAnsi="Cambria Math"/>
                        </w:rPr>
                        <m:t>DAMPay</m:t>
                      </m:r>
                    </m:e>
                    <m:sub>
                      <m:r>
                        <w:rPr>
                          <w:rFonts w:ascii="Cambria Math" w:hAnsi="Cambria Math"/>
                        </w:rPr>
                        <m:t>$</m:t>
                      </m:r>
                    </m:sub>
                  </m:sSub>
                </m:e>
              </m:d>
              <m:r>
                <w:rPr>
                  <w:rFonts w:ascii="Cambria Math" w:hAnsi="Cambria Math"/>
                </w:rPr>
                <m:t>, 0</m:t>
              </m:r>
            </m:e>
          </m:d>
        </m:oMath>
      </m:oMathPara>
    </w:p>
    <w:p w:rsidR="00AF7719" w:rsidRDefault="00C46825">
      <w:pPr>
        <w:ind w:firstLine="720"/>
      </w:pPr>
      <w:r>
        <w:t>Where:</w:t>
      </w:r>
    </w:p>
    <w:p w:rsidR="00AF7719" w:rsidRDefault="00C46825">
      <w:pPr>
        <w:pStyle w:val="equationtext"/>
        <w:tabs>
          <w:tab w:val="clear" w:pos="1620"/>
          <w:tab w:val="left" w:pos="2520"/>
        </w:tabs>
        <w:ind w:left="2520" w:hanging="1800"/>
      </w:pPr>
      <w:r>
        <w:t>BalPay</w:t>
      </w:r>
      <w:r>
        <w:rPr>
          <w:vertAlign w:val="subscript"/>
        </w:rPr>
        <w:t>$</w:t>
      </w:r>
      <w:r>
        <w:tab/>
        <w:t>=</w:t>
      </w:r>
      <w:r>
        <w:tab/>
        <w:t>(SchBid</w:t>
      </w:r>
      <w:r>
        <w:rPr>
          <w:vertAlign w:val="subscript"/>
        </w:rPr>
        <w:t>MWhI</w:t>
      </w:r>
      <w:r>
        <w:t xml:space="preserve"> – Actual</w:t>
      </w:r>
      <w:r>
        <w:rPr>
          <w:vertAlign w:val="subscript"/>
        </w:rPr>
        <w:t>MWhI</w:t>
      </w:r>
      <w:r>
        <w:t>) * RT LBMP</w:t>
      </w:r>
      <w:r>
        <w:rPr>
          <w:vertAlign w:val="subscript"/>
        </w:rPr>
        <w:t>I</w:t>
      </w:r>
    </w:p>
    <w:p w:rsidR="00AF7719" w:rsidRDefault="00C46825">
      <w:pPr>
        <w:pStyle w:val="equationtext"/>
        <w:tabs>
          <w:tab w:val="clear" w:pos="1620"/>
          <w:tab w:val="left" w:pos="2520"/>
        </w:tabs>
        <w:ind w:left="2520" w:hanging="1800"/>
        <w:rPr>
          <w:vertAlign w:val="subscript"/>
        </w:rPr>
      </w:pPr>
      <w:r>
        <w:t>DAMPay</w:t>
      </w:r>
      <w:r>
        <w:rPr>
          <w:vertAlign w:val="subscript"/>
        </w:rPr>
        <w:t>$</w:t>
      </w:r>
      <w:r>
        <w:tab/>
        <w:t>=</w:t>
      </w:r>
      <w:r>
        <w:tab/>
        <w:t>SchBid</w:t>
      </w:r>
      <w:r>
        <w:rPr>
          <w:vertAlign w:val="subscript"/>
        </w:rPr>
        <w:t>MWhI</w:t>
      </w:r>
      <w:r>
        <w:t xml:space="preserve"> * DAM LBMP</w:t>
      </w:r>
      <w:r>
        <w:rPr>
          <w:vertAlign w:val="subscript"/>
        </w:rPr>
        <w:t>I</w:t>
      </w:r>
    </w:p>
    <w:p w:rsidR="00AF7719" w:rsidRDefault="00C46825">
      <w:pPr>
        <w:pStyle w:val="equationtext"/>
        <w:tabs>
          <w:tab w:val="clear" w:pos="1620"/>
          <w:tab w:val="left" w:pos="2520"/>
        </w:tabs>
        <w:ind w:left="2520" w:hanging="1800"/>
      </w:pPr>
      <w:r>
        <w:t>SchBid</w:t>
      </w:r>
      <w:r>
        <w:rPr>
          <w:vertAlign w:val="subscript"/>
        </w:rPr>
        <w:t>MWhI</w:t>
      </w:r>
      <w:r>
        <w:tab/>
        <w:t>=</w:t>
      </w:r>
      <w:r>
        <w:tab/>
      </w:r>
      <w:r>
        <w:t xml:space="preserve">the total quantity of MWhs that is scheduled in the DAM in a particular </w:t>
      </w:r>
      <w:r>
        <w:tab/>
        <w:t>hour at a particular location as a result of the Customer’s Import Bid.</w:t>
      </w:r>
    </w:p>
    <w:p w:rsidR="00AF7719" w:rsidRDefault="00C46825">
      <w:pPr>
        <w:pStyle w:val="equationtext"/>
        <w:tabs>
          <w:tab w:val="clear" w:pos="1620"/>
          <w:tab w:val="left" w:pos="2520"/>
        </w:tabs>
        <w:ind w:left="2520" w:hanging="1800"/>
      </w:pPr>
      <w:r>
        <w:t>Actual</w:t>
      </w:r>
      <w:r>
        <w:rPr>
          <w:vertAlign w:val="subscript"/>
        </w:rPr>
        <w:t>MWhI</w:t>
      </w:r>
      <w:r>
        <w:t xml:space="preserve"> </w:t>
      </w:r>
      <w:r>
        <w:tab/>
        <w:t>=</w:t>
      </w:r>
      <w:r>
        <w:rPr>
          <w:vertAlign w:val="subscript"/>
        </w:rPr>
        <w:t xml:space="preserve"> </w:t>
      </w:r>
      <w:r>
        <w:rPr>
          <w:vertAlign w:val="subscript"/>
        </w:rPr>
        <w:tab/>
      </w:r>
      <w:r>
        <w:t xml:space="preserve">the total quantity of MWhs that is scheduled in real-time associated with the Customer’s Import </w:t>
      </w:r>
      <w:r>
        <w:t xml:space="preserve">Bid in a particular hour and at a particular location for the hour completed. </w:t>
      </w:r>
    </w:p>
    <w:p w:rsidR="00AF7719" w:rsidRDefault="00C46825">
      <w:pPr>
        <w:pStyle w:val="equationtext"/>
        <w:tabs>
          <w:tab w:val="clear" w:pos="1620"/>
          <w:tab w:val="left" w:pos="2520"/>
        </w:tabs>
        <w:ind w:left="2520" w:hanging="1800"/>
      </w:pPr>
      <w:r>
        <w:t>DAM LBMP</w:t>
      </w:r>
      <w:r>
        <w:rPr>
          <w:vertAlign w:val="subscript"/>
        </w:rPr>
        <w:t>I</w:t>
      </w:r>
      <w:r>
        <w:t xml:space="preserve"> </w:t>
      </w:r>
      <w:r>
        <w:tab/>
        <w:t>=</w:t>
      </w:r>
      <w:r>
        <w:tab/>
        <w:t>the Day-Ahead LBMP in a particular hour and at a particular location associated with the Customer’s Import Bid.</w:t>
      </w:r>
    </w:p>
    <w:p w:rsidR="00AF7719" w:rsidRDefault="00C46825">
      <w:pPr>
        <w:pStyle w:val="equationtext"/>
        <w:tabs>
          <w:tab w:val="clear" w:pos="1620"/>
          <w:tab w:val="left" w:pos="2520"/>
        </w:tabs>
        <w:ind w:left="2520" w:hanging="1800"/>
      </w:pPr>
      <w:r>
        <w:t>RT LBMP</w:t>
      </w:r>
      <w:r>
        <w:rPr>
          <w:vertAlign w:val="subscript"/>
        </w:rPr>
        <w:t>I</w:t>
      </w:r>
      <w:r>
        <w:t xml:space="preserve"> </w:t>
      </w:r>
      <w:r>
        <w:tab/>
        <w:t>=</w:t>
      </w:r>
      <w:r>
        <w:tab/>
        <w:t xml:space="preserve">the Real-Time LBMP in a particular hour </w:t>
      </w:r>
      <w:r>
        <w:t>and at a particular location associated with the Customer’s Import Bid.</w:t>
      </w:r>
    </w:p>
    <w:p w:rsidR="00AF7719" w:rsidRDefault="00C46825">
      <w:pPr>
        <w:pStyle w:val="Heading4"/>
      </w:pPr>
      <w:r>
        <w:t>26.4.2.2.2 Export Credit Requirement</w:t>
      </w:r>
    </w:p>
    <w:p w:rsidR="00AF7719" w:rsidRDefault="00C46825">
      <w:pPr>
        <w:pStyle w:val="Bodypara"/>
      </w:pPr>
      <w:r>
        <w:t>The Export Credit Requirement shall apply to any Customer that Bids to Export from the DAM or Hour-Ahead Market (“HAM”).</w:t>
      </w:r>
    </w:p>
    <w:p w:rsidR="00AF7719" w:rsidRDefault="00C46825">
      <w:pPr>
        <w:pStyle w:val="Bodypara"/>
      </w:pPr>
      <w:r>
        <w:t xml:space="preserve">The Export Credit Requirement shall equal the sum of the amounts calculated for each Bid in accordance with the appropriate formulas below:  </w:t>
      </w:r>
    </w:p>
    <w:p w:rsidR="00AF7719" w:rsidRDefault="00C46825">
      <w:pPr>
        <w:pStyle w:val="alphaheading"/>
      </w:pPr>
      <w:r>
        <w:t>(1)</w:t>
      </w:r>
      <w:r>
        <w:tab/>
        <w:t xml:space="preserve">Upon submission of a DAM Export Bid until posting of the applicable DAM schedule/price. </w:t>
      </w:r>
    </w:p>
    <w:p w:rsidR="00AF7719" w:rsidRDefault="00C46825">
      <w:pPr>
        <w:pStyle w:val="romannumeralpara"/>
        <w:widowControl w:val="0"/>
      </w:pPr>
      <w:r>
        <w:tab/>
        <w:t>The ISO will calcula</w:t>
      </w:r>
      <w:r>
        <w:t>te the required credit support for pending DAM Export Bids for a market day three days prior to the DAM market close for that market day.  The ISO will calculate the required credit support for DAM Export Bids that are submitted after the commencement of t</w:t>
      </w:r>
      <w:r>
        <w:t xml:space="preserve">he initial credit evaluation upon Bid submission. The ISO will categorize each Export Bid into one of the 18 Export Price Differential (EPD) </w:t>
      </w:r>
      <w:r>
        <w:rPr>
          <w:snapToGrid w:val="0"/>
          <w:szCs w:val="20"/>
        </w:rPr>
        <w:t>groups</w:t>
      </w:r>
      <w:r>
        <w:t xml:space="preserve"> set forth in the EPD chart in Section 26.4.2.2.5</w:t>
      </w:r>
      <w:r>
        <w:rPr>
          <w:b/>
        </w:rPr>
        <w:t xml:space="preserve"> </w:t>
      </w:r>
      <w:r>
        <w:t xml:space="preserve">below, as appropriate, based upon the </w:t>
      </w:r>
      <w:r>
        <w:rPr>
          <w:snapToGrid w:val="0"/>
          <w:szCs w:val="20"/>
        </w:rPr>
        <w:t>season</w:t>
      </w:r>
      <w:r>
        <w:t xml:space="preserve"> and time-of-da</w:t>
      </w:r>
      <w:r>
        <w:t>y of the Export Bid. The amount of credit support required in $/MWh that applies to an Export Bid shall equal the 97</w:t>
      </w:r>
      <w:r>
        <w:rPr>
          <w:vertAlign w:val="superscript"/>
        </w:rPr>
        <w:t>th</w:t>
      </w:r>
      <w:r>
        <w:t xml:space="preserve"> percentile level of the following: the Energy price calculated in the DAM at the location associated with the Export Bid, minus the hourl</w:t>
      </w:r>
      <w:r>
        <w:t>y average Energy price calculated in the Real-Time Market at the same location and time, with the dataset used to perform this calculation consisting of all hours that are in the same EPD group as the hour to which the Export Bid applies, and that occurred</w:t>
      </w:r>
      <w:r>
        <w:t xml:space="preserve"> no earlier than April 1, 2005 nor later than the end of the calendar month preceding the month to which the Export Bid applies.  The amount of credit support required in $/MWh shall not be less than $0/MWh. </w:t>
      </w:r>
    </w:p>
    <w:p w:rsidR="00AF7719" w:rsidRDefault="00C46825">
      <w:pPr>
        <w:pStyle w:val="alphapara"/>
      </w:pPr>
      <w:r>
        <w:tab/>
        <w:t>The credit requirement for all DAM Export Bids</w:t>
      </w:r>
      <w:r>
        <w:t xml:space="preserve"> with the same hour/date and location shall be calculated as follows:  </w:t>
      </w:r>
    </w:p>
    <w:p w:rsidR="00AF7719" w:rsidRDefault="00C46825">
      <w:pPr>
        <w:pStyle w:val="Bodypara"/>
        <w:spacing w:line="240" w:lineRule="auto"/>
        <w:ind w:firstLine="0"/>
        <w:jc w:val="center"/>
      </w:pPr>
      <m:oMathPara>
        <m:oMath>
          <m:d>
            <m:dPr>
              <m:ctrlPr>
                <w:rPr>
                  <w:rFonts w:ascii="Cambria Math" w:hAnsi="Cambria Math"/>
                  <w:i/>
                </w:rPr>
              </m:ctrlPr>
            </m:dPr>
            <m:e>
              <m:r>
                <w:rPr>
                  <w:rFonts w:ascii="Cambria Math" w:hAnsi="Cambria Math"/>
                </w:rPr>
                <m:t>Max</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Max</m:t>
                          </m:r>
                        </m:e>
                        <m:sub>
                          <m:r>
                            <w:rPr>
                              <w:rFonts w:ascii="Cambria Math" w:hAnsi="Cambria Math"/>
                            </w:rPr>
                            <m:t>N</m:t>
                          </m:r>
                        </m:sub>
                      </m:sSub>
                      <m:d>
                        <m:dPr>
                          <m:ctrlPr>
                            <w:rPr>
                              <w:rFonts w:ascii="Cambria Math" w:hAnsi="Cambria Math"/>
                              <w:i/>
                            </w:rPr>
                          </m:ctrlPr>
                        </m:dPr>
                        <m:e>
                          <m:sSub>
                            <m:sSubPr>
                              <m:ctrlPr>
                                <w:rPr>
                                  <w:rFonts w:ascii="Cambria Math" w:hAnsi="Cambria Math"/>
                                  <w:i/>
                                </w:rPr>
                              </m:ctrlPr>
                            </m:sSubPr>
                            <m:e>
                              <m:r>
                                <w:rPr>
                                  <w:rFonts w:ascii="Cambria Math" w:hAnsi="Cambria Math"/>
                                </w:rPr>
                                <m:t>Bid</m:t>
                              </m:r>
                            </m:e>
                            <m:sub>
                              <m:r>
                                <w:rPr>
                                  <w:rFonts w:ascii="Cambria Math" w:hAnsi="Cambria Math"/>
                                </w:rPr>
                                <m:t>MW</m:t>
                              </m:r>
                              <m:r>
                                <w:rPr>
                                  <w:rFonts w:ascii="Cambria Math" w:hAnsi="Cambria Math"/>
                                </w:rPr>
                                <m:t>h</m:t>
                              </m:r>
                            </m:sub>
                          </m:sSub>
                          <m:r>
                            <w:rPr>
                              <w:rFonts w:ascii="Cambria Math" w:hAnsi="Cambria Math"/>
                            </w:rPr>
                            <m:t xml:space="preserve">* </m:t>
                          </m:r>
                          <m:sSub>
                            <m:sSubPr>
                              <m:ctrlPr>
                                <w:rPr>
                                  <w:rFonts w:ascii="Cambria Math" w:hAnsi="Cambria Math"/>
                                  <w:i/>
                                </w:rPr>
                              </m:ctrlPr>
                            </m:sSubPr>
                            <m:e>
                              <m:r>
                                <w:rPr>
                                  <w:rFonts w:ascii="Cambria Math" w:hAnsi="Cambria Math"/>
                                </w:rPr>
                                <m:t>Bid</m:t>
                              </m:r>
                            </m:e>
                            <m:sub>
                              <m:r>
                                <w:rPr>
                                  <w:rFonts w:ascii="Cambria Math" w:hAnsi="Cambria Math"/>
                                </w:rPr>
                                <m:t>$</m:t>
                              </m:r>
                              <m:r>
                                <w:rPr>
                                  <w:rFonts w:ascii="Cambria Math" w:hAnsi="Cambria Math"/>
                                </w:rPr>
                                <m:t>E</m:t>
                              </m:r>
                            </m:sub>
                          </m:sSub>
                        </m:e>
                      </m:d>
                    </m:e>
                  </m:d>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BidMax</m:t>
                          </m:r>
                        </m:e>
                        <m:sub>
                          <m:r>
                            <w:rPr>
                              <w:rFonts w:ascii="Cambria Math" w:hAnsi="Cambria Math"/>
                            </w:rPr>
                            <m:t>MW</m:t>
                          </m:r>
                          <m:r>
                            <w:rPr>
                              <w:rFonts w:ascii="Cambria Math" w:hAnsi="Cambria Math"/>
                            </w:rPr>
                            <m:t>h</m:t>
                          </m:r>
                          <m:r>
                            <w:rPr>
                              <w:rFonts w:ascii="Cambria Math" w:hAnsi="Cambria Math"/>
                            </w:rPr>
                            <m:t>B</m:t>
                          </m:r>
                        </m:sub>
                      </m:sSub>
                      <m:r>
                        <w:rPr>
                          <w:rFonts w:ascii="Cambria Math" w:hAnsi="Cambria Math"/>
                        </w:rPr>
                        <m:t xml:space="preserve">* </m:t>
                      </m:r>
                      <m:sSub>
                        <m:sSubPr>
                          <m:ctrlPr>
                            <w:rPr>
                              <w:rFonts w:ascii="Cambria Math" w:hAnsi="Cambria Math"/>
                              <w:i/>
                            </w:rPr>
                          </m:ctrlPr>
                        </m:sSubPr>
                        <m:e>
                          <m:r>
                            <w:rPr>
                              <w:rFonts w:ascii="Cambria Math" w:hAnsi="Cambria Math"/>
                            </w:rPr>
                            <m:t>EPD</m:t>
                          </m:r>
                        </m:e>
                        <m:sub>
                          <m:r>
                            <w:rPr>
                              <w:rFonts w:ascii="Cambria Math" w:hAnsi="Cambria Math"/>
                            </w:rPr>
                            <m:t>CS</m:t>
                          </m:r>
                        </m:sub>
                      </m:sSub>
                    </m:e>
                  </m:d>
                </m:e>
              </m:d>
            </m:e>
          </m:d>
        </m:oMath>
      </m:oMathPara>
    </w:p>
    <w:p w:rsidR="00AF7719" w:rsidRDefault="00C46825">
      <w:pPr>
        <w:pStyle w:val="equationtext"/>
        <w:spacing w:before="0" w:after="0"/>
      </w:pPr>
    </w:p>
    <w:p w:rsidR="00AF7719" w:rsidRDefault="00C46825">
      <w:pPr>
        <w:pStyle w:val="Bodypara"/>
        <w:spacing w:line="240" w:lineRule="auto"/>
      </w:pPr>
      <w:r>
        <w:t>Where:</w:t>
      </w:r>
    </w:p>
    <w:p w:rsidR="00AF7719" w:rsidRDefault="00C46825">
      <w:pPr>
        <w:pStyle w:val="equationtext"/>
        <w:spacing w:before="0" w:after="0"/>
      </w:pPr>
    </w:p>
    <w:p w:rsidR="00AF7719" w:rsidRDefault="00C46825">
      <w:pPr>
        <w:pStyle w:val="equationtext"/>
        <w:tabs>
          <w:tab w:val="clear" w:pos="1620"/>
          <w:tab w:val="left" w:pos="2520"/>
        </w:tabs>
        <w:ind w:left="2520" w:hanging="1800"/>
      </w:pPr>
      <w:r>
        <w:t>Bid</w:t>
      </w:r>
      <w:r>
        <w:rPr>
          <w:vertAlign w:val="subscript"/>
        </w:rPr>
        <w:t>MWh</w:t>
      </w:r>
      <w:r>
        <w:rPr>
          <w:vertAlign w:val="subscript"/>
        </w:rPr>
        <w:tab/>
      </w:r>
      <w:r>
        <w:t>=</w:t>
      </w:r>
      <w:r>
        <w:rPr>
          <w:vertAlign w:val="subscript"/>
        </w:rPr>
        <w:t xml:space="preserve"> </w:t>
      </w:r>
      <w:r>
        <w:rPr>
          <w:vertAlign w:val="subscript"/>
        </w:rPr>
        <w:tab/>
      </w:r>
      <w:r>
        <w:t>the total quantity of MWhs that a Customer Bids to Export in the DAM in a particular hour and at</w:t>
      </w:r>
      <w:r>
        <w:t xml:space="preserve"> a particular location at or below each Bid Price.</w:t>
      </w:r>
    </w:p>
    <w:p w:rsidR="00AF7719" w:rsidRDefault="00C46825">
      <w:pPr>
        <w:pStyle w:val="equationtext"/>
        <w:tabs>
          <w:tab w:val="clear" w:pos="1620"/>
          <w:tab w:val="left" w:pos="2520"/>
        </w:tabs>
        <w:ind w:left="2520" w:hanging="1800"/>
      </w:pPr>
      <w:r>
        <w:t>Bid</w:t>
      </w:r>
      <w:r>
        <w:rPr>
          <w:vertAlign w:val="subscript"/>
        </w:rPr>
        <w:t xml:space="preserve">$E </w:t>
      </w:r>
      <w:r>
        <w:rPr>
          <w:vertAlign w:val="subscript"/>
        </w:rPr>
        <w:tab/>
      </w:r>
      <w:r>
        <w:t>=</w:t>
      </w:r>
      <w:r>
        <w:rPr>
          <w:vertAlign w:val="subscript"/>
        </w:rPr>
        <w:t xml:space="preserve"> </w:t>
      </w:r>
      <w:r>
        <w:rPr>
          <w:vertAlign w:val="subscript"/>
        </w:rPr>
        <w:tab/>
      </w:r>
      <w:r>
        <w:t>the Bid Price in $/MWh at which the Customer Bids to purchase the Bid</w:t>
      </w:r>
      <w:r>
        <w:rPr>
          <w:vertAlign w:val="subscript"/>
        </w:rPr>
        <w:t>MWh</w:t>
      </w:r>
      <w:r>
        <w:t xml:space="preserve"> of Exports in a particular hour and at a particular location. </w:t>
      </w:r>
    </w:p>
    <w:p w:rsidR="00AF7719" w:rsidRDefault="00C46825">
      <w:pPr>
        <w:pStyle w:val="equationtext"/>
        <w:tabs>
          <w:tab w:val="clear" w:pos="1620"/>
          <w:tab w:val="left" w:pos="2520"/>
        </w:tabs>
        <w:ind w:left="2520" w:hanging="1800"/>
      </w:pPr>
      <w:r>
        <w:t xml:space="preserve">N </w:t>
      </w:r>
      <w:r>
        <w:tab/>
        <w:t>=</w:t>
      </w:r>
      <w:r>
        <w:tab/>
        <w:t>the set of hourly Export Bid Prices in a particular ho</w:t>
      </w:r>
      <w:r>
        <w:t xml:space="preserve">ur and at a particular location. </w:t>
      </w:r>
    </w:p>
    <w:p w:rsidR="00AF7719" w:rsidRDefault="00C46825">
      <w:pPr>
        <w:pStyle w:val="equationtext"/>
        <w:tabs>
          <w:tab w:val="clear" w:pos="1620"/>
          <w:tab w:val="left" w:pos="2520"/>
        </w:tabs>
        <w:ind w:left="2520" w:hanging="1800"/>
      </w:pPr>
      <w:r>
        <w:t>BidMax</w:t>
      </w:r>
      <w:r>
        <w:rPr>
          <w:vertAlign w:val="subscript"/>
        </w:rPr>
        <w:t>MWhB</w:t>
      </w:r>
      <w:r>
        <w:t xml:space="preserve"> </w:t>
      </w:r>
      <w:r>
        <w:tab/>
        <w:t>=</w:t>
      </w:r>
      <w:r>
        <w:rPr>
          <w:vertAlign w:val="subscript"/>
        </w:rPr>
        <w:t xml:space="preserve"> </w:t>
      </w:r>
      <w:r>
        <w:rPr>
          <w:vertAlign w:val="subscript"/>
        </w:rPr>
        <w:tab/>
      </w:r>
      <w:r>
        <w:t>the total quantity of MWhs that a Customer Bids to Export in the DAM in a particular hour and at a particular location.</w:t>
      </w:r>
    </w:p>
    <w:p w:rsidR="00AF7719" w:rsidRDefault="00C46825">
      <w:pPr>
        <w:pStyle w:val="equationtext"/>
        <w:tabs>
          <w:tab w:val="clear" w:pos="1620"/>
          <w:tab w:val="left" w:pos="2520"/>
        </w:tabs>
        <w:ind w:left="2520" w:hanging="1800"/>
      </w:pPr>
      <w:r>
        <w:t>EPD</w:t>
      </w:r>
      <w:r>
        <w:rPr>
          <w:vertAlign w:val="subscript"/>
        </w:rPr>
        <w:t>CS</w:t>
      </w:r>
      <w:r>
        <w:t xml:space="preserve"> </w:t>
      </w:r>
      <w:r>
        <w:tab/>
        <w:t>=</w:t>
      </w:r>
      <w:r>
        <w:rPr>
          <w:vertAlign w:val="subscript"/>
        </w:rPr>
        <w:t xml:space="preserve"> </w:t>
      </w:r>
      <w:r>
        <w:rPr>
          <w:vertAlign w:val="subscript"/>
        </w:rPr>
        <w:tab/>
      </w:r>
      <w:r>
        <w:t xml:space="preserve">the amount of credit support required, in $/MWh, for an Export Bid as </w:t>
      </w:r>
      <w:r>
        <w:t>described above, for the location associated with the Export Bid and for the EPD group that contains the hour to which the Export Bid applies.</w:t>
      </w:r>
    </w:p>
    <w:p w:rsidR="00AF7719" w:rsidRDefault="00C46825">
      <w:pPr>
        <w:pStyle w:val="alphaheading"/>
      </w:pPr>
      <w:r>
        <w:t>(2)</w:t>
      </w:r>
      <w:r>
        <w:tab/>
        <w:t xml:space="preserve">Upon posting of the applicable DAM schedule/price until completion of hour Bid in real-time for a DAM Export </w:t>
      </w:r>
      <w:r>
        <w:t>Bid.</w:t>
      </w:r>
    </w:p>
    <w:p w:rsidR="00AF7719" w:rsidRDefault="00C46825">
      <w:pPr>
        <w:pStyle w:val="alphapara"/>
      </w:pPr>
      <w:r>
        <w:tab/>
        <w:t xml:space="preserve">The credit requirement for each Export Bid shall be calculated as follows:  </w:t>
      </w:r>
    </w:p>
    <w:p w:rsidR="00AF7719" w:rsidRDefault="00C46825">
      <w:pPr>
        <w:pStyle w:val="Bodypara"/>
        <w:spacing w:line="240" w:lineRule="auto"/>
        <w:ind w:firstLine="0"/>
        <w:jc w:val="center"/>
      </w:pPr>
      <m:oMathPara>
        <m:oMath>
          <m:d>
            <m:dPr>
              <m:ctrlPr>
                <w:rPr>
                  <w:rFonts w:ascii="Cambria Math" w:hAnsi="Cambria Math"/>
                  <w:i/>
                </w:rPr>
              </m:ctrlPr>
            </m:dPr>
            <m:e>
              <m:sSub>
                <m:sSubPr>
                  <m:ctrlPr>
                    <w:rPr>
                      <w:rFonts w:ascii="Cambria Math" w:hAnsi="Cambria Math"/>
                      <w:i/>
                    </w:rPr>
                  </m:ctrlPr>
                </m:sSubPr>
                <m:e>
                  <m:r>
                    <w:rPr>
                      <w:rFonts w:ascii="Cambria Math" w:hAnsi="Cambria Math"/>
                    </w:rPr>
                    <m:t>Sc</m:t>
                  </m:r>
                  <m:r>
                    <w:rPr>
                      <w:rFonts w:ascii="Cambria Math" w:hAnsi="Cambria Math"/>
                    </w:rPr>
                    <m:t>h</m:t>
                  </m:r>
                  <m:r>
                    <w:rPr>
                      <w:rFonts w:ascii="Cambria Math" w:hAnsi="Cambria Math"/>
                    </w:rPr>
                    <m:t>Bid</m:t>
                  </m:r>
                </m:e>
                <m:sub>
                  <m:r>
                    <w:rPr>
                      <w:rFonts w:ascii="Cambria Math" w:hAnsi="Cambria Math"/>
                    </w:rPr>
                    <m:t>MW</m:t>
                  </m:r>
                  <m:r>
                    <w:rPr>
                      <w:rFonts w:ascii="Cambria Math" w:hAnsi="Cambria Math"/>
                    </w:rPr>
                    <m:t>h</m:t>
                  </m:r>
                  <m:r>
                    <w:rPr>
                      <w:rFonts w:ascii="Cambria Math" w:hAnsi="Cambria Math"/>
                    </w:rPr>
                    <m:t>E</m:t>
                  </m:r>
                </m:sub>
              </m:sSub>
              <m:r>
                <w:rPr>
                  <w:rFonts w:ascii="Cambria Math" w:hAnsi="Cambria Math"/>
                </w:rPr>
                <m:t xml:space="preserve">* </m:t>
              </m:r>
              <m:d>
                <m:dPr>
                  <m:ctrlPr>
                    <w:rPr>
                      <w:rFonts w:ascii="Cambria Math" w:hAnsi="Cambria Math"/>
                      <w:i/>
                    </w:rPr>
                  </m:ctrlPr>
                </m:dPr>
                <m:e>
                  <m:r>
                    <w:rPr>
                      <w:rFonts w:ascii="Cambria Math"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EPD</m:t>
                          </m:r>
                        </m:e>
                        <m:sub>
                          <m:r>
                            <w:rPr>
                              <w:rFonts w:ascii="Cambria Math" w:hAnsi="Cambria Math"/>
                            </w:rPr>
                            <m:t>CS</m:t>
                          </m:r>
                        </m:sub>
                      </m:sSub>
                      <m:r>
                        <w:rPr>
                          <w:rFonts w:ascii="Cambria Math" w:hAnsi="Cambria Math"/>
                        </w:rPr>
                        <m:t>,</m:t>
                      </m:r>
                      <m:sSub>
                        <m:sSubPr>
                          <m:ctrlPr>
                            <w:rPr>
                              <w:rFonts w:ascii="Cambria Math" w:hAnsi="Cambria Math"/>
                              <w:i/>
                            </w:rPr>
                          </m:ctrlPr>
                        </m:sSubPr>
                        <m:e>
                          <m:r>
                            <w:rPr>
                              <w:rFonts w:ascii="Cambria Math" w:hAnsi="Cambria Math"/>
                            </w:rPr>
                            <m:t>DAM</m:t>
                          </m:r>
                          <m:r>
                            <w:rPr>
                              <w:rFonts w:ascii="Cambria Math" w:hAnsi="Cambria Math"/>
                            </w:rPr>
                            <m:t xml:space="preserve"> </m:t>
                          </m:r>
                          <m:r>
                            <w:rPr>
                              <w:rFonts w:ascii="Cambria Math" w:hAnsi="Cambria Math"/>
                            </w:rPr>
                            <m:t>LBMP</m:t>
                          </m:r>
                        </m:e>
                        <m:sub>
                          <m:r>
                            <w:rPr>
                              <w:rFonts w:ascii="Cambria Math" w:hAnsi="Cambria Math"/>
                            </w:rPr>
                            <m:t>E</m:t>
                          </m:r>
                        </m:sub>
                      </m:sSub>
                    </m:e>
                  </m:d>
                </m:e>
              </m:d>
            </m:e>
          </m:d>
        </m:oMath>
      </m:oMathPara>
    </w:p>
    <w:p w:rsidR="00AF7719" w:rsidRDefault="00C46825">
      <w:pPr>
        <w:pStyle w:val="equationtext"/>
        <w:spacing w:before="0" w:after="0"/>
      </w:pPr>
    </w:p>
    <w:p w:rsidR="00AF7719" w:rsidRDefault="00C46825">
      <w:pPr>
        <w:pStyle w:val="Bodypara"/>
        <w:spacing w:line="240" w:lineRule="auto"/>
      </w:pPr>
      <w:r>
        <w:t>Where:</w:t>
      </w:r>
    </w:p>
    <w:p w:rsidR="00AF7719" w:rsidRDefault="00C46825">
      <w:pPr>
        <w:pStyle w:val="equationtext"/>
        <w:spacing w:before="0" w:after="0"/>
      </w:pPr>
    </w:p>
    <w:p w:rsidR="00AF7719" w:rsidRDefault="00C46825">
      <w:pPr>
        <w:pStyle w:val="equationtext"/>
        <w:tabs>
          <w:tab w:val="clear" w:pos="1620"/>
          <w:tab w:val="left" w:pos="2520"/>
        </w:tabs>
        <w:spacing w:before="0"/>
        <w:ind w:left="2520" w:hanging="1800"/>
      </w:pPr>
      <w:r>
        <w:t>SchBid</w:t>
      </w:r>
      <w:r>
        <w:rPr>
          <w:vertAlign w:val="subscript"/>
        </w:rPr>
        <w:t>MWhE</w:t>
      </w:r>
      <w:r>
        <w:t xml:space="preserve"> </w:t>
      </w:r>
      <w:r>
        <w:tab/>
        <w:t>=</w:t>
      </w:r>
      <w:r>
        <w:tab/>
        <w:t>the total quantity of MWhs that is scheduled in the DAM in a particular hour at a particular lo</w:t>
      </w:r>
      <w:r>
        <w:t>cation as a result of the Customer’s Export Bid.</w:t>
      </w:r>
    </w:p>
    <w:p w:rsidR="00AF7719" w:rsidRDefault="00C46825">
      <w:pPr>
        <w:pStyle w:val="equationtext"/>
        <w:tabs>
          <w:tab w:val="clear" w:pos="1620"/>
          <w:tab w:val="left" w:pos="2520"/>
        </w:tabs>
        <w:ind w:left="2520" w:hanging="1800"/>
      </w:pPr>
      <w:r>
        <w:t>EPD</w:t>
      </w:r>
      <w:r>
        <w:rPr>
          <w:vertAlign w:val="subscript"/>
        </w:rPr>
        <w:t>CS</w:t>
      </w:r>
      <w:r>
        <w:t xml:space="preserve"> </w:t>
      </w:r>
      <w:r>
        <w:tab/>
        <w:t>=</w:t>
      </w:r>
      <w:r>
        <w:tab/>
        <w:t>the amount of credit support required, in $/MWh, for an Export Bid as described above, for the location associated with the Export Bid and for the EPD group that contains the hour to which the Expor</w:t>
      </w:r>
      <w:r>
        <w:t>t Bid applies.</w:t>
      </w:r>
    </w:p>
    <w:p w:rsidR="00AF7719" w:rsidRDefault="00C46825">
      <w:pPr>
        <w:pStyle w:val="equationtext"/>
        <w:tabs>
          <w:tab w:val="clear" w:pos="1620"/>
          <w:tab w:val="left" w:pos="2520"/>
        </w:tabs>
        <w:ind w:left="2520" w:hanging="1800"/>
      </w:pPr>
      <w:r>
        <w:t>DAM LBMP</w:t>
      </w:r>
      <w:r>
        <w:rPr>
          <w:vertAlign w:val="subscript"/>
        </w:rPr>
        <w:t>E</w:t>
      </w:r>
      <w:r>
        <w:t xml:space="preserve"> </w:t>
      </w:r>
      <w:r>
        <w:tab/>
        <w:t>=</w:t>
      </w:r>
      <w:r>
        <w:tab/>
        <w:t>the Day-Ahead LBMP in a particular hour and at a particular location associated with the Customer’s Export Bid.</w:t>
      </w:r>
    </w:p>
    <w:p w:rsidR="00AF7719" w:rsidRDefault="00C46825">
      <w:pPr>
        <w:pStyle w:val="alphaheading"/>
      </w:pPr>
      <w:r>
        <w:t>(3)</w:t>
      </w:r>
      <w:r>
        <w:tab/>
        <w:t>From submission of a HAM Export Bid until completion of the hour Bid in real-time.</w:t>
      </w:r>
    </w:p>
    <w:p w:rsidR="00AF7719" w:rsidRDefault="00C46825">
      <w:pPr>
        <w:pStyle w:val="alphaheading"/>
      </w:pPr>
      <w:r>
        <w:t>i.</w:t>
      </w:r>
      <w:r>
        <w:tab/>
        <w:t>Non-CTS Interface Bids  to</w:t>
      </w:r>
      <w:r>
        <w:t xml:space="preserve"> Export .  </w:t>
      </w:r>
    </w:p>
    <w:p w:rsidR="00AF7719" w:rsidRDefault="00C46825">
      <w:pPr>
        <w:pStyle w:val="alphapara"/>
        <w:ind w:firstLine="0"/>
      </w:pPr>
      <w:r>
        <w:t>The ISO will calculate the required credit support for pending HAM non-CTS Interface Bids to Export for a market day three days prior to the DAM close for that market day.  The ISO will calculate the required credit support for HAM non-CTS Inte</w:t>
      </w:r>
      <w:r>
        <w:t>rface Bids to Export that are submitted after the commencement of the initial credit evaluation upon Bid submission. The amount of credit support required in $/MWh that applies to HAM non-CTS Interface Bids Export in the same hour/date and at the same loca</w:t>
      </w:r>
      <w:r>
        <w:t xml:space="preserve">tion shall equal the maximum amount of the payment potentially due to the ISO based on the MWhs of Exports Bid for purchase at each bid price in a particular hour and at a particular location. </w:t>
      </w:r>
    </w:p>
    <w:p w:rsidR="00AF7719" w:rsidRDefault="00C46825">
      <w:pPr>
        <w:pStyle w:val="alphapara"/>
        <w:ind w:firstLine="0"/>
      </w:pPr>
      <w:r>
        <w:t>The credit requirement for all HAM non-CTS Interface Bids to E</w:t>
      </w:r>
      <w:r>
        <w:t xml:space="preserve">xport with the same hour/date and location shall be calculated as follows:  </w:t>
      </w:r>
    </w:p>
    <w:p w:rsidR="00AF7719" w:rsidRDefault="00C46825">
      <w:pPr>
        <w:pStyle w:val="Bodypara"/>
        <w:spacing w:line="240" w:lineRule="auto"/>
        <w:ind w:firstLine="0"/>
        <w:jc w:val="center"/>
      </w:pPr>
      <m:oMathPara>
        <m:oMathParaPr>
          <m:jc m:val="center"/>
        </m:oMathParaPr>
        <m:oMath>
          <m:d>
            <m:dPr>
              <m:ctrlPr>
                <w:rPr>
                  <w:rFonts w:ascii="Cambria Math" w:hAnsi="Cambria Math"/>
                  <w:i/>
                </w:rPr>
              </m:ctrlPr>
            </m:dPr>
            <m:e>
              <m:sSub>
                <m:sSubPr>
                  <m:ctrlPr>
                    <w:rPr>
                      <w:rFonts w:ascii="Cambria Math" w:hAnsi="Cambria Math"/>
                      <w:i/>
                    </w:rPr>
                  </m:ctrlPr>
                </m:sSubPr>
                <m:e>
                  <m:r>
                    <w:rPr>
                      <w:rFonts w:ascii="Cambria Math" w:hAnsi="Cambria Math"/>
                    </w:rPr>
                    <m:t>Max</m:t>
                  </m:r>
                </m:e>
                <m:sub>
                  <m:r>
                    <w:rPr>
                      <w:rFonts w:ascii="Cambria Math" w:hAnsi="Cambria Math"/>
                    </w:rPr>
                    <m:t>N</m:t>
                  </m:r>
                </m:sub>
              </m:sSub>
              <m:d>
                <m:dPr>
                  <m:ctrlPr>
                    <w:rPr>
                      <w:rFonts w:ascii="Cambria Math" w:hAnsi="Cambria Math"/>
                      <w:i/>
                    </w:rPr>
                  </m:ctrlPr>
                </m:dPr>
                <m:e>
                  <m:d>
                    <m:dPr>
                      <m:ctrlPr>
                        <w:rPr>
                          <w:rFonts w:ascii="Cambria Math" w:hAnsi="Cambria Math"/>
                          <w:i/>
                        </w:rPr>
                      </m:ctrlPr>
                    </m:dPr>
                    <m:e>
                      <m:r>
                        <w:rPr>
                          <w:rFonts w:ascii="Cambria Math"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Bid</m:t>
                              </m:r>
                            </m:e>
                            <m:sub>
                              <m:r>
                                <w:rPr>
                                  <w:rFonts w:ascii="Cambria Math" w:hAnsi="Cambria Math"/>
                                </w:rPr>
                                <m:t>MW</m:t>
                              </m:r>
                              <m:r>
                                <w:rPr>
                                  <w:rFonts w:ascii="Cambria Math" w:hAnsi="Cambria Math"/>
                                </w:rPr>
                                <m:t>h</m:t>
                              </m:r>
                              <m:r>
                                <w:rPr>
                                  <w:rFonts w:ascii="Cambria Math" w:hAnsi="Cambria Math"/>
                                </w:rPr>
                                <m:t>E</m:t>
                              </m:r>
                            </m:sub>
                          </m:sSub>
                          <m:r>
                            <w:rPr>
                              <w:rFonts w:ascii="Cambria Math" w:hAnsi="Cambria Math"/>
                            </w:rPr>
                            <m:t>, 0</m:t>
                          </m:r>
                        </m:e>
                      </m:d>
                    </m:e>
                  </m:d>
                  <m:r>
                    <w:rPr>
                      <w:rFonts w:ascii="Cambria Math" w:hAnsi="Cambria Math"/>
                    </w:rPr>
                    <m:t xml:space="preserve">* </m:t>
                  </m:r>
                  <m:sSub>
                    <m:sSubPr>
                      <m:ctrlPr>
                        <w:rPr>
                          <w:rFonts w:ascii="Cambria Math" w:hAnsi="Cambria Math"/>
                          <w:i/>
                        </w:rPr>
                      </m:ctrlPr>
                    </m:sSubPr>
                    <m:e>
                      <m:r>
                        <w:rPr>
                          <w:rFonts w:ascii="Cambria Math" w:hAnsi="Cambria Math"/>
                        </w:rPr>
                        <m:t>Bid</m:t>
                      </m:r>
                    </m:e>
                    <m:sub>
                      <m:r>
                        <w:rPr>
                          <w:rFonts w:ascii="Cambria Math" w:hAnsi="Cambria Math"/>
                        </w:rPr>
                        <m:t>$</m:t>
                      </m:r>
                      <m:r>
                        <w:rPr>
                          <w:rFonts w:ascii="Cambria Math" w:hAnsi="Cambria Math"/>
                        </w:rPr>
                        <m:t>E</m:t>
                      </m:r>
                    </m:sub>
                  </m:sSub>
                </m:e>
              </m:d>
            </m:e>
          </m:d>
        </m:oMath>
      </m:oMathPara>
    </w:p>
    <w:p w:rsidR="00AF7719" w:rsidRDefault="00C46825">
      <w:pPr>
        <w:pStyle w:val="Bodypara"/>
        <w:spacing w:line="240" w:lineRule="auto"/>
        <w:ind w:firstLine="0"/>
        <w:jc w:val="center"/>
      </w:pPr>
    </w:p>
    <w:p w:rsidR="00AF7719" w:rsidRDefault="00C46825">
      <w:pPr>
        <w:pStyle w:val="Bodypara"/>
        <w:spacing w:line="240" w:lineRule="auto"/>
        <w:ind w:left="2880" w:hanging="720"/>
      </w:pPr>
      <w:r>
        <w:t>Where:</w:t>
      </w:r>
    </w:p>
    <w:p w:rsidR="00AF7719" w:rsidRDefault="00C46825">
      <w:pPr>
        <w:pStyle w:val="Bodypara"/>
        <w:spacing w:line="240" w:lineRule="auto"/>
        <w:ind w:left="2880" w:hanging="720"/>
      </w:pPr>
    </w:p>
    <w:p w:rsidR="00AF7719" w:rsidRDefault="00C46825">
      <w:pPr>
        <w:pStyle w:val="equationtext"/>
        <w:tabs>
          <w:tab w:val="clear" w:pos="1620"/>
          <w:tab w:val="left" w:pos="2520"/>
          <w:tab w:val="left" w:pos="3600"/>
        </w:tabs>
        <w:ind w:left="4320" w:hanging="2160"/>
      </w:pPr>
      <w:r>
        <w:t>Bid</w:t>
      </w:r>
      <w:r>
        <w:rPr>
          <w:vertAlign w:val="subscript"/>
        </w:rPr>
        <w:t>MWhE</w:t>
      </w:r>
      <w:r>
        <w:rPr>
          <w:vertAlign w:val="subscript"/>
        </w:rPr>
        <w:tab/>
        <w:t xml:space="preserve"> </w:t>
      </w:r>
      <w:r>
        <w:t>=</w:t>
      </w:r>
      <w:r>
        <w:tab/>
        <w:t xml:space="preserve">the total quantity of MWhs that a Customer Bids to Export in the HAM in a particular hour and at a particular </w:t>
      </w:r>
      <w:r>
        <w:t>location at or below each bid price minus the MWhs of Exports scheduled in the DAM in the same hour at the same location.</w:t>
      </w:r>
    </w:p>
    <w:p w:rsidR="00AF7719" w:rsidRDefault="00C46825">
      <w:pPr>
        <w:pStyle w:val="equationtext"/>
        <w:tabs>
          <w:tab w:val="clear" w:pos="1620"/>
          <w:tab w:val="left" w:pos="3600"/>
        </w:tabs>
        <w:ind w:left="4320" w:hanging="2160"/>
      </w:pPr>
      <w:r>
        <w:t>Bid</w:t>
      </w:r>
      <w:r>
        <w:rPr>
          <w:vertAlign w:val="subscript"/>
        </w:rPr>
        <w:t xml:space="preserve">$E </w:t>
      </w:r>
      <w:r>
        <w:rPr>
          <w:vertAlign w:val="subscript"/>
        </w:rPr>
        <w:tab/>
      </w:r>
      <w:r>
        <w:t>=</w:t>
      </w:r>
      <w:r>
        <w:tab/>
        <w:t>the bid price in $/MWh at which the Customer Bids to purchase the Bid</w:t>
      </w:r>
      <w:r>
        <w:rPr>
          <w:vertAlign w:val="subscript"/>
        </w:rPr>
        <w:t>MWhE</w:t>
      </w:r>
      <w:r>
        <w:t xml:space="preserve"> of Exports in a particular hour and at a particular</w:t>
      </w:r>
      <w:r>
        <w:t xml:space="preserve"> location. </w:t>
      </w:r>
    </w:p>
    <w:p w:rsidR="00AF7719" w:rsidRDefault="00C46825">
      <w:pPr>
        <w:pStyle w:val="equationtext"/>
        <w:tabs>
          <w:tab w:val="clear" w:pos="1620"/>
          <w:tab w:val="left" w:pos="3600"/>
        </w:tabs>
        <w:ind w:left="4320" w:hanging="2160"/>
      </w:pPr>
      <w:r>
        <w:t xml:space="preserve">N </w:t>
      </w:r>
      <w:r>
        <w:tab/>
        <w:t>=</w:t>
      </w:r>
      <w:r>
        <w:tab/>
        <w:t>the set of hourly Export bid prices in a particular hour and at a particular location.</w:t>
      </w:r>
    </w:p>
    <w:p w:rsidR="00AF7719" w:rsidRDefault="00C46825">
      <w:pPr>
        <w:pStyle w:val="alphaheading"/>
      </w:pPr>
      <w:r>
        <w:t>ii.</w:t>
      </w:r>
      <w:r>
        <w:tab/>
        <w:t>CTS Interface Bids to Export.</w:t>
      </w:r>
    </w:p>
    <w:p w:rsidR="00AF7719" w:rsidRDefault="00C46825">
      <w:pPr>
        <w:pStyle w:val="alphapara"/>
        <w:ind w:firstLine="0"/>
      </w:pPr>
      <w:r>
        <w:t>For CTS Interface Bids to Export credit support will be calculated at HAM close.The</w:t>
      </w:r>
      <w:r>
        <w:t xml:space="preserve"> amount of credit support required in $/MWh that applies to such bid shall equal the sum of the time-weighted hourly RTC price for each of the 15-minute intervals within the bid hour, not to be less than zero. </w:t>
      </w:r>
    </w:p>
    <w:p w:rsidR="00AF7719" w:rsidRDefault="00C46825">
      <w:pPr>
        <w:pStyle w:val="alphapara"/>
        <w:ind w:firstLine="0"/>
      </w:pPr>
      <w:r>
        <w:t>The credit requirement for each CTS Interface</w:t>
      </w:r>
      <w:r>
        <w:t xml:space="preserve"> Bid to Export shall be calculated as follows:  </w:t>
      </w:r>
    </w:p>
    <w:p w:rsidR="00AF7719" w:rsidRDefault="00C46825">
      <w:pPr>
        <w:pStyle w:val="Bodypara"/>
        <w:spacing w:line="240" w:lineRule="auto"/>
        <w:ind w:left="2160" w:hanging="720"/>
        <w:jc w:val="center"/>
      </w:pPr>
      <m:oMathPara>
        <m:oMath>
          <m:r>
            <w:rPr>
              <w:rFonts w:ascii="Cambria Math" w:hAnsi="Cambria Math"/>
            </w:rPr>
            <m:t>Max</m:t>
          </m:r>
          <m:d>
            <m:dPr>
              <m:ctrlPr>
                <w:rPr>
                  <w:rFonts w:ascii="Cambria Math" w:hAnsi="Cambria Math"/>
                  <w:i/>
                </w:rPr>
              </m:ctrlPr>
            </m:dPr>
            <m:e>
              <m:nary>
                <m:naryPr>
                  <m:chr m:val="∑"/>
                  <m:limLoc m:val="subSup"/>
                  <m:supHide m:val="1"/>
                  <m:ctrlPr>
                    <w:rPr>
                      <w:rFonts w:ascii="Cambria Math" w:hAnsi="Cambria Math"/>
                      <w:i/>
                    </w:rPr>
                  </m:ctrlPr>
                </m:naryPr>
                <m:sub>
                  <m:r>
                    <w:rPr>
                      <w:rFonts w:ascii="Cambria Math" w:hAnsi="Cambria Math"/>
                    </w:rPr>
                    <m:t>N</m:t>
                  </m:r>
                </m:sub>
                <m:sup/>
                <m:e>
                  <m:d>
                    <m:dPr>
                      <m:ctrlPr>
                        <w:rPr>
                          <w:rFonts w:ascii="Cambria Math" w:hAnsi="Cambria Math"/>
                          <w:i/>
                        </w:rPr>
                      </m:ctrlPr>
                    </m:dPr>
                    <m:e>
                      <m:sSub>
                        <m:sSubPr>
                          <m:ctrlPr>
                            <w:rPr>
                              <w:rFonts w:ascii="Cambria Math" w:hAnsi="Cambria Math"/>
                              <w:i/>
                            </w:rPr>
                          </m:ctrlPr>
                        </m:sSubPr>
                        <m:e>
                          <m:r>
                            <w:rPr>
                              <w:rFonts w:ascii="Cambria Math" w:hAnsi="Cambria Math"/>
                            </w:rPr>
                            <m:t>RTC</m:t>
                          </m:r>
                        </m:e>
                        <m:sub>
                          <m:r>
                            <w:rPr>
                              <w:rFonts w:ascii="Cambria Math" w:hAnsi="Cambria Math"/>
                            </w:rPr>
                            <m:t>$/</m:t>
                          </m:r>
                          <m:r>
                            <w:rPr>
                              <w:rFonts w:ascii="Cambria Math" w:hAnsi="Cambria Math"/>
                            </w:rPr>
                            <m:t>MW</m:t>
                          </m:r>
                          <m:r>
                            <w:rPr>
                              <w:rFonts w:ascii="Cambria Math" w:hAnsi="Cambria Math"/>
                            </w:rPr>
                            <m:t>h</m:t>
                          </m:r>
                          <m:r>
                            <w:rPr>
                              <w:rFonts w:ascii="Cambria Math" w:hAnsi="Cambria Math"/>
                            </w:rPr>
                            <m:t>cts</m:t>
                          </m:r>
                        </m:sub>
                      </m:sSub>
                      <m:r>
                        <w:rPr>
                          <w:rFonts w:ascii="Cambria Math" w:hAnsi="Cambria Math"/>
                        </w:rPr>
                        <m:t>*</m:t>
                      </m:r>
                      <m:sSub>
                        <m:sSubPr>
                          <m:ctrlPr>
                            <w:rPr>
                              <w:rFonts w:ascii="Cambria Math" w:hAnsi="Cambria Math"/>
                              <w:i/>
                            </w:rPr>
                          </m:ctrlPr>
                        </m:sSubPr>
                        <m:e>
                          <m:r>
                            <w:rPr>
                              <w:rFonts w:ascii="Cambria Math" w:hAnsi="Cambria Math"/>
                            </w:rPr>
                            <m:t>Bid</m:t>
                          </m:r>
                        </m:e>
                        <m:sub>
                          <m:r>
                            <w:rPr>
                              <w:rFonts w:ascii="Cambria Math" w:hAnsi="Cambria Math"/>
                            </w:rPr>
                            <m:t>MW</m:t>
                          </m:r>
                          <m:r>
                            <w:rPr>
                              <w:rFonts w:ascii="Cambria Math" w:hAnsi="Cambria Math"/>
                            </w:rPr>
                            <m:t>h</m:t>
                          </m:r>
                          <m:r>
                            <w:rPr>
                              <w:rFonts w:ascii="Cambria Math" w:hAnsi="Cambria Math"/>
                            </w:rPr>
                            <m:t>scts</m:t>
                          </m:r>
                        </m:sub>
                      </m:sSub>
                      <m:r>
                        <w:rPr>
                          <w:rFonts w:ascii="Cambria Math" w:hAnsi="Cambria Math"/>
                        </w:rPr>
                        <m:t>*</m:t>
                      </m:r>
                      <m:r>
                        <w:rPr>
                          <w:rFonts w:ascii="Cambria Math" w:hAnsi="Cambria Math"/>
                        </w:rPr>
                        <m:t>Hourly</m:t>
                      </m:r>
                      <m:r>
                        <w:rPr>
                          <w:rFonts w:ascii="Cambria Math" w:hAnsi="Cambria Math"/>
                        </w:rPr>
                        <m:t xml:space="preserve"> </m:t>
                      </m:r>
                      <m:r>
                        <w:rPr>
                          <w:rFonts w:ascii="Cambria Math" w:hAnsi="Cambria Math"/>
                        </w:rPr>
                        <m:t>Weig</m:t>
                      </m:r>
                      <m:r>
                        <w:rPr>
                          <w:rFonts w:ascii="Cambria Math" w:hAnsi="Cambria Math"/>
                        </w:rPr>
                        <m:t>h</m:t>
                      </m:r>
                      <m:r>
                        <w:rPr>
                          <w:rFonts w:ascii="Cambria Math" w:hAnsi="Cambria Math"/>
                        </w:rPr>
                        <m:t>t</m:t>
                      </m:r>
                    </m:e>
                  </m:d>
                </m:e>
              </m:nary>
              <m:r>
                <w:rPr>
                  <w:rFonts w:ascii="Cambria Math" w:hAnsi="Cambria Math"/>
                </w:rPr>
                <m:t>,0</m:t>
              </m:r>
            </m:e>
          </m:d>
        </m:oMath>
      </m:oMathPara>
    </w:p>
    <w:p w:rsidR="00AF7719" w:rsidRDefault="00C46825">
      <w:pPr>
        <w:pStyle w:val="Bodypara"/>
        <w:spacing w:line="240" w:lineRule="auto"/>
        <w:ind w:left="2160" w:hanging="720"/>
        <w:jc w:val="center"/>
      </w:pPr>
    </w:p>
    <w:p w:rsidR="00AF7719" w:rsidRDefault="00C46825">
      <w:pPr>
        <w:pStyle w:val="equationtext"/>
        <w:tabs>
          <w:tab w:val="clear" w:pos="1620"/>
          <w:tab w:val="clear" w:pos="2160"/>
          <w:tab w:val="left" w:pos="720"/>
          <w:tab w:val="left" w:pos="1440"/>
        </w:tabs>
        <w:spacing w:before="0" w:after="0"/>
        <w:ind w:hanging="720"/>
      </w:pPr>
      <w:r>
        <w:tab/>
        <w:t>Where:</w:t>
      </w:r>
    </w:p>
    <w:p w:rsidR="00AF7719" w:rsidRDefault="00C46825">
      <w:pPr>
        <w:pStyle w:val="equationtext"/>
        <w:tabs>
          <w:tab w:val="clear" w:pos="1620"/>
          <w:tab w:val="left" w:pos="2520"/>
        </w:tabs>
        <w:ind w:left="2520" w:hanging="1800"/>
      </w:pPr>
      <w:r>
        <w:t xml:space="preserve">N </w:t>
      </w:r>
      <w:r>
        <w:tab/>
        <w:t>=</w:t>
      </w:r>
      <w:r>
        <w:tab/>
        <w:t>each 15-minute interval within the bid hour.</w:t>
      </w:r>
    </w:p>
    <w:p w:rsidR="00AF7719" w:rsidRDefault="00C46825">
      <w:pPr>
        <w:pStyle w:val="equationtext"/>
        <w:tabs>
          <w:tab w:val="clear" w:pos="1620"/>
          <w:tab w:val="left" w:pos="2520"/>
        </w:tabs>
        <w:ind w:left="2520" w:hanging="1800"/>
      </w:pPr>
      <w:r>
        <w:t>RTC</w:t>
      </w:r>
      <w:r>
        <w:rPr>
          <w:vertAlign w:val="subscript"/>
        </w:rPr>
        <w:t>$/MWhcts</w:t>
      </w:r>
      <w:r>
        <w:rPr>
          <w:vertAlign w:val="subscript"/>
        </w:rPr>
        <w:tab/>
      </w:r>
      <w:r>
        <w:t>=</w:t>
      </w:r>
      <w:r>
        <w:tab/>
        <w:t>most recently available RTC price for N in $/MWh at the loc</w:t>
      </w:r>
      <w:r>
        <w:t>ation associated with the CTS Interface Bid to Export</w:t>
      </w:r>
      <w:r>
        <w:tab/>
      </w:r>
    </w:p>
    <w:p w:rsidR="00AF7719" w:rsidRDefault="00C46825">
      <w:pPr>
        <w:pStyle w:val="equationtext"/>
        <w:tabs>
          <w:tab w:val="clear" w:pos="1620"/>
          <w:tab w:val="left" w:pos="2520"/>
        </w:tabs>
        <w:ind w:left="2520" w:hanging="1800"/>
      </w:pPr>
      <w:r>
        <w:t>Bid</w:t>
      </w:r>
      <w:r>
        <w:rPr>
          <w:vertAlign w:val="subscript"/>
        </w:rPr>
        <w:t>MWhscts</w:t>
      </w:r>
      <w:r>
        <w:tab/>
        <w:t>=</w:t>
      </w:r>
      <w:r>
        <w:tab/>
        <w:t>the total quantity of MWhs in a Customer’s CTS Interface Bid to Export for N in a particular hour and at a particular location minus the MWhs of Exports scheduled in the DAM in same hour a</w:t>
      </w:r>
      <w:r>
        <w:t xml:space="preserve">t the same location. </w:t>
      </w:r>
    </w:p>
    <w:p w:rsidR="00AF7719" w:rsidRDefault="00C46825">
      <w:pPr>
        <w:pStyle w:val="equationtext"/>
        <w:tabs>
          <w:tab w:val="clear" w:pos="1620"/>
          <w:tab w:val="left" w:pos="2520"/>
        </w:tabs>
        <w:ind w:left="2520" w:hanging="1800"/>
      </w:pPr>
      <w:r>
        <w:t>Hourly Weight</w:t>
      </w:r>
      <w:r>
        <w:rPr>
          <w:vertAlign w:val="subscript"/>
        </w:rPr>
        <w:t xml:space="preserve"> </w:t>
      </w:r>
      <w:r>
        <w:t>=</w:t>
      </w:r>
      <w:r>
        <w:tab/>
        <w:t>0.25</w:t>
      </w:r>
    </w:p>
    <w:p w:rsidR="00AF7719" w:rsidRDefault="00C46825">
      <w:pPr>
        <w:pStyle w:val="alphaheading"/>
      </w:pPr>
      <w:r>
        <w:t>(4)</w:t>
      </w:r>
      <w:r>
        <w:tab/>
        <w:t>Upon completion of the hour Bid in real-time for an Export Bid until the net amount owed to the ISO is determined for settled External Transactions.</w:t>
      </w:r>
    </w:p>
    <w:p w:rsidR="00AF7719" w:rsidRDefault="00C46825">
      <w:pPr>
        <w:pStyle w:val="alphapara"/>
      </w:pPr>
      <w:r>
        <w:tab/>
        <w:t>The amount of credit support required will equal the sum of</w:t>
      </w:r>
      <w:r>
        <w:t xml:space="preserve"> the Day-Ahead Credit Calculation and Real-Time Credit Calculation for each completed hour.  </w:t>
      </w:r>
    </w:p>
    <w:p w:rsidR="00AF7719" w:rsidRDefault="00C46825">
      <w:pPr>
        <w:pStyle w:val="alphapara"/>
      </w:pPr>
      <w:r>
        <w:tab/>
        <w:t xml:space="preserve">The credit requirement for each Export Bid shall be calculated as follows:  </w:t>
      </w:r>
    </w:p>
    <w:p w:rsidR="00AF7719" w:rsidRDefault="00C46825">
      <w:pPr>
        <w:pStyle w:val="Bodypara"/>
        <w:spacing w:line="240" w:lineRule="auto"/>
        <w:ind w:firstLine="0"/>
        <w:jc w:val="center"/>
      </w:pPr>
      <w:r>
        <w:t>Day-Ahead Credit Calculation + Real-Time Credit Calculation</w:t>
      </w:r>
    </w:p>
    <w:p w:rsidR="00AF7719" w:rsidRDefault="00C46825">
      <w:pPr>
        <w:pStyle w:val="equationtext"/>
        <w:spacing w:before="0" w:after="0"/>
      </w:pPr>
    </w:p>
    <w:p w:rsidR="00AF7719" w:rsidRDefault="00C46825">
      <w:pPr>
        <w:pStyle w:val="alphapara"/>
      </w:pPr>
      <w:r>
        <w:tab/>
        <w:t xml:space="preserve">The Day-Ahead Credit </w:t>
      </w:r>
      <w:r>
        <w:t>Calculation only applies to DAM Export Bids and the Real-Time Credit Calculation applies to all HAM Export Bids including HAM Bids associated with a DAM Bid.</w:t>
      </w:r>
    </w:p>
    <w:p w:rsidR="00AF7719" w:rsidRDefault="00C46825">
      <w:pPr>
        <w:pStyle w:val="Bodypara"/>
        <w:spacing w:line="240" w:lineRule="auto"/>
      </w:pPr>
      <w:r>
        <w:t>Where:</w:t>
      </w:r>
    </w:p>
    <w:p w:rsidR="00AF7719" w:rsidRDefault="00C46825">
      <w:pPr>
        <w:pStyle w:val="equationtext"/>
        <w:spacing w:before="0" w:after="0"/>
      </w:pPr>
    </w:p>
    <w:p w:rsidR="00AF7719" w:rsidRDefault="00C46825">
      <w:pPr>
        <w:pStyle w:val="equationtext"/>
        <w:tabs>
          <w:tab w:val="clear" w:pos="1620"/>
          <w:tab w:val="left" w:pos="2520"/>
        </w:tabs>
        <w:ind w:left="2520" w:hanging="1800"/>
      </w:pPr>
      <w:r>
        <w:t>Day-Ahead Credit Calculation   = Max (Adjusted Export Day-Ahead Credit Calculation, 0)</w:t>
      </w:r>
    </w:p>
    <w:p w:rsidR="00AF7719" w:rsidRDefault="00C46825">
      <w:pPr>
        <w:pStyle w:val="equationtext"/>
        <w:tabs>
          <w:tab w:val="clear" w:pos="1620"/>
          <w:tab w:val="left" w:pos="2520"/>
        </w:tabs>
        <w:ind w:left="2520" w:hanging="1800"/>
      </w:pPr>
      <w:r>
        <w:t>Adj</w:t>
      </w:r>
      <w:r>
        <w:t>usted Export Day-Ahead Credit Calculation = the credit requirement calculated in accordance with section 26.4.2.2.2(2) minus the Balancing Payment.</w:t>
      </w:r>
    </w:p>
    <w:p w:rsidR="00AF7719" w:rsidRDefault="00C46825">
      <w:pPr>
        <w:pStyle w:val="equationtext"/>
        <w:tabs>
          <w:tab w:val="clear" w:pos="1620"/>
        </w:tabs>
        <w:ind w:left="720" w:firstLine="0"/>
      </w:pPr>
      <m:oMathPara>
        <m:oMath>
          <m:r>
            <w:rPr>
              <w:rFonts w:ascii="Cambria Math" w:hAnsi="Cambria Math"/>
            </w:rPr>
            <m:t>Balancing</m:t>
          </m:r>
          <m:r>
            <w:rPr>
              <w:rFonts w:ascii="Cambria Math" w:hAnsi="Cambria Math"/>
            </w:rPr>
            <m:t xml:space="preserve"> </m:t>
          </m:r>
          <m:r>
            <w:rPr>
              <w:rFonts w:ascii="Cambria Math" w:hAnsi="Cambria Math"/>
            </w:rPr>
            <m:t>Payment</m:t>
          </m:r>
          <m:r>
            <w:rPr>
              <w:rFonts w:ascii="Cambria Math" w:hAnsi="Cambria Math"/>
            </w:rPr>
            <m:t>=</m:t>
          </m:r>
          <m:r>
            <w:rPr>
              <w:rFonts w:ascii="Cambria Math" w:hAnsi="Cambria Math"/>
            </w:rPr>
            <m:t>Max</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Sc</m:t>
                      </m:r>
                      <m:r>
                        <w:rPr>
                          <w:rFonts w:ascii="Cambria Math" w:hAnsi="Cambria Math"/>
                        </w:rPr>
                        <m:t>h</m:t>
                      </m:r>
                      <m:r>
                        <w:rPr>
                          <w:rFonts w:ascii="Cambria Math" w:hAnsi="Cambria Math"/>
                        </w:rPr>
                        <m:t>Bid</m:t>
                      </m:r>
                    </m:e>
                    <m:sub>
                      <m:r>
                        <w:rPr>
                          <w:rFonts w:ascii="Cambria Math" w:hAnsi="Cambria Math"/>
                        </w:rPr>
                        <m:t>MW</m:t>
                      </m:r>
                      <m:r>
                        <w:rPr>
                          <w:rFonts w:ascii="Cambria Math" w:hAnsi="Cambria Math"/>
                        </w:rPr>
                        <m:t>h</m:t>
                      </m:r>
                      <m:r>
                        <w:rPr>
                          <w:rFonts w:ascii="Cambria Math" w:hAnsi="Cambria Math"/>
                        </w:rPr>
                        <m:t>E</m:t>
                      </m:r>
                    </m:sub>
                  </m:sSub>
                  <m:r>
                    <w:rPr>
                      <w:rFonts w:ascii="Cambria Math" w:hAnsi="Cambria Math"/>
                    </w:rPr>
                    <m:t>-</m:t>
                  </m:r>
                  <m:sSub>
                    <m:sSubPr>
                      <m:ctrlPr>
                        <w:rPr>
                          <w:rFonts w:ascii="Cambria Math" w:hAnsi="Cambria Math"/>
                          <w:i/>
                        </w:rPr>
                      </m:ctrlPr>
                    </m:sSubPr>
                    <m:e>
                      <m:r>
                        <w:rPr>
                          <w:rFonts w:ascii="Cambria Math" w:hAnsi="Cambria Math"/>
                        </w:rPr>
                        <m:t>Actual</m:t>
                      </m:r>
                    </m:e>
                    <m:sub>
                      <m:r>
                        <w:rPr>
                          <w:rFonts w:ascii="Cambria Math" w:hAnsi="Cambria Math"/>
                        </w:rPr>
                        <m:t>MW</m:t>
                      </m:r>
                      <m:r>
                        <w:rPr>
                          <w:rFonts w:ascii="Cambria Math" w:hAnsi="Cambria Math"/>
                        </w:rPr>
                        <m:t>h</m:t>
                      </m:r>
                      <m:r>
                        <w:rPr>
                          <w:rFonts w:ascii="Cambria Math" w:hAnsi="Cambria Math"/>
                        </w:rPr>
                        <m:t>E</m:t>
                      </m:r>
                    </m:sub>
                  </m:sSub>
                </m:e>
              </m:d>
              <m:r>
                <w:rPr>
                  <w:rFonts w:ascii="Cambria Math" w:hAnsi="Cambria Math"/>
                </w:rPr>
                <m:t>,0</m:t>
              </m:r>
            </m:e>
          </m:d>
          <m:r>
            <w:rPr>
              <w:rFonts w:ascii="Cambria Math" w:hAnsi="Cambria Math"/>
            </w:rPr>
            <m:t>*</m:t>
          </m:r>
          <m:sSub>
            <m:sSubPr>
              <m:ctrlPr>
                <w:rPr>
                  <w:rFonts w:ascii="Cambria Math" w:hAnsi="Cambria Math"/>
                  <w:i/>
                </w:rPr>
              </m:ctrlPr>
            </m:sSubPr>
            <m:e>
              <m:r>
                <w:rPr>
                  <w:rFonts w:ascii="Cambria Math" w:hAnsi="Cambria Math"/>
                </w:rPr>
                <m:t>RT</m:t>
              </m:r>
              <m:r>
                <w:rPr>
                  <w:rFonts w:ascii="Cambria Math" w:hAnsi="Cambria Math"/>
                </w:rPr>
                <m:t xml:space="preserve"> </m:t>
              </m:r>
              <m:r>
                <w:rPr>
                  <w:rFonts w:ascii="Cambria Math" w:hAnsi="Cambria Math"/>
                </w:rPr>
                <m:t>LBMP</m:t>
              </m:r>
            </m:e>
            <m:sub>
              <m:r>
                <w:rPr>
                  <w:rFonts w:ascii="Cambria Math" w:hAnsi="Cambria Math"/>
                </w:rPr>
                <m:t>E</m:t>
              </m:r>
            </m:sub>
          </m:sSub>
        </m:oMath>
      </m:oMathPara>
    </w:p>
    <w:p w:rsidR="00AF7719" w:rsidRDefault="00C46825">
      <w:pPr>
        <w:pStyle w:val="equationtext"/>
        <w:tabs>
          <w:tab w:val="clear" w:pos="1620"/>
          <w:tab w:val="left" w:pos="2520"/>
        </w:tabs>
        <w:ind w:left="2520" w:hanging="1800"/>
      </w:pPr>
      <w:r>
        <w:t>SchBid</w:t>
      </w:r>
      <w:r>
        <w:rPr>
          <w:vertAlign w:val="subscript"/>
        </w:rPr>
        <w:t>MWhE</w:t>
      </w:r>
      <w:r>
        <w:t xml:space="preserve"> </w:t>
      </w:r>
      <w:r>
        <w:tab/>
        <w:t>=</w:t>
      </w:r>
      <w:r>
        <w:tab/>
        <w:t>the total quantity of MWhs that is scheduled in the DAM in a particular hour and at a particular location as a result of the Customer’s Export Bid.</w:t>
      </w:r>
    </w:p>
    <w:p w:rsidR="00AF7719" w:rsidRDefault="00C46825">
      <w:pPr>
        <w:pStyle w:val="equationtext"/>
        <w:tabs>
          <w:tab w:val="clear" w:pos="1620"/>
          <w:tab w:val="left" w:pos="2520"/>
        </w:tabs>
        <w:ind w:left="2520" w:hanging="1800"/>
      </w:pPr>
      <w:r>
        <w:t>Actual</w:t>
      </w:r>
      <w:r>
        <w:rPr>
          <w:vertAlign w:val="subscript"/>
        </w:rPr>
        <w:t>MWhE</w:t>
      </w:r>
      <w:r>
        <w:rPr>
          <w:vertAlign w:val="subscript"/>
        </w:rPr>
        <w:tab/>
        <w:t xml:space="preserve"> </w:t>
      </w:r>
      <w:r>
        <w:t xml:space="preserve">= </w:t>
      </w:r>
      <w:r>
        <w:tab/>
        <w:t>the total quantity of MWhs that is scheduled in real-time associated with the Customer’s E</w:t>
      </w:r>
      <w:r>
        <w:t>xport Bid in a particular hour and at a particular location for the hour completed.</w:t>
      </w:r>
    </w:p>
    <w:p w:rsidR="00AF7719" w:rsidRDefault="00C46825">
      <w:pPr>
        <w:pStyle w:val="equationtext"/>
        <w:tabs>
          <w:tab w:val="clear" w:pos="1620"/>
          <w:tab w:val="left" w:pos="2520"/>
        </w:tabs>
        <w:spacing w:before="0" w:after="0"/>
        <w:ind w:left="2520" w:hanging="1800"/>
      </w:pPr>
      <w:r>
        <w:t>RT LBMP</w:t>
      </w:r>
      <w:r>
        <w:rPr>
          <w:vertAlign w:val="subscript"/>
        </w:rPr>
        <w:t xml:space="preserve">E  </w:t>
      </w:r>
      <w:r>
        <w:t xml:space="preserve"> </w:t>
      </w:r>
      <w:r>
        <w:tab/>
        <w:t>=</w:t>
      </w:r>
      <w:r>
        <w:tab/>
        <w:t>the Real-Time LBMP in a particular hour and at a particular location associated with the Customer’s Export Bid.</w:t>
      </w:r>
    </w:p>
    <w:p w:rsidR="00AF7719" w:rsidRDefault="00C46825">
      <w:pPr>
        <w:pStyle w:val="equationtext"/>
        <w:tabs>
          <w:tab w:val="clear" w:pos="1620"/>
          <w:tab w:val="left" w:pos="2520"/>
        </w:tabs>
        <w:spacing w:before="0" w:after="0"/>
        <w:ind w:left="2520" w:hanging="1800"/>
      </w:pPr>
    </w:p>
    <w:p w:rsidR="00AF7719" w:rsidRDefault="00C46825">
      <w:pPr>
        <w:pStyle w:val="equationtext"/>
        <w:tabs>
          <w:tab w:val="clear" w:pos="1620"/>
          <w:tab w:val="clear" w:pos="2160"/>
        </w:tabs>
        <w:spacing w:before="0" w:after="0"/>
        <w:ind w:left="0" w:right="-547" w:firstLine="0"/>
        <w:rPr>
          <w:sz w:val="23"/>
          <w:szCs w:val="23"/>
        </w:rPr>
      </w:pPr>
      <m:oMathPara>
        <m:oMath>
          <m:r>
            <w:rPr>
              <w:rFonts w:ascii="Cambria Math" w:hAnsi="Cambria Math"/>
              <w:sz w:val="23"/>
              <w:szCs w:val="23"/>
            </w:rPr>
            <m:t>Real</m:t>
          </m:r>
          <m:r>
            <m:rPr>
              <m:nor/>
            </m:rPr>
            <w:rPr>
              <w:rFonts w:ascii="Cambria Math" w:hAnsi="Cambria Math"/>
              <w:sz w:val="23"/>
              <w:szCs w:val="23"/>
            </w:rPr>
            <m:t>-</m:t>
          </m:r>
          <m:r>
            <w:rPr>
              <w:rFonts w:ascii="Cambria Math" w:hAnsi="Cambria Math"/>
              <w:sz w:val="23"/>
              <w:szCs w:val="23"/>
            </w:rPr>
            <m:t>Time</m:t>
          </m:r>
          <m:r>
            <w:rPr>
              <w:rFonts w:ascii="Cambria Math" w:hAnsi="Cambria Math"/>
              <w:sz w:val="23"/>
              <w:szCs w:val="23"/>
            </w:rPr>
            <m:t xml:space="preserve"> </m:t>
          </m:r>
          <m:r>
            <w:rPr>
              <w:rFonts w:ascii="Cambria Math" w:hAnsi="Cambria Math"/>
              <w:sz w:val="23"/>
              <w:szCs w:val="23"/>
            </w:rPr>
            <m:t>Credit</m:t>
          </m:r>
          <m:r>
            <w:rPr>
              <w:rFonts w:ascii="Cambria Math" w:hAnsi="Cambria Math"/>
              <w:sz w:val="23"/>
              <w:szCs w:val="23"/>
            </w:rPr>
            <m:t xml:space="preserve"> </m:t>
          </m:r>
          <m:r>
            <w:rPr>
              <w:rFonts w:ascii="Cambria Math" w:hAnsi="Cambria Math"/>
              <w:sz w:val="23"/>
              <w:szCs w:val="23"/>
            </w:rPr>
            <m:t>Calcula</m:t>
          </m:r>
          <m:r>
            <w:rPr>
              <w:rFonts w:ascii="Cambria Math" w:hAnsi="Cambria Math"/>
              <w:sz w:val="23"/>
              <w:szCs w:val="23"/>
            </w:rPr>
            <m:t>tion</m:t>
          </m:r>
          <m:r>
            <w:rPr>
              <w:rFonts w:ascii="Cambria Math" w:hAnsi="Cambria Math"/>
              <w:sz w:val="23"/>
              <w:szCs w:val="23"/>
            </w:rPr>
            <m:t>=</m:t>
          </m:r>
          <m:r>
            <w:rPr>
              <w:rFonts w:ascii="Cambria Math" w:hAnsi="Cambria Math"/>
              <w:sz w:val="23"/>
              <w:szCs w:val="23"/>
            </w:rPr>
            <m:t>Max</m:t>
          </m:r>
          <m:d>
            <m:dPr>
              <m:ctrlPr>
                <w:rPr>
                  <w:rFonts w:ascii="Cambria Math" w:hAnsi="Cambria Math"/>
                  <w:i/>
                  <w:sz w:val="23"/>
                  <w:szCs w:val="23"/>
                </w:rPr>
              </m:ctrlPr>
            </m:dPr>
            <m:e>
              <m:d>
                <m:dPr>
                  <m:ctrlPr>
                    <w:rPr>
                      <w:rFonts w:ascii="Cambria Math" w:hAnsi="Cambria Math"/>
                      <w:i/>
                      <w:sz w:val="23"/>
                      <w:szCs w:val="23"/>
                    </w:rPr>
                  </m:ctrlPr>
                </m:dPr>
                <m:e>
                  <m:r>
                    <w:rPr>
                      <w:rFonts w:ascii="Cambria Math" w:hAnsi="Cambria Math"/>
                      <w:sz w:val="23"/>
                      <w:szCs w:val="23"/>
                    </w:rPr>
                    <m:t>Max</m:t>
                  </m:r>
                  <m:d>
                    <m:dPr>
                      <m:ctrlPr>
                        <w:rPr>
                          <w:rFonts w:ascii="Cambria Math" w:hAnsi="Cambria Math"/>
                          <w:i/>
                          <w:sz w:val="23"/>
                          <w:szCs w:val="23"/>
                        </w:rPr>
                      </m:ctrlPr>
                    </m:dPr>
                    <m:e>
                      <m:d>
                        <m:dPr>
                          <m:ctrlPr>
                            <w:rPr>
                              <w:rFonts w:ascii="Cambria Math" w:hAnsi="Cambria Math"/>
                              <w:i/>
                              <w:sz w:val="23"/>
                              <w:szCs w:val="23"/>
                            </w:rPr>
                          </m:ctrlPr>
                        </m:dPr>
                        <m:e>
                          <m:sSub>
                            <m:sSubPr>
                              <m:ctrlPr>
                                <w:rPr>
                                  <w:rFonts w:ascii="Cambria Math" w:hAnsi="Cambria Math"/>
                                  <w:i/>
                                  <w:sz w:val="23"/>
                                  <w:szCs w:val="23"/>
                                </w:rPr>
                              </m:ctrlPr>
                            </m:sSubPr>
                            <m:e>
                              <m:r>
                                <w:rPr>
                                  <w:rFonts w:ascii="Cambria Math" w:hAnsi="Cambria Math"/>
                                  <w:sz w:val="23"/>
                                  <w:szCs w:val="23"/>
                                </w:rPr>
                                <m:t>Actual</m:t>
                              </m:r>
                            </m:e>
                            <m:sub>
                              <m:r>
                                <w:rPr>
                                  <w:rFonts w:ascii="Cambria Math" w:hAnsi="Cambria Math"/>
                                  <w:sz w:val="23"/>
                                  <w:szCs w:val="23"/>
                                </w:rPr>
                                <m:t>MW</m:t>
                              </m:r>
                              <m:r>
                                <w:rPr>
                                  <w:rFonts w:ascii="Cambria Math" w:hAnsi="Cambria Math"/>
                                  <w:sz w:val="23"/>
                                  <w:szCs w:val="23"/>
                                </w:rPr>
                                <m:t>h</m:t>
                              </m:r>
                              <m:r>
                                <w:rPr>
                                  <w:rFonts w:ascii="Cambria Math" w:hAnsi="Cambria Math"/>
                                  <w:sz w:val="23"/>
                                  <w:szCs w:val="23"/>
                                </w:rPr>
                                <m:t>E</m:t>
                              </m:r>
                            </m:sub>
                          </m:sSub>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Sc</m:t>
                              </m:r>
                              <m:r>
                                <w:rPr>
                                  <w:rFonts w:ascii="Cambria Math" w:hAnsi="Cambria Math"/>
                                  <w:sz w:val="23"/>
                                  <w:szCs w:val="23"/>
                                </w:rPr>
                                <m:t>h</m:t>
                              </m:r>
                              <m:r>
                                <w:rPr>
                                  <w:rFonts w:ascii="Cambria Math" w:hAnsi="Cambria Math"/>
                                  <w:sz w:val="23"/>
                                  <w:szCs w:val="23"/>
                                </w:rPr>
                                <m:t>Bid</m:t>
                              </m:r>
                            </m:e>
                            <m:sub>
                              <m:r>
                                <w:rPr>
                                  <w:rFonts w:ascii="Cambria Math" w:hAnsi="Cambria Math"/>
                                  <w:sz w:val="23"/>
                                  <w:szCs w:val="23"/>
                                </w:rPr>
                                <m:t>MW</m:t>
                              </m:r>
                              <m:r>
                                <w:rPr>
                                  <w:rFonts w:ascii="Cambria Math" w:hAnsi="Cambria Math"/>
                                  <w:sz w:val="23"/>
                                  <w:szCs w:val="23"/>
                                </w:rPr>
                                <m:t>h</m:t>
                              </m:r>
                              <m:r>
                                <w:rPr>
                                  <w:rFonts w:ascii="Cambria Math" w:hAnsi="Cambria Math"/>
                                  <w:sz w:val="23"/>
                                  <w:szCs w:val="23"/>
                                </w:rPr>
                                <m:t>E</m:t>
                              </m:r>
                            </m:sub>
                          </m:sSub>
                        </m:e>
                      </m:d>
                      <m:r>
                        <w:rPr>
                          <w:rFonts w:ascii="Cambria Math" w:hAnsi="Cambria Math"/>
                          <w:sz w:val="23"/>
                          <w:szCs w:val="23"/>
                        </w:rPr>
                        <m:t>,0</m:t>
                      </m:r>
                    </m:e>
                  </m:d>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RT</m:t>
                      </m:r>
                      <m:r>
                        <w:rPr>
                          <w:rFonts w:ascii="Cambria Math" w:hAnsi="Cambria Math"/>
                          <w:sz w:val="23"/>
                          <w:szCs w:val="23"/>
                        </w:rPr>
                        <m:t xml:space="preserve"> </m:t>
                      </m:r>
                      <m:r>
                        <w:rPr>
                          <w:rFonts w:ascii="Cambria Math" w:hAnsi="Cambria Math"/>
                          <w:sz w:val="23"/>
                          <w:szCs w:val="23"/>
                        </w:rPr>
                        <m:t>LBMP</m:t>
                      </m:r>
                    </m:e>
                    <m:sub>
                      <m:r>
                        <w:rPr>
                          <w:rFonts w:ascii="Cambria Math" w:hAnsi="Cambria Math"/>
                          <w:sz w:val="23"/>
                          <w:szCs w:val="23"/>
                        </w:rPr>
                        <m:t>E</m:t>
                      </m:r>
                    </m:sub>
                  </m:sSub>
                </m:e>
              </m:d>
              <m:r>
                <w:rPr>
                  <w:rFonts w:ascii="Cambria Math" w:hAnsi="Cambria Math"/>
                  <w:sz w:val="23"/>
                  <w:szCs w:val="23"/>
                </w:rPr>
                <m:t>,0</m:t>
              </m:r>
            </m:e>
          </m:d>
        </m:oMath>
      </m:oMathPara>
    </w:p>
    <w:p w:rsidR="00AF7719" w:rsidRDefault="00C46825">
      <w:pPr>
        <w:pStyle w:val="equationtext"/>
        <w:tabs>
          <w:tab w:val="clear" w:pos="1620"/>
          <w:tab w:val="clear" w:pos="2160"/>
        </w:tabs>
        <w:spacing w:before="0" w:after="0"/>
        <w:ind w:left="0" w:right="-547" w:firstLine="0"/>
        <w:rPr>
          <w:sz w:val="23"/>
          <w:szCs w:val="23"/>
        </w:rPr>
      </w:pPr>
    </w:p>
    <w:p w:rsidR="00AF7719" w:rsidRDefault="00C46825">
      <w:pPr>
        <w:pStyle w:val="equationtext"/>
        <w:tabs>
          <w:tab w:val="clear" w:pos="1620"/>
          <w:tab w:val="left" w:pos="2520"/>
        </w:tabs>
        <w:ind w:left="2520" w:hanging="1800"/>
      </w:pPr>
      <w:r>
        <w:t>Actual</w:t>
      </w:r>
      <w:r>
        <w:rPr>
          <w:vertAlign w:val="subscript"/>
        </w:rPr>
        <w:t xml:space="preserve">MWhE   </w:t>
      </w:r>
      <w:r>
        <w:rPr>
          <w:vertAlign w:val="subscript"/>
        </w:rPr>
        <w:tab/>
      </w:r>
      <w:r>
        <w:t xml:space="preserve">= </w:t>
      </w:r>
      <w:r>
        <w:tab/>
        <w:t xml:space="preserve">the total quantity of MWhs that is scheduled in real-time associated with the Customer’s Export Bid in a particular hour and at a particular location for the </w:t>
      </w:r>
      <w:r>
        <w:t>hour completed.</w:t>
      </w:r>
    </w:p>
    <w:p w:rsidR="00AF7719" w:rsidRDefault="00C46825">
      <w:pPr>
        <w:pStyle w:val="equationtext"/>
        <w:tabs>
          <w:tab w:val="clear" w:pos="1620"/>
          <w:tab w:val="left" w:pos="2520"/>
        </w:tabs>
        <w:ind w:left="2520" w:hanging="1800"/>
      </w:pPr>
      <w:r>
        <w:t>SchBid</w:t>
      </w:r>
      <w:r>
        <w:rPr>
          <w:vertAlign w:val="subscript"/>
        </w:rPr>
        <w:t>MWhE</w:t>
      </w:r>
      <w:r>
        <w:t xml:space="preserve"> </w:t>
      </w:r>
      <w:r>
        <w:tab/>
        <w:t>=</w:t>
      </w:r>
      <w:r>
        <w:tab/>
      </w:r>
      <w:r>
        <w:rPr>
          <w:vertAlign w:val="subscript"/>
        </w:rPr>
        <w:t xml:space="preserve"> </w:t>
      </w:r>
      <w:r>
        <w:t>the total quantity of MWhs that is scheduled in the DAM in a particular hour and at a particular location as a result of the Customer’s Export Bid.</w:t>
      </w:r>
    </w:p>
    <w:p w:rsidR="00AF7719" w:rsidRDefault="00C46825">
      <w:pPr>
        <w:pStyle w:val="equationtext"/>
        <w:tabs>
          <w:tab w:val="clear" w:pos="1620"/>
          <w:tab w:val="left" w:pos="2520"/>
        </w:tabs>
        <w:ind w:left="2520" w:hanging="1800"/>
      </w:pPr>
      <w:r>
        <w:t>RT LBMP</w:t>
      </w:r>
      <w:r>
        <w:rPr>
          <w:vertAlign w:val="subscript"/>
        </w:rPr>
        <w:t xml:space="preserve">E     </w:t>
      </w:r>
      <w:r>
        <w:rPr>
          <w:vertAlign w:val="subscript"/>
        </w:rPr>
        <w:tab/>
      </w:r>
      <w:r>
        <w:t>=</w:t>
      </w:r>
      <w:r>
        <w:tab/>
        <w:t>the Real-Time LBMP in a particular hour and at a particular l</w:t>
      </w:r>
      <w:r>
        <w:t>ocation associated with the Customer’s Export Bid.</w:t>
      </w:r>
    </w:p>
    <w:p w:rsidR="00AF7719" w:rsidRDefault="00C46825">
      <w:pPr>
        <w:pStyle w:val="Heading4"/>
      </w:pPr>
      <w:r>
        <w:t xml:space="preserve">26.4.2.2.3 </w:t>
      </w:r>
      <w:r>
        <w:tab/>
        <w:t xml:space="preserve">Wheels Through Credit Requirement </w:t>
      </w:r>
    </w:p>
    <w:p w:rsidR="00AF7719" w:rsidRDefault="00C46825">
      <w:pPr>
        <w:pStyle w:val="alphapara"/>
      </w:pPr>
      <w:r>
        <w:tab/>
        <w:t>The Wheels Through Credit Requirement shall apply to any Customer that Bids to Wheel Through in the DAM or HAM.</w:t>
      </w:r>
    </w:p>
    <w:p w:rsidR="00AF7719" w:rsidRDefault="00C46825">
      <w:pPr>
        <w:pStyle w:val="alphapara"/>
      </w:pPr>
      <w:r>
        <w:tab/>
        <w:t xml:space="preserve">The Wheels Through Credit Requirement shall </w:t>
      </w:r>
      <w:r>
        <w:t xml:space="preserve">equal the sum of the amounts calculated for each Bid in accordance with the appropriate formulas below:  </w:t>
      </w:r>
    </w:p>
    <w:p w:rsidR="00AF7719" w:rsidRDefault="00C46825">
      <w:pPr>
        <w:pStyle w:val="alphaheading"/>
      </w:pPr>
      <w:r>
        <w:t>(1)</w:t>
      </w:r>
      <w:r>
        <w:tab/>
        <w:t xml:space="preserve">Upon submission of a DAM Wheels Through Bid until posting of the applicable DAM schedule/price. </w:t>
      </w:r>
    </w:p>
    <w:p w:rsidR="00AF7719" w:rsidRDefault="00C46825">
      <w:pPr>
        <w:pStyle w:val="alphapara"/>
      </w:pPr>
      <w:r>
        <w:tab/>
        <w:t xml:space="preserve">The ISO will calculate the required credit </w:t>
      </w:r>
      <w:r>
        <w:t>support for pending DAM Wheels Through Bids for a market day three days prior to the DAM close for that market day.  The ISO will calculate the required credit support for DAM Wheels Through Bids that are submitted after the commencement of the initial cre</w:t>
      </w:r>
      <w:r>
        <w:t>dit evaluation upon Bid submission. The amount of credit support required in $/MWh that applies to the DAM Wheels Through Bid shall equal the maximum payment potentially due to the ISO based on the Customer’s Bid Prices on the Bid curve.</w:t>
      </w:r>
    </w:p>
    <w:p w:rsidR="00AF7719" w:rsidRDefault="00C46825">
      <w:pPr>
        <w:pStyle w:val="alphapara"/>
      </w:pPr>
      <w:r>
        <w:tab/>
        <w:t>The credit requir</w:t>
      </w:r>
      <w:r>
        <w:t xml:space="preserve">ement for each Wheels Through Bid shall be calculated as follows:  </w:t>
      </w:r>
    </w:p>
    <w:p w:rsidR="00AF7719" w:rsidRDefault="00C46825">
      <w:pPr>
        <w:pStyle w:val="alphapara"/>
        <w:rPr>
          <w:sz w:val="28"/>
        </w:rPr>
      </w:pPr>
      <m:oMathPara>
        <m:oMath>
          <m:r>
            <w:rPr>
              <w:rFonts w:ascii="Cambria Math" w:hAnsi="Cambria Math"/>
              <w:sz w:val="28"/>
            </w:rPr>
            <m:t>Max</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Max</m:t>
                  </m:r>
                </m:e>
                <m:sub>
                  <m:r>
                    <w:rPr>
                      <w:rFonts w:ascii="Cambria Math" w:hAnsi="Cambria Math"/>
                      <w:sz w:val="28"/>
                    </w:rPr>
                    <m:t>N</m:t>
                  </m:r>
                </m:sub>
              </m:sSub>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BidPt</m:t>
                      </m:r>
                    </m:e>
                    <m:sub>
                      <m:r>
                        <w:rPr>
                          <w:rFonts w:ascii="Cambria Math" w:hAnsi="Cambria Math"/>
                          <w:sz w:val="28"/>
                        </w:rPr>
                        <m:t>MW</m:t>
                      </m:r>
                      <m:r>
                        <w:rPr>
                          <w:rFonts w:ascii="Cambria Math" w:hAnsi="Cambria Math"/>
                          <w:sz w:val="28"/>
                        </w:rPr>
                        <m:t>h</m:t>
                      </m:r>
                      <m:r>
                        <w:rPr>
                          <w:rFonts w:ascii="Cambria Math" w:hAnsi="Cambria Math"/>
                          <w:sz w:val="28"/>
                        </w:rPr>
                        <m:t>N</m:t>
                      </m:r>
                    </m:sub>
                  </m:sSub>
                  <m:r>
                    <w:rPr>
                      <w:rFonts w:ascii="Cambria Math" w:hAnsi="Cambria Math"/>
                      <w:sz w:val="28"/>
                    </w:rPr>
                    <m:t>*</m:t>
                  </m:r>
                  <m:sSub>
                    <m:sSubPr>
                      <m:ctrlPr>
                        <w:rPr>
                          <w:rFonts w:ascii="Cambria Math" w:hAnsi="Cambria Math"/>
                          <w:i/>
                          <w:sz w:val="28"/>
                        </w:rPr>
                      </m:ctrlPr>
                    </m:sSubPr>
                    <m:e>
                      <m:r>
                        <w:rPr>
                          <w:rFonts w:ascii="Cambria Math" w:hAnsi="Cambria Math"/>
                          <w:sz w:val="28"/>
                        </w:rPr>
                        <m:t>Bid</m:t>
                      </m:r>
                      <m:r>
                        <w:rPr>
                          <w:rFonts w:ascii="Cambria Math" w:hAnsi="Cambria Math"/>
                          <w:sz w:val="28"/>
                        </w:rPr>
                        <m:t>$</m:t>
                      </m:r>
                    </m:e>
                    <m:sub>
                      <m:r>
                        <w:rPr>
                          <w:rFonts w:ascii="Cambria Math" w:hAnsi="Cambria Math"/>
                          <w:sz w:val="28"/>
                        </w:rPr>
                        <m:t>$/</m:t>
                      </m:r>
                      <m:r>
                        <w:rPr>
                          <w:rFonts w:ascii="Cambria Math" w:hAnsi="Cambria Math"/>
                          <w:sz w:val="28"/>
                        </w:rPr>
                        <m:t>MW</m:t>
                      </m:r>
                      <m:r>
                        <w:rPr>
                          <w:rFonts w:ascii="Cambria Math" w:hAnsi="Cambria Math"/>
                          <w:sz w:val="28"/>
                        </w:rPr>
                        <m:t>h</m:t>
                      </m:r>
                      <m:r>
                        <w:rPr>
                          <w:rFonts w:ascii="Cambria Math" w:hAnsi="Cambria Math"/>
                          <w:sz w:val="28"/>
                        </w:rPr>
                        <m:t>N</m:t>
                      </m:r>
                    </m:sub>
                  </m:sSub>
                </m:e>
              </m:d>
              <m:r>
                <w:rPr>
                  <w:rFonts w:ascii="Cambria Math" w:hAnsi="Cambria Math"/>
                  <w:sz w:val="28"/>
                </w:rPr>
                <m:t>, 0</m:t>
              </m:r>
            </m:e>
          </m:d>
        </m:oMath>
      </m:oMathPara>
    </w:p>
    <w:p w:rsidR="00AF7719" w:rsidRDefault="00C46825">
      <w:pPr>
        <w:pStyle w:val="Bodypara"/>
        <w:spacing w:line="240" w:lineRule="auto"/>
      </w:pPr>
      <w:r>
        <w:t>Where:</w:t>
      </w:r>
    </w:p>
    <w:p w:rsidR="00AF7719" w:rsidRDefault="00C46825">
      <w:pPr>
        <w:pStyle w:val="equationtext"/>
        <w:tabs>
          <w:tab w:val="clear" w:pos="1620"/>
          <w:tab w:val="left" w:pos="2520"/>
        </w:tabs>
        <w:ind w:left="2520" w:hanging="1800"/>
      </w:pPr>
      <w:r>
        <w:t xml:space="preserve">N </w:t>
      </w:r>
      <w:r>
        <w:tab/>
        <w:t>=</w:t>
      </w:r>
      <w:r>
        <w:tab/>
        <w:t>each Bid Price on the Bid curve.</w:t>
      </w:r>
    </w:p>
    <w:p w:rsidR="00AF7719" w:rsidRDefault="00C46825">
      <w:pPr>
        <w:pStyle w:val="Bodypara"/>
        <w:spacing w:line="240" w:lineRule="auto"/>
      </w:pPr>
    </w:p>
    <w:p w:rsidR="00AF7719" w:rsidRDefault="00C46825">
      <w:pPr>
        <w:pStyle w:val="equationtext"/>
        <w:tabs>
          <w:tab w:val="clear" w:pos="1620"/>
          <w:tab w:val="left" w:pos="2520"/>
        </w:tabs>
        <w:ind w:left="2520" w:hanging="1800"/>
      </w:pPr>
      <w:r>
        <w:t>BidPt</w:t>
      </w:r>
      <w:r>
        <w:rPr>
          <w:vertAlign w:val="subscript"/>
        </w:rPr>
        <w:t>MWhN</w:t>
      </w:r>
      <w:r>
        <w:rPr>
          <w:vertAlign w:val="subscript"/>
        </w:rPr>
        <w:tab/>
      </w:r>
      <w:r>
        <w:t>=</w:t>
      </w:r>
      <w:r>
        <w:tab/>
        <w:t>the MWhs associated with the Bid Price on the Bid curve.</w:t>
      </w:r>
    </w:p>
    <w:p w:rsidR="00AF7719" w:rsidRDefault="00C46825">
      <w:pPr>
        <w:pStyle w:val="Bodypara"/>
        <w:spacing w:line="240" w:lineRule="auto"/>
      </w:pPr>
    </w:p>
    <w:p w:rsidR="00AF7719" w:rsidRDefault="00C46825">
      <w:pPr>
        <w:pStyle w:val="equationtext"/>
        <w:tabs>
          <w:tab w:val="clear" w:pos="1620"/>
          <w:tab w:val="left" w:pos="2520"/>
        </w:tabs>
        <w:ind w:left="2520" w:hanging="1800"/>
      </w:pPr>
      <w:r>
        <w:t>Bid$</w:t>
      </w:r>
      <w:r>
        <w:rPr>
          <w:vertAlign w:val="subscript"/>
        </w:rPr>
        <w:t xml:space="preserve">$/MWhN   </w:t>
      </w:r>
      <w:r>
        <w:rPr>
          <w:vertAlign w:val="subscript"/>
        </w:rPr>
        <w:tab/>
      </w:r>
      <w:r>
        <w:t>=</w:t>
      </w:r>
      <w:r>
        <w:tab/>
        <w:t xml:space="preserve">the </w:t>
      </w:r>
      <w:r>
        <w:t>amount that the customer is willing to pay for congestion in $/MWh on the Bid curve associated with the Customer’s Wheels Through Bid.</w:t>
      </w:r>
    </w:p>
    <w:p w:rsidR="00AF7719" w:rsidRDefault="00C46825">
      <w:pPr>
        <w:pStyle w:val="alphaheading"/>
      </w:pPr>
      <w:r>
        <w:t>(2)</w:t>
      </w:r>
      <w:r>
        <w:tab/>
        <w:t>Upon posting of the applicable Wheels Through DAM schedule/price until completion of the hour Bid in real-time.</w:t>
      </w:r>
    </w:p>
    <w:p w:rsidR="00AF7719" w:rsidRDefault="00C46825">
      <w:pPr>
        <w:pStyle w:val="alphapara"/>
        <w:rPr>
          <w:rStyle w:val="CommentReference"/>
          <w:sz w:val="24"/>
        </w:rPr>
      </w:pPr>
      <w:r>
        <w:tab/>
        <w:t xml:space="preserve">The </w:t>
      </w:r>
      <w:r>
        <w:t xml:space="preserve">credit requirement for each DAM Wheels Through Bid shall be calculated as follows:  </w:t>
      </w:r>
    </w:p>
    <w:p w:rsidR="00AF7719" w:rsidRDefault="00C46825">
      <w:pPr>
        <w:pStyle w:val="Bodypara"/>
        <w:spacing w:line="240" w:lineRule="auto"/>
        <w:ind w:firstLine="0"/>
        <w:jc w:val="center"/>
        <w:rPr>
          <w:sz w:val="28"/>
        </w:rPr>
      </w:pPr>
      <m:oMathPara>
        <m:oMath>
          <m:r>
            <w:rPr>
              <w:rFonts w:ascii="Cambria Math" w:hAnsi="Cambria Math"/>
              <w:sz w:val="28"/>
            </w:rPr>
            <m:t>Max</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Sc</m:t>
                  </m:r>
                  <m:r>
                    <w:rPr>
                      <w:rFonts w:ascii="Cambria Math" w:hAnsi="Cambria Math"/>
                      <w:sz w:val="28"/>
                    </w:rPr>
                    <m:t>h</m:t>
                  </m:r>
                  <m:r>
                    <w:rPr>
                      <w:rFonts w:ascii="Cambria Math" w:hAnsi="Cambria Math"/>
                      <w:sz w:val="28"/>
                    </w:rPr>
                    <m:t>Bid</m:t>
                  </m:r>
                </m:e>
                <m:sub>
                  <m:r>
                    <w:rPr>
                      <w:rFonts w:ascii="Cambria Math" w:hAnsi="Cambria Math"/>
                      <w:sz w:val="28"/>
                    </w:rPr>
                    <m:t>MW</m:t>
                  </m:r>
                  <m:r>
                    <w:rPr>
                      <w:rFonts w:ascii="Cambria Math" w:hAnsi="Cambria Math"/>
                      <w:sz w:val="28"/>
                    </w:rPr>
                    <m:t>h</m:t>
                  </m:r>
                  <m:r>
                    <w:rPr>
                      <w:rFonts w:ascii="Cambria Math" w:hAnsi="Cambria Math"/>
                      <w:sz w:val="28"/>
                    </w:rPr>
                    <m:t>W</m:t>
                  </m:r>
                </m:sub>
              </m:sSub>
              <m:r>
                <w:rPr>
                  <w:rFonts w:ascii="Cambria Math" w:hAnsi="Cambria Math"/>
                  <w:sz w:val="28"/>
                </w:rPr>
                <m:t>*</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DAM</m:t>
                      </m:r>
                      <m:r>
                        <w:rPr>
                          <w:rFonts w:ascii="Cambria Math" w:hAnsi="Cambria Math"/>
                          <w:sz w:val="28"/>
                        </w:rPr>
                        <m:t xml:space="preserve"> </m:t>
                      </m:r>
                      <m:r>
                        <w:rPr>
                          <w:rFonts w:ascii="Cambria Math" w:hAnsi="Cambria Math"/>
                          <w:sz w:val="28"/>
                        </w:rPr>
                        <m:t>LBMP</m:t>
                      </m:r>
                    </m:e>
                    <m:sub>
                      <m:r>
                        <w:rPr>
                          <w:rFonts w:ascii="Cambria Math" w:hAnsi="Cambria Math"/>
                          <w:sz w:val="28"/>
                        </w:rPr>
                        <m:t>POW</m:t>
                      </m:r>
                    </m:sub>
                  </m:sSub>
                  <m:r>
                    <w:rPr>
                      <w:rFonts w:ascii="Cambria Math" w:hAnsi="Cambria Math"/>
                      <w:sz w:val="28"/>
                    </w:rPr>
                    <m:t>-</m:t>
                  </m:r>
                  <m:sSub>
                    <m:sSubPr>
                      <m:ctrlPr>
                        <w:rPr>
                          <w:rFonts w:ascii="Cambria Math" w:hAnsi="Cambria Math"/>
                          <w:i/>
                          <w:sz w:val="28"/>
                        </w:rPr>
                      </m:ctrlPr>
                    </m:sSubPr>
                    <m:e>
                      <m:r>
                        <w:rPr>
                          <w:rFonts w:ascii="Cambria Math" w:hAnsi="Cambria Math"/>
                          <w:sz w:val="28"/>
                        </w:rPr>
                        <m:t>DAM</m:t>
                      </m:r>
                      <m:r>
                        <w:rPr>
                          <w:rFonts w:ascii="Cambria Math" w:hAnsi="Cambria Math"/>
                          <w:sz w:val="28"/>
                        </w:rPr>
                        <m:t xml:space="preserve"> </m:t>
                      </m:r>
                      <m:r>
                        <w:rPr>
                          <w:rFonts w:ascii="Cambria Math" w:hAnsi="Cambria Math"/>
                          <w:sz w:val="28"/>
                        </w:rPr>
                        <m:t>LBMP</m:t>
                      </m:r>
                    </m:e>
                    <m:sub>
                      <m:r>
                        <w:rPr>
                          <w:rFonts w:ascii="Cambria Math" w:hAnsi="Cambria Math"/>
                          <w:sz w:val="28"/>
                        </w:rPr>
                        <m:t>POI</m:t>
                      </m:r>
                    </m:sub>
                  </m:sSub>
                </m:e>
              </m:d>
              <m:r>
                <w:rPr>
                  <w:rFonts w:ascii="Cambria Math" w:hAnsi="Cambria Math"/>
                  <w:sz w:val="28"/>
                </w:rPr>
                <m:t>, 0</m:t>
              </m:r>
            </m:e>
          </m:d>
        </m:oMath>
      </m:oMathPara>
    </w:p>
    <w:p w:rsidR="00AF7719" w:rsidRDefault="00C46825">
      <w:pPr>
        <w:pStyle w:val="equationtext"/>
        <w:spacing w:before="0" w:after="0"/>
        <w:jc w:val="center"/>
      </w:pPr>
    </w:p>
    <w:p w:rsidR="00AF7719" w:rsidRDefault="00C46825">
      <w:pPr>
        <w:pStyle w:val="Bodypara"/>
        <w:spacing w:line="240" w:lineRule="auto"/>
      </w:pPr>
      <w:r>
        <w:t>Where:</w:t>
      </w:r>
    </w:p>
    <w:p w:rsidR="00AF7719" w:rsidRDefault="00C46825">
      <w:pPr>
        <w:pStyle w:val="Bodypara"/>
        <w:spacing w:line="240" w:lineRule="auto"/>
      </w:pPr>
    </w:p>
    <w:p w:rsidR="00AF7719" w:rsidRDefault="00C46825">
      <w:pPr>
        <w:pStyle w:val="equationtext"/>
        <w:tabs>
          <w:tab w:val="clear" w:pos="1620"/>
          <w:tab w:val="left" w:pos="2520"/>
        </w:tabs>
        <w:ind w:left="2520" w:hanging="1800"/>
      </w:pPr>
      <w:r>
        <w:t>SchBid</w:t>
      </w:r>
      <w:r>
        <w:rPr>
          <w:vertAlign w:val="subscript"/>
        </w:rPr>
        <w:t>MWhW</w:t>
      </w:r>
      <w:r>
        <w:tab/>
      </w:r>
      <w:r>
        <w:tab/>
        <w:t>=</w:t>
      </w:r>
      <w:r>
        <w:tab/>
      </w:r>
      <w:r>
        <w:rPr>
          <w:vertAlign w:val="subscript"/>
        </w:rPr>
        <w:t xml:space="preserve"> </w:t>
      </w:r>
      <w:r>
        <w:t xml:space="preserve">the total quantity of MWhs scheduled in the DAM as a result of the </w:t>
      </w:r>
      <w:r>
        <w:tab/>
        <w:t>Custome</w:t>
      </w:r>
      <w:r>
        <w:t>r’s Bid to schedule Wheels Through.</w:t>
      </w:r>
    </w:p>
    <w:p w:rsidR="00AF7719" w:rsidRDefault="00C46825">
      <w:pPr>
        <w:pStyle w:val="equationtext"/>
        <w:tabs>
          <w:tab w:val="clear" w:pos="1620"/>
          <w:tab w:val="left" w:pos="2520"/>
        </w:tabs>
        <w:ind w:left="2520" w:hanging="1800"/>
      </w:pPr>
      <w:r>
        <w:t>DAM LBMP</w:t>
      </w:r>
      <w:r>
        <w:rPr>
          <w:vertAlign w:val="subscript"/>
        </w:rPr>
        <w:t>POI</w:t>
      </w:r>
      <w:r>
        <w:rPr>
          <w:vertAlign w:val="subscript"/>
        </w:rPr>
        <w:tab/>
      </w:r>
      <w:r>
        <w:t>=</w:t>
      </w:r>
      <w:r>
        <w:tab/>
        <w:t>the Day-Ahead LBMP in the hour and at the Point of Injection associated with the Wheels Through Bid.</w:t>
      </w:r>
    </w:p>
    <w:p w:rsidR="00AF7719" w:rsidRDefault="00C46825">
      <w:pPr>
        <w:pStyle w:val="equationtext"/>
        <w:tabs>
          <w:tab w:val="clear" w:pos="1620"/>
          <w:tab w:val="left" w:pos="2520"/>
        </w:tabs>
        <w:ind w:left="2520" w:hanging="1800"/>
      </w:pPr>
      <w:r>
        <w:t>DAM LBMP</w:t>
      </w:r>
      <w:r>
        <w:rPr>
          <w:vertAlign w:val="subscript"/>
        </w:rPr>
        <w:t>POW</w:t>
      </w:r>
      <w:r>
        <w:t xml:space="preserve"> </w:t>
      </w:r>
      <w:r>
        <w:tab/>
        <w:t xml:space="preserve"> =</w:t>
      </w:r>
      <w:r>
        <w:tab/>
        <w:t xml:space="preserve">the Day-Ahead LBMP in the hour and at the Point of Withdrawal associated with the Wheels </w:t>
      </w:r>
      <w:r>
        <w:t>Through Bid.</w:t>
      </w:r>
    </w:p>
    <w:p w:rsidR="00AF7719" w:rsidRDefault="00C46825">
      <w:pPr>
        <w:pStyle w:val="alphaheading"/>
      </w:pPr>
      <w:r>
        <w:t>(3)</w:t>
      </w:r>
      <w:r>
        <w:tab/>
        <w:t xml:space="preserve">Upon creation of a HAM Wheels Through Bid until the completion of the hour Bid in real-time. </w:t>
      </w:r>
    </w:p>
    <w:p w:rsidR="00AF7719" w:rsidRDefault="00C46825">
      <w:pPr>
        <w:pStyle w:val="alphapara"/>
      </w:pPr>
      <w:r>
        <w:tab/>
        <w:t>The ISO will calculate the required credit support for pending HAM Wheels Through Bids for a market day three days prior to the DAM close for th</w:t>
      </w:r>
      <w:r>
        <w:t>at market day.  The ISO will calculate the required credit support for HAM Wheels Through Bids that are submitted after the commencement of the initial credit evaluation upon Bid submission. The amount of credit support required in $/MWh that applies to HA</w:t>
      </w:r>
      <w:r>
        <w:t xml:space="preserve">M Wheels Through Bid shall equal the price of the maximum value of exposure based on bid prices on the Bid curve.  </w:t>
      </w:r>
    </w:p>
    <w:p w:rsidR="00AF7719" w:rsidRDefault="00C46825">
      <w:pPr>
        <w:pStyle w:val="alphapara"/>
      </w:pPr>
      <w:r>
        <w:tab/>
        <w:t xml:space="preserve">The credit requirement for each Wheels Through Bid shall be calculated as follows:  </w:t>
      </w:r>
    </w:p>
    <w:p w:rsidR="00AF7719" w:rsidRDefault="00C46825">
      <w:pPr>
        <w:pStyle w:val="equationtext"/>
        <w:tabs>
          <w:tab w:val="clear" w:pos="2160"/>
        </w:tabs>
        <w:spacing w:before="0" w:after="0"/>
        <w:ind w:left="720" w:firstLine="0"/>
      </w:pPr>
      <m:oMathPara>
        <m:oMath>
          <m:r>
            <w:rPr>
              <w:rFonts w:ascii="Cambria Math" w:hAnsi="Cambria Math"/>
              <w:sz w:val="28"/>
            </w:rPr>
            <m:t>Max</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Max</m:t>
                  </m:r>
                </m:e>
                <m:sub>
                  <m:r>
                    <w:rPr>
                      <w:rFonts w:ascii="Cambria Math" w:hAnsi="Cambria Math"/>
                      <w:sz w:val="28"/>
                    </w:rPr>
                    <m:t>N</m:t>
                  </m:r>
                </m:sub>
              </m:sSub>
              <m:d>
                <m:dPr>
                  <m:ctrlPr>
                    <w:rPr>
                      <w:rFonts w:ascii="Cambria Math" w:hAnsi="Cambria Math"/>
                      <w:i/>
                      <w:sz w:val="28"/>
                    </w:rPr>
                  </m:ctrlPr>
                </m:dPr>
                <m:e>
                  <m:r>
                    <w:rPr>
                      <w:rFonts w:ascii="Cambria Math" w:hAnsi="Cambria Math"/>
                      <w:sz w:val="28"/>
                    </w:rPr>
                    <m:t>Max</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BidPt</m:t>
                          </m:r>
                        </m:e>
                        <m:sub>
                          <m:r>
                            <w:rPr>
                              <w:rFonts w:ascii="Cambria Math" w:hAnsi="Cambria Math"/>
                              <w:sz w:val="28"/>
                            </w:rPr>
                            <m:t>MW</m:t>
                          </m:r>
                          <m:r>
                            <w:rPr>
                              <w:rFonts w:ascii="Cambria Math" w:hAnsi="Cambria Math"/>
                              <w:sz w:val="28"/>
                            </w:rPr>
                            <m:t>h</m:t>
                          </m:r>
                          <m:r>
                            <w:rPr>
                              <w:rFonts w:ascii="Cambria Math" w:hAnsi="Cambria Math"/>
                              <w:sz w:val="28"/>
                            </w:rPr>
                            <m:t>W</m:t>
                          </m:r>
                        </m:sub>
                      </m:sSub>
                      <m:r>
                        <w:rPr>
                          <w:rFonts w:ascii="Cambria Math" w:hAnsi="Cambria Math"/>
                          <w:sz w:val="28"/>
                        </w:rPr>
                        <m:t>,0</m:t>
                      </m:r>
                    </m:e>
                  </m:d>
                  <m:r>
                    <w:rPr>
                      <w:rFonts w:ascii="Cambria Math" w:hAnsi="Cambria Math"/>
                      <w:sz w:val="28"/>
                    </w:rPr>
                    <m:t>*</m:t>
                  </m:r>
                  <m:sSub>
                    <m:sSubPr>
                      <m:ctrlPr>
                        <w:rPr>
                          <w:rFonts w:ascii="Cambria Math" w:hAnsi="Cambria Math"/>
                          <w:i/>
                          <w:sz w:val="28"/>
                        </w:rPr>
                      </m:ctrlPr>
                    </m:sSubPr>
                    <m:e>
                      <m:r>
                        <w:rPr>
                          <w:rFonts w:ascii="Cambria Math" w:hAnsi="Cambria Math"/>
                          <w:sz w:val="28"/>
                        </w:rPr>
                        <m:t>Bid</m:t>
                      </m:r>
                      <m:r>
                        <w:rPr>
                          <w:rFonts w:ascii="Cambria Math" w:hAnsi="Cambria Math"/>
                          <w:sz w:val="28"/>
                        </w:rPr>
                        <m:t>$</m:t>
                      </m:r>
                    </m:e>
                    <m:sub>
                      <m:r>
                        <w:rPr>
                          <w:rFonts w:ascii="Cambria Math" w:hAnsi="Cambria Math"/>
                          <w:sz w:val="28"/>
                        </w:rPr>
                        <m:t>$/</m:t>
                      </m:r>
                      <m:r>
                        <w:rPr>
                          <w:rFonts w:ascii="Cambria Math" w:hAnsi="Cambria Math"/>
                          <w:sz w:val="28"/>
                        </w:rPr>
                        <m:t>MW</m:t>
                      </m:r>
                      <m:r>
                        <w:rPr>
                          <w:rFonts w:ascii="Cambria Math" w:hAnsi="Cambria Math"/>
                          <w:sz w:val="28"/>
                        </w:rPr>
                        <m:t>h</m:t>
                      </m:r>
                      <m:r>
                        <w:rPr>
                          <w:rFonts w:ascii="Cambria Math" w:hAnsi="Cambria Math"/>
                          <w:sz w:val="28"/>
                        </w:rPr>
                        <m:t>N</m:t>
                      </m:r>
                    </m:sub>
                  </m:sSub>
                </m:e>
              </m:d>
              <m:r>
                <w:rPr>
                  <w:rFonts w:ascii="Cambria Math" w:hAnsi="Cambria Math"/>
                  <w:sz w:val="28"/>
                </w:rPr>
                <m:t>,0</m:t>
              </m:r>
            </m:e>
          </m:d>
        </m:oMath>
      </m:oMathPara>
    </w:p>
    <w:p w:rsidR="00AF7719" w:rsidRDefault="00C46825">
      <w:pPr>
        <w:pStyle w:val="Bodypara"/>
        <w:spacing w:line="240" w:lineRule="auto"/>
      </w:pPr>
      <w:r>
        <w:t>Where:</w:t>
      </w:r>
    </w:p>
    <w:p w:rsidR="00AF7719" w:rsidRDefault="00C46825">
      <w:pPr>
        <w:pStyle w:val="equationtext"/>
        <w:tabs>
          <w:tab w:val="clear" w:pos="1620"/>
          <w:tab w:val="left" w:pos="2520"/>
        </w:tabs>
        <w:ind w:left="2520" w:hanging="1800"/>
      </w:pPr>
      <w:r>
        <w:t>N</w:t>
      </w:r>
      <w:r>
        <w:tab/>
        <w:t>=</w:t>
      </w:r>
      <w:r>
        <w:tab/>
        <w:t>each bid price on the Bid curve.</w:t>
      </w:r>
    </w:p>
    <w:p w:rsidR="00AF7719" w:rsidRDefault="00C46825">
      <w:pPr>
        <w:pStyle w:val="equationtext"/>
        <w:tabs>
          <w:tab w:val="clear" w:pos="1620"/>
          <w:tab w:val="left" w:pos="2520"/>
        </w:tabs>
        <w:ind w:left="2520" w:hanging="1800"/>
      </w:pPr>
      <w:r>
        <w:t>BidPt</w:t>
      </w:r>
      <w:r>
        <w:rPr>
          <w:vertAlign w:val="subscript"/>
        </w:rPr>
        <w:t xml:space="preserve">MWhW </w:t>
      </w:r>
      <w:r>
        <w:rPr>
          <w:vertAlign w:val="subscript"/>
        </w:rPr>
        <w:tab/>
      </w:r>
      <w:r>
        <w:t>=</w:t>
      </w:r>
      <w:r>
        <w:tab/>
        <w:t>the MWhs associated with the bid price on the Bid curve minus the MWhs of the DAM Bid with same hour/date, location and Bid transaction ID.</w:t>
      </w:r>
    </w:p>
    <w:p w:rsidR="00AF7719" w:rsidRDefault="00C46825">
      <w:pPr>
        <w:pStyle w:val="equationtext"/>
        <w:tabs>
          <w:tab w:val="clear" w:pos="1620"/>
          <w:tab w:val="left" w:pos="2520"/>
        </w:tabs>
        <w:ind w:left="2520" w:hanging="1800"/>
      </w:pPr>
      <w:r>
        <w:t>Bid$</w:t>
      </w:r>
      <w:r>
        <w:rPr>
          <w:vertAlign w:val="subscript"/>
        </w:rPr>
        <w:t>$/MWhN</w:t>
      </w:r>
      <w:r>
        <w:rPr>
          <w:vertAlign w:val="subscript"/>
        </w:rPr>
        <w:tab/>
      </w:r>
      <w:r>
        <w:t>=</w:t>
      </w:r>
      <w:r>
        <w:tab/>
        <w:t>the amount that the customer is willing t</w:t>
      </w:r>
      <w:r>
        <w:t>o pay for congestion in $/MWh on the Bid curve associated with the Customer’s Wheels Through Bid.</w:t>
      </w:r>
    </w:p>
    <w:p w:rsidR="00AF7719" w:rsidRDefault="00C46825">
      <w:pPr>
        <w:pStyle w:val="alphaheading"/>
      </w:pPr>
      <w:r>
        <w:t>(4)</w:t>
      </w:r>
      <w:r>
        <w:tab/>
        <w:t>Upon completion of the hour Bid in real-time for a Wheels Through Bid until the net amount owed to the ISO is determined for settled External Transactions</w:t>
      </w:r>
      <w:r>
        <w:t>.</w:t>
      </w:r>
    </w:p>
    <w:p w:rsidR="00AF7719" w:rsidRDefault="00C46825">
      <w:pPr>
        <w:pStyle w:val="alphapara"/>
      </w:pPr>
      <w:r>
        <w:tab/>
        <w:t xml:space="preserve">The amount of credit support required will equal the sum of the Day-Ahead Credit Calculation and Real-Time Credit Calculation for each completed hour. </w:t>
      </w:r>
    </w:p>
    <w:p w:rsidR="00AF7719" w:rsidRDefault="00C46825">
      <w:pPr>
        <w:pStyle w:val="alphapara"/>
      </w:pPr>
      <w:r>
        <w:tab/>
        <w:t xml:space="preserve">The credit requirement for each Wheels Through Bid shall be calculated as follows:  </w:t>
      </w:r>
    </w:p>
    <w:p w:rsidR="00AF7719" w:rsidRDefault="00C46825">
      <w:pPr>
        <w:pStyle w:val="Bodypara"/>
        <w:spacing w:line="240" w:lineRule="auto"/>
        <w:ind w:firstLine="0"/>
        <w:jc w:val="center"/>
      </w:pPr>
      <w:r>
        <w:t>Day-Ahead Credi</w:t>
      </w:r>
      <w:r>
        <w:t>t Calculation + Real-Time Credit Calculation</w:t>
      </w:r>
    </w:p>
    <w:p w:rsidR="00AF7719" w:rsidRDefault="00C46825">
      <w:pPr>
        <w:pStyle w:val="Bodypara"/>
        <w:spacing w:line="240" w:lineRule="auto"/>
      </w:pPr>
    </w:p>
    <w:p w:rsidR="00AF7719" w:rsidRDefault="00C46825">
      <w:pPr>
        <w:pStyle w:val="alphapara"/>
      </w:pPr>
      <w:r>
        <w:tab/>
        <w:t>The Day-Ahead Credit Calculation only applies to DAM Wheels Through Bids and the Real-Time Credit Calculation applies to all HAM Wheels Through Bids including HAM Bids associated with a DAM Bid.</w:t>
      </w:r>
    </w:p>
    <w:p w:rsidR="00AF7719" w:rsidRDefault="00C46825">
      <w:pPr>
        <w:pStyle w:val="Bodypara"/>
        <w:spacing w:line="240" w:lineRule="auto"/>
      </w:pPr>
      <w:r>
        <w:t>Where:</w:t>
      </w:r>
    </w:p>
    <w:p w:rsidR="00AF7719" w:rsidRDefault="00C46825">
      <w:pPr>
        <w:pStyle w:val="equationtext"/>
        <w:spacing w:before="0" w:after="0"/>
      </w:pPr>
    </w:p>
    <w:p w:rsidR="00AF7719" w:rsidRDefault="00C46825">
      <w:pPr>
        <w:pStyle w:val="equationtext"/>
        <w:tabs>
          <w:tab w:val="clear" w:pos="1620"/>
          <w:tab w:val="left" w:pos="2520"/>
        </w:tabs>
        <w:ind w:left="2520" w:hanging="1800"/>
      </w:pPr>
      <w:r>
        <w:t>Day-Ah</w:t>
      </w:r>
      <w:r>
        <w:t>ead Credit Calculation = Max (Adjusted Wheels Through Day-Ahead Credit Calculation, 0)</w:t>
      </w:r>
    </w:p>
    <w:p w:rsidR="00AF7719" w:rsidRDefault="00C46825">
      <w:pPr>
        <w:pStyle w:val="equationtext"/>
        <w:tabs>
          <w:tab w:val="clear" w:pos="1620"/>
          <w:tab w:val="left" w:pos="2520"/>
        </w:tabs>
        <w:spacing w:before="0" w:after="0"/>
        <w:ind w:left="2520" w:hanging="1800"/>
      </w:pPr>
      <w:r>
        <w:t>Adjusted Wheels Through Day-Ahead Credit Calculation = the credit requirement calculated in section 26.4.2.2.3(2) minus the Balancing Payment.</w:t>
      </w:r>
    </w:p>
    <w:p w:rsidR="00AF7719" w:rsidRDefault="00C46825">
      <w:pPr>
        <w:pStyle w:val="equationtext"/>
        <w:tabs>
          <w:tab w:val="clear" w:pos="1620"/>
          <w:tab w:val="left" w:pos="2520"/>
        </w:tabs>
        <w:spacing w:before="0" w:after="0"/>
        <w:ind w:left="2520" w:hanging="1800"/>
      </w:pPr>
    </w:p>
    <w:p w:rsidR="00AF7719" w:rsidRDefault="00C46825">
      <w:pPr>
        <w:pStyle w:val="equationtext"/>
        <w:tabs>
          <w:tab w:val="clear" w:pos="1620"/>
          <w:tab w:val="clear" w:pos="2160"/>
        </w:tabs>
        <w:spacing w:before="0" w:after="0"/>
        <w:ind w:left="0" w:right="-274" w:firstLine="0"/>
        <w:rPr>
          <w:sz w:val="23"/>
          <w:szCs w:val="23"/>
        </w:rPr>
      </w:pPr>
      <m:oMathPara>
        <m:oMath>
          <m:r>
            <w:rPr>
              <w:rFonts w:ascii="Cambria Math" w:hAnsi="Cambria Math"/>
              <w:sz w:val="23"/>
              <w:szCs w:val="23"/>
            </w:rPr>
            <m:t>Balancing</m:t>
          </m:r>
          <m:r>
            <w:rPr>
              <w:rFonts w:ascii="Cambria Math" w:hAnsi="Cambria Math"/>
              <w:sz w:val="23"/>
              <w:szCs w:val="23"/>
            </w:rPr>
            <m:t xml:space="preserve"> </m:t>
          </m:r>
          <m:r>
            <w:rPr>
              <w:rFonts w:ascii="Cambria Math" w:hAnsi="Cambria Math"/>
              <w:sz w:val="23"/>
              <w:szCs w:val="23"/>
            </w:rPr>
            <m:t>Pay</m:t>
          </m:r>
          <m:r>
            <w:rPr>
              <w:rFonts w:ascii="Cambria Math" w:hAnsi="Cambria Math"/>
              <w:sz w:val="23"/>
              <w:szCs w:val="23"/>
            </w:rPr>
            <m:t>ment</m:t>
          </m:r>
          <m:r>
            <w:rPr>
              <w:rFonts w:ascii="Cambria Math" w:hAnsi="Cambria Math"/>
              <w:sz w:val="23"/>
              <w:szCs w:val="23"/>
            </w:rPr>
            <m:t>=</m:t>
          </m:r>
          <m:r>
            <w:rPr>
              <w:rFonts w:ascii="Cambria Math" w:hAnsi="Cambria Math"/>
              <w:sz w:val="23"/>
              <w:szCs w:val="23"/>
            </w:rPr>
            <m:t>Max</m:t>
          </m:r>
          <m:d>
            <m:dPr>
              <m:ctrlPr>
                <w:rPr>
                  <w:rFonts w:ascii="Cambria Math" w:hAnsi="Cambria Math"/>
                  <w:i/>
                  <w:sz w:val="23"/>
                  <w:szCs w:val="23"/>
                </w:rPr>
              </m:ctrlPr>
            </m:dPr>
            <m:e>
              <m:d>
                <m:dPr>
                  <m:ctrlPr>
                    <w:rPr>
                      <w:rFonts w:ascii="Cambria Math" w:hAnsi="Cambria Math"/>
                      <w:i/>
                      <w:sz w:val="23"/>
                      <w:szCs w:val="23"/>
                    </w:rPr>
                  </m:ctrlPr>
                </m:dPr>
                <m:e>
                  <m:sSub>
                    <m:sSubPr>
                      <m:ctrlPr>
                        <w:rPr>
                          <w:rFonts w:ascii="Cambria Math" w:hAnsi="Cambria Math"/>
                          <w:i/>
                          <w:sz w:val="23"/>
                          <w:szCs w:val="23"/>
                        </w:rPr>
                      </m:ctrlPr>
                    </m:sSubPr>
                    <m:e>
                      <m:r>
                        <w:rPr>
                          <w:rFonts w:ascii="Cambria Math" w:hAnsi="Cambria Math"/>
                          <w:sz w:val="23"/>
                          <w:szCs w:val="23"/>
                        </w:rPr>
                        <m:t>Sc</m:t>
                      </m:r>
                      <m:r>
                        <w:rPr>
                          <w:rFonts w:ascii="Cambria Math" w:hAnsi="Cambria Math"/>
                          <w:sz w:val="23"/>
                          <w:szCs w:val="23"/>
                        </w:rPr>
                        <m:t>h</m:t>
                      </m:r>
                      <m:r>
                        <w:rPr>
                          <w:rFonts w:ascii="Cambria Math" w:hAnsi="Cambria Math"/>
                          <w:sz w:val="23"/>
                          <w:szCs w:val="23"/>
                        </w:rPr>
                        <m:t>Bid</m:t>
                      </m:r>
                    </m:e>
                    <m:sub>
                      <m:r>
                        <w:rPr>
                          <w:rFonts w:ascii="Cambria Math" w:hAnsi="Cambria Math"/>
                          <w:sz w:val="23"/>
                          <w:szCs w:val="23"/>
                        </w:rPr>
                        <m:t>MW</m:t>
                      </m:r>
                      <m:r>
                        <w:rPr>
                          <w:rFonts w:ascii="Cambria Math" w:hAnsi="Cambria Math"/>
                          <w:sz w:val="23"/>
                          <w:szCs w:val="23"/>
                        </w:rPr>
                        <m:t>h</m:t>
                      </m:r>
                      <m:r>
                        <w:rPr>
                          <w:rFonts w:ascii="Cambria Math" w:hAnsi="Cambria Math"/>
                          <w:sz w:val="23"/>
                          <w:szCs w:val="23"/>
                        </w:rPr>
                        <m:t>W</m:t>
                      </m:r>
                    </m:sub>
                  </m:sSub>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Actual</m:t>
                      </m:r>
                    </m:e>
                    <m:sub>
                      <m:r>
                        <w:rPr>
                          <w:rFonts w:ascii="Cambria Math" w:hAnsi="Cambria Math"/>
                          <w:sz w:val="23"/>
                          <w:szCs w:val="23"/>
                        </w:rPr>
                        <m:t>MW</m:t>
                      </m:r>
                      <m:r>
                        <w:rPr>
                          <w:rFonts w:ascii="Cambria Math" w:hAnsi="Cambria Math"/>
                          <w:sz w:val="23"/>
                          <w:szCs w:val="23"/>
                        </w:rPr>
                        <m:t>h</m:t>
                      </m:r>
                      <m:r>
                        <w:rPr>
                          <w:rFonts w:ascii="Cambria Math" w:hAnsi="Cambria Math"/>
                          <w:sz w:val="23"/>
                          <w:szCs w:val="23"/>
                        </w:rPr>
                        <m:t>W</m:t>
                      </m:r>
                    </m:sub>
                  </m:sSub>
                </m:e>
              </m:d>
              <m:r>
                <w:rPr>
                  <w:rFonts w:ascii="Cambria Math" w:hAnsi="Cambria Math"/>
                  <w:sz w:val="23"/>
                  <w:szCs w:val="23"/>
                </w:rPr>
                <m:t>,0</m:t>
              </m:r>
            </m:e>
          </m:d>
          <m:r>
            <w:rPr>
              <w:rFonts w:ascii="Cambria Math" w:hAnsi="Cambria Math"/>
              <w:sz w:val="23"/>
              <w:szCs w:val="23"/>
            </w:rPr>
            <m:t>*</m:t>
          </m:r>
          <m:d>
            <m:dPr>
              <m:ctrlPr>
                <w:rPr>
                  <w:rFonts w:ascii="Cambria Math" w:hAnsi="Cambria Math"/>
                  <w:i/>
                  <w:sz w:val="23"/>
                  <w:szCs w:val="23"/>
                </w:rPr>
              </m:ctrlPr>
            </m:dPr>
            <m:e>
              <m:sSub>
                <m:sSubPr>
                  <m:ctrlPr>
                    <w:rPr>
                      <w:rFonts w:ascii="Cambria Math" w:hAnsi="Cambria Math"/>
                      <w:i/>
                      <w:sz w:val="23"/>
                      <w:szCs w:val="23"/>
                    </w:rPr>
                  </m:ctrlPr>
                </m:sSubPr>
                <m:e>
                  <m:r>
                    <w:rPr>
                      <w:rFonts w:ascii="Cambria Math" w:hAnsi="Cambria Math"/>
                      <w:sz w:val="23"/>
                      <w:szCs w:val="23"/>
                    </w:rPr>
                    <m:t>RT</m:t>
                  </m:r>
                  <m:r>
                    <w:rPr>
                      <w:rFonts w:ascii="Cambria Math" w:hAnsi="Cambria Math"/>
                      <w:sz w:val="23"/>
                      <w:szCs w:val="23"/>
                    </w:rPr>
                    <m:t xml:space="preserve"> </m:t>
                  </m:r>
                  <m:r>
                    <w:rPr>
                      <w:rFonts w:ascii="Cambria Math" w:hAnsi="Cambria Math"/>
                      <w:sz w:val="23"/>
                      <w:szCs w:val="23"/>
                    </w:rPr>
                    <m:t>LBMP</m:t>
                  </m:r>
                </m:e>
                <m:sub>
                  <m:r>
                    <w:rPr>
                      <w:rFonts w:ascii="Cambria Math" w:hAnsi="Cambria Math"/>
                      <w:sz w:val="23"/>
                      <w:szCs w:val="23"/>
                    </w:rPr>
                    <m:t>POW</m:t>
                  </m:r>
                </m:sub>
              </m:sSub>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RT</m:t>
                  </m:r>
                  <m:r>
                    <w:rPr>
                      <w:rFonts w:ascii="Cambria Math" w:hAnsi="Cambria Math"/>
                      <w:sz w:val="23"/>
                      <w:szCs w:val="23"/>
                    </w:rPr>
                    <m:t xml:space="preserve"> </m:t>
                  </m:r>
                  <m:r>
                    <w:rPr>
                      <w:rFonts w:ascii="Cambria Math" w:hAnsi="Cambria Math"/>
                      <w:sz w:val="23"/>
                      <w:szCs w:val="23"/>
                    </w:rPr>
                    <m:t>LBMP</m:t>
                  </m:r>
                </m:e>
                <m:sub>
                  <m:r>
                    <w:rPr>
                      <w:rFonts w:ascii="Cambria Math" w:hAnsi="Cambria Math"/>
                      <w:sz w:val="23"/>
                      <w:szCs w:val="23"/>
                    </w:rPr>
                    <m:t>POI</m:t>
                  </m:r>
                </m:sub>
              </m:sSub>
            </m:e>
          </m:d>
        </m:oMath>
      </m:oMathPara>
    </w:p>
    <w:p w:rsidR="00AF7719" w:rsidRDefault="00C46825">
      <w:pPr>
        <w:pStyle w:val="equationtext"/>
        <w:tabs>
          <w:tab w:val="clear" w:pos="1620"/>
          <w:tab w:val="clear" w:pos="2160"/>
        </w:tabs>
        <w:spacing w:before="0" w:after="0"/>
        <w:ind w:left="0" w:right="-274" w:firstLine="0"/>
        <w:rPr>
          <w:sz w:val="23"/>
          <w:szCs w:val="23"/>
        </w:rPr>
      </w:pPr>
    </w:p>
    <w:p w:rsidR="00AF7719" w:rsidRDefault="00C46825">
      <w:pPr>
        <w:pStyle w:val="equationtext"/>
        <w:tabs>
          <w:tab w:val="clear" w:pos="1620"/>
          <w:tab w:val="left" w:pos="2520"/>
        </w:tabs>
        <w:ind w:left="2520" w:hanging="1800"/>
      </w:pPr>
      <w:r>
        <w:t>SchBid</w:t>
      </w:r>
      <w:r>
        <w:rPr>
          <w:vertAlign w:val="subscript"/>
        </w:rPr>
        <w:t>MWhW</w:t>
      </w:r>
      <w:r>
        <w:t xml:space="preserve"> </w:t>
      </w:r>
      <w:r>
        <w:tab/>
        <w:t>=</w:t>
      </w:r>
      <w:r>
        <w:tab/>
      </w:r>
      <w:r>
        <w:rPr>
          <w:vertAlign w:val="subscript"/>
        </w:rPr>
        <w:t xml:space="preserve"> </w:t>
      </w:r>
      <w:r>
        <w:t>the total quantity of MWhs that is scheduled in the DAM as a result of the Customer’s Wheels Through Bid.</w:t>
      </w:r>
    </w:p>
    <w:p w:rsidR="00AF7719" w:rsidRDefault="00C46825">
      <w:pPr>
        <w:pStyle w:val="equationtext"/>
        <w:tabs>
          <w:tab w:val="clear" w:pos="1620"/>
          <w:tab w:val="left" w:pos="2520"/>
        </w:tabs>
        <w:ind w:left="2520" w:hanging="1800"/>
      </w:pPr>
      <w:r>
        <w:t>Actual</w:t>
      </w:r>
      <w:r>
        <w:rPr>
          <w:vertAlign w:val="subscript"/>
        </w:rPr>
        <w:t xml:space="preserve">MWhW </w:t>
      </w:r>
      <w:r>
        <w:rPr>
          <w:vertAlign w:val="subscript"/>
        </w:rPr>
        <w:tab/>
      </w:r>
      <w:r>
        <w:t>=</w:t>
      </w:r>
      <w:r>
        <w:tab/>
        <w:t xml:space="preserve">the total quantity of </w:t>
      </w:r>
      <w:r>
        <w:t>MWhs that is scheduled in real-time associated with the Customer’s Wheels Through Bid for the hour completed.</w:t>
      </w:r>
    </w:p>
    <w:p w:rsidR="00AF7719" w:rsidRDefault="00C46825">
      <w:pPr>
        <w:pStyle w:val="equationtext"/>
        <w:tabs>
          <w:tab w:val="clear" w:pos="1620"/>
          <w:tab w:val="left" w:pos="2520"/>
        </w:tabs>
        <w:ind w:left="2520" w:hanging="1800"/>
      </w:pPr>
      <w:r>
        <w:t>RT LBMP</w:t>
      </w:r>
      <w:r>
        <w:rPr>
          <w:vertAlign w:val="subscript"/>
        </w:rPr>
        <w:t>POI</w:t>
      </w:r>
      <w:r>
        <w:t xml:space="preserve"> </w:t>
      </w:r>
      <w:r>
        <w:tab/>
        <w:t>=</w:t>
      </w:r>
      <w:r>
        <w:tab/>
        <w:t xml:space="preserve">the Real-Time LBMP in the hour and at the Point of    Injection associated with the Wheels Through Bid. </w:t>
      </w:r>
    </w:p>
    <w:p w:rsidR="00AF7719" w:rsidRDefault="00C46825">
      <w:pPr>
        <w:pStyle w:val="equationtext"/>
        <w:tabs>
          <w:tab w:val="clear" w:pos="1620"/>
          <w:tab w:val="left" w:pos="2520"/>
        </w:tabs>
        <w:ind w:left="2520" w:hanging="1800"/>
      </w:pPr>
      <w:r>
        <w:t>RT LBMP</w:t>
      </w:r>
      <w:r>
        <w:rPr>
          <w:vertAlign w:val="subscript"/>
        </w:rPr>
        <w:t>POW</w:t>
      </w:r>
      <w:r>
        <w:t xml:space="preserve"> </w:t>
      </w:r>
      <w:r>
        <w:tab/>
        <w:t>=</w:t>
      </w:r>
      <w:r>
        <w:tab/>
        <w:t>the Real-Time</w:t>
      </w:r>
      <w:r>
        <w:t xml:space="preserve"> LBMP in the hour and at the Point of Withdrawal associated with the Wheels Through Bid. </w:t>
      </w:r>
    </w:p>
    <w:p w:rsidR="00AF7719" w:rsidRDefault="00C46825">
      <w:pPr>
        <w:ind w:left="1440"/>
      </w:pPr>
    </w:p>
    <w:p w:rsidR="00AF7719" w:rsidRDefault="00C46825">
      <w:pPr>
        <w:pStyle w:val="Bodypara"/>
        <w:spacing w:line="240" w:lineRule="auto"/>
        <w:ind w:right="-630" w:firstLine="0"/>
        <w:jc w:val="center"/>
        <w:rPr>
          <w:sz w:val="20"/>
          <w:szCs w:val="21"/>
        </w:rPr>
      </w:pPr>
      <m:oMathPara>
        <m:oMath>
          <m:r>
            <w:rPr>
              <w:rFonts w:ascii="Cambria Math" w:hAnsi="Cambria Math"/>
              <w:sz w:val="20"/>
              <w:szCs w:val="21"/>
            </w:rPr>
            <m:t>Real</m:t>
          </m:r>
          <m:r>
            <m:rPr>
              <m:nor/>
            </m:rPr>
            <w:rPr>
              <w:rFonts w:ascii="Cambria Math" w:hAnsi="Cambria Math"/>
              <w:sz w:val="20"/>
              <w:szCs w:val="21"/>
            </w:rPr>
            <m:t>-</m:t>
          </m:r>
          <m:r>
            <w:rPr>
              <w:rFonts w:ascii="Cambria Math" w:hAnsi="Cambria Math"/>
              <w:sz w:val="20"/>
              <w:szCs w:val="21"/>
            </w:rPr>
            <m:t>Time</m:t>
          </m:r>
          <m:r>
            <w:rPr>
              <w:rFonts w:ascii="Cambria Math" w:hAnsi="Cambria Math"/>
              <w:sz w:val="20"/>
              <w:szCs w:val="21"/>
            </w:rPr>
            <m:t xml:space="preserve"> </m:t>
          </m:r>
          <m:r>
            <w:rPr>
              <w:rFonts w:ascii="Cambria Math" w:hAnsi="Cambria Math"/>
              <w:sz w:val="20"/>
              <w:szCs w:val="21"/>
            </w:rPr>
            <m:t>Credit</m:t>
          </m:r>
          <m:r>
            <w:rPr>
              <w:rFonts w:ascii="Cambria Math" w:hAnsi="Cambria Math"/>
              <w:sz w:val="20"/>
              <w:szCs w:val="21"/>
            </w:rPr>
            <m:t xml:space="preserve"> </m:t>
          </m:r>
          <m:r>
            <w:rPr>
              <w:rFonts w:ascii="Cambria Math" w:hAnsi="Cambria Math"/>
              <w:sz w:val="20"/>
              <w:szCs w:val="21"/>
            </w:rPr>
            <m:t>Calculation</m:t>
          </m:r>
          <m:r>
            <w:rPr>
              <w:rFonts w:ascii="Cambria Math" w:hAnsi="Cambria Math"/>
              <w:sz w:val="20"/>
              <w:szCs w:val="21"/>
            </w:rPr>
            <m:t>=</m:t>
          </m:r>
          <m:r>
            <w:rPr>
              <w:rFonts w:ascii="Cambria Math" w:hAnsi="Cambria Math"/>
              <w:sz w:val="20"/>
              <w:szCs w:val="21"/>
            </w:rPr>
            <m:t>Max</m:t>
          </m:r>
          <m:d>
            <m:dPr>
              <m:ctrlPr>
                <w:rPr>
                  <w:rFonts w:ascii="Cambria Math" w:hAnsi="Cambria Math"/>
                  <w:i/>
                  <w:sz w:val="20"/>
                  <w:szCs w:val="21"/>
                </w:rPr>
              </m:ctrlPr>
            </m:dPr>
            <m:e>
              <m:r>
                <w:rPr>
                  <w:rFonts w:ascii="Cambria Math" w:hAnsi="Cambria Math"/>
                  <w:sz w:val="20"/>
                  <w:szCs w:val="21"/>
                </w:rPr>
                <m:t>Max</m:t>
              </m:r>
              <m:d>
                <m:dPr>
                  <m:ctrlPr>
                    <w:rPr>
                      <w:rFonts w:ascii="Cambria Math" w:hAnsi="Cambria Math"/>
                      <w:i/>
                      <w:sz w:val="20"/>
                      <w:szCs w:val="21"/>
                    </w:rPr>
                  </m:ctrlPr>
                </m:dPr>
                <m:e>
                  <m:d>
                    <m:dPr>
                      <m:ctrlPr>
                        <w:rPr>
                          <w:rFonts w:ascii="Cambria Math" w:hAnsi="Cambria Math"/>
                          <w:i/>
                          <w:sz w:val="20"/>
                          <w:szCs w:val="21"/>
                        </w:rPr>
                      </m:ctrlPr>
                    </m:dPr>
                    <m:e>
                      <m:sSub>
                        <m:sSubPr>
                          <m:ctrlPr>
                            <w:rPr>
                              <w:rFonts w:ascii="Cambria Math" w:hAnsi="Cambria Math"/>
                              <w:i/>
                              <w:sz w:val="20"/>
                              <w:szCs w:val="21"/>
                            </w:rPr>
                          </m:ctrlPr>
                        </m:sSubPr>
                        <m:e>
                          <m:r>
                            <w:rPr>
                              <w:rFonts w:ascii="Cambria Math" w:hAnsi="Cambria Math"/>
                              <w:sz w:val="20"/>
                              <w:szCs w:val="21"/>
                            </w:rPr>
                            <m:t>Actual</m:t>
                          </m:r>
                        </m:e>
                        <m:sub>
                          <m:r>
                            <w:rPr>
                              <w:rFonts w:ascii="Cambria Math" w:hAnsi="Cambria Math"/>
                              <w:sz w:val="20"/>
                              <w:szCs w:val="21"/>
                            </w:rPr>
                            <m:t>MW</m:t>
                          </m:r>
                          <m:r>
                            <w:rPr>
                              <w:rFonts w:ascii="Cambria Math" w:hAnsi="Cambria Math"/>
                              <w:sz w:val="20"/>
                              <w:szCs w:val="21"/>
                            </w:rPr>
                            <m:t>h</m:t>
                          </m:r>
                          <m:r>
                            <w:rPr>
                              <w:rFonts w:ascii="Cambria Math" w:hAnsi="Cambria Math"/>
                              <w:sz w:val="20"/>
                              <w:szCs w:val="21"/>
                            </w:rPr>
                            <m:t>W</m:t>
                          </m:r>
                        </m:sub>
                      </m:sSub>
                      <m:r>
                        <w:rPr>
                          <w:rFonts w:ascii="Cambria Math" w:hAnsi="Cambria Math"/>
                          <w:sz w:val="20"/>
                          <w:szCs w:val="21"/>
                        </w:rPr>
                        <m:t>-</m:t>
                      </m:r>
                      <m:sSub>
                        <m:sSubPr>
                          <m:ctrlPr>
                            <w:rPr>
                              <w:rFonts w:ascii="Cambria Math" w:hAnsi="Cambria Math"/>
                              <w:i/>
                              <w:sz w:val="20"/>
                              <w:szCs w:val="21"/>
                            </w:rPr>
                          </m:ctrlPr>
                        </m:sSubPr>
                        <m:e>
                          <m:r>
                            <w:rPr>
                              <w:rFonts w:ascii="Cambria Math" w:hAnsi="Cambria Math"/>
                              <w:sz w:val="20"/>
                              <w:szCs w:val="21"/>
                            </w:rPr>
                            <m:t>Sc</m:t>
                          </m:r>
                          <m:r>
                            <w:rPr>
                              <w:rFonts w:ascii="Cambria Math" w:hAnsi="Cambria Math"/>
                              <w:sz w:val="20"/>
                              <w:szCs w:val="21"/>
                            </w:rPr>
                            <m:t>h</m:t>
                          </m:r>
                          <m:r>
                            <w:rPr>
                              <w:rFonts w:ascii="Cambria Math" w:hAnsi="Cambria Math"/>
                              <w:sz w:val="20"/>
                              <w:szCs w:val="21"/>
                            </w:rPr>
                            <m:t>Bid</m:t>
                          </m:r>
                        </m:e>
                        <m:sub>
                          <m:r>
                            <w:rPr>
                              <w:rFonts w:ascii="Cambria Math" w:hAnsi="Cambria Math"/>
                              <w:sz w:val="20"/>
                              <w:szCs w:val="21"/>
                            </w:rPr>
                            <m:t>MW</m:t>
                          </m:r>
                          <m:r>
                            <w:rPr>
                              <w:rFonts w:ascii="Cambria Math" w:hAnsi="Cambria Math"/>
                              <w:sz w:val="20"/>
                              <w:szCs w:val="21"/>
                            </w:rPr>
                            <m:t>h</m:t>
                          </m:r>
                          <m:r>
                            <w:rPr>
                              <w:rFonts w:ascii="Cambria Math" w:hAnsi="Cambria Math"/>
                              <w:sz w:val="20"/>
                              <w:szCs w:val="21"/>
                            </w:rPr>
                            <m:t>W</m:t>
                          </m:r>
                        </m:sub>
                      </m:sSub>
                    </m:e>
                  </m:d>
                  <m:r>
                    <w:rPr>
                      <w:rFonts w:ascii="Cambria Math" w:hAnsi="Cambria Math"/>
                      <w:sz w:val="20"/>
                      <w:szCs w:val="21"/>
                    </w:rPr>
                    <m:t>,0</m:t>
                  </m:r>
                </m:e>
              </m:d>
              <m:r>
                <w:rPr>
                  <w:rFonts w:ascii="Cambria Math" w:hAnsi="Cambria Math"/>
                  <w:sz w:val="20"/>
                  <w:szCs w:val="21"/>
                </w:rPr>
                <m:t>*</m:t>
              </m:r>
              <m:d>
                <m:dPr>
                  <m:ctrlPr>
                    <w:rPr>
                      <w:rFonts w:ascii="Cambria Math" w:hAnsi="Cambria Math"/>
                      <w:i/>
                      <w:sz w:val="20"/>
                      <w:szCs w:val="21"/>
                    </w:rPr>
                  </m:ctrlPr>
                </m:dPr>
                <m:e>
                  <m:sSub>
                    <m:sSubPr>
                      <m:ctrlPr>
                        <w:rPr>
                          <w:rFonts w:ascii="Cambria Math" w:hAnsi="Cambria Math"/>
                          <w:i/>
                          <w:sz w:val="20"/>
                          <w:szCs w:val="21"/>
                        </w:rPr>
                      </m:ctrlPr>
                    </m:sSubPr>
                    <m:e>
                      <m:r>
                        <w:rPr>
                          <w:rFonts w:ascii="Cambria Math" w:hAnsi="Cambria Math"/>
                          <w:sz w:val="20"/>
                          <w:szCs w:val="21"/>
                        </w:rPr>
                        <m:t>RT</m:t>
                      </m:r>
                      <m:r>
                        <w:rPr>
                          <w:rFonts w:ascii="Cambria Math" w:hAnsi="Cambria Math"/>
                          <w:sz w:val="20"/>
                          <w:szCs w:val="21"/>
                        </w:rPr>
                        <m:t xml:space="preserve"> </m:t>
                      </m:r>
                      <m:r>
                        <w:rPr>
                          <w:rFonts w:ascii="Cambria Math" w:hAnsi="Cambria Math"/>
                          <w:sz w:val="20"/>
                          <w:szCs w:val="21"/>
                        </w:rPr>
                        <m:t>LBMP</m:t>
                      </m:r>
                    </m:e>
                    <m:sub>
                      <m:r>
                        <w:rPr>
                          <w:rFonts w:ascii="Cambria Math" w:hAnsi="Cambria Math"/>
                          <w:sz w:val="20"/>
                          <w:szCs w:val="21"/>
                        </w:rPr>
                        <m:t>POW</m:t>
                      </m:r>
                    </m:sub>
                  </m:sSub>
                  <m:r>
                    <w:rPr>
                      <w:rFonts w:ascii="Cambria Math" w:hAnsi="Cambria Math"/>
                      <w:sz w:val="20"/>
                      <w:szCs w:val="21"/>
                    </w:rPr>
                    <m:t>-</m:t>
                  </m:r>
                  <m:sSub>
                    <m:sSubPr>
                      <m:ctrlPr>
                        <w:rPr>
                          <w:rFonts w:ascii="Cambria Math" w:hAnsi="Cambria Math"/>
                          <w:i/>
                          <w:sz w:val="20"/>
                          <w:szCs w:val="21"/>
                        </w:rPr>
                      </m:ctrlPr>
                    </m:sSubPr>
                    <m:e>
                      <m:r>
                        <w:rPr>
                          <w:rFonts w:ascii="Cambria Math" w:hAnsi="Cambria Math"/>
                          <w:sz w:val="20"/>
                          <w:szCs w:val="21"/>
                        </w:rPr>
                        <m:t>RT</m:t>
                      </m:r>
                      <m:r>
                        <w:rPr>
                          <w:rFonts w:ascii="Cambria Math" w:hAnsi="Cambria Math"/>
                          <w:sz w:val="20"/>
                          <w:szCs w:val="21"/>
                        </w:rPr>
                        <m:t xml:space="preserve"> </m:t>
                      </m:r>
                      <m:r>
                        <w:rPr>
                          <w:rFonts w:ascii="Cambria Math" w:hAnsi="Cambria Math"/>
                          <w:sz w:val="20"/>
                          <w:szCs w:val="21"/>
                        </w:rPr>
                        <m:t>LBMP</m:t>
                      </m:r>
                    </m:e>
                    <m:sub>
                      <m:r>
                        <w:rPr>
                          <w:rFonts w:ascii="Cambria Math" w:hAnsi="Cambria Math"/>
                          <w:sz w:val="20"/>
                          <w:szCs w:val="21"/>
                        </w:rPr>
                        <m:t>POI</m:t>
                      </m:r>
                    </m:sub>
                  </m:sSub>
                </m:e>
              </m:d>
              <m:r>
                <w:rPr>
                  <w:rFonts w:ascii="Cambria Math" w:hAnsi="Cambria Math"/>
                  <w:sz w:val="20"/>
                  <w:szCs w:val="21"/>
                </w:rPr>
                <m:t>,0</m:t>
              </m:r>
            </m:e>
          </m:d>
        </m:oMath>
      </m:oMathPara>
    </w:p>
    <w:p w:rsidR="00AF7719" w:rsidRDefault="00C46825">
      <w:pPr>
        <w:pStyle w:val="Bodypara"/>
        <w:spacing w:line="240" w:lineRule="auto"/>
        <w:ind w:firstLine="0"/>
        <w:jc w:val="center"/>
      </w:pPr>
    </w:p>
    <w:p w:rsidR="00AF7719" w:rsidRDefault="00C46825">
      <w:pPr>
        <w:pStyle w:val="equationtext"/>
        <w:tabs>
          <w:tab w:val="clear" w:pos="1620"/>
          <w:tab w:val="left" w:pos="2520"/>
        </w:tabs>
        <w:ind w:left="2520" w:hanging="1800"/>
      </w:pPr>
      <w:r>
        <w:t>SchBid</w:t>
      </w:r>
      <w:r>
        <w:rPr>
          <w:vertAlign w:val="subscript"/>
        </w:rPr>
        <w:t>MWhW</w:t>
      </w:r>
      <w:r>
        <w:t xml:space="preserve"> </w:t>
      </w:r>
      <w:r>
        <w:tab/>
        <w:t>=</w:t>
      </w:r>
      <w:r>
        <w:tab/>
        <w:t>t</w:t>
      </w:r>
      <w:r>
        <w:t>he total quantity of MWhs that is scheduled in the DAM as a result of the Customer’s Bid to Wheel Through Energy.</w:t>
      </w:r>
    </w:p>
    <w:p w:rsidR="00AF7719" w:rsidRDefault="00C46825">
      <w:pPr>
        <w:pStyle w:val="equationtext"/>
        <w:tabs>
          <w:tab w:val="clear" w:pos="1620"/>
          <w:tab w:val="left" w:pos="2520"/>
        </w:tabs>
        <w:ind w:left="2520" w:hanging="1800"/>
      </w:pPr>
      <w:r>
        <w:t>Actual</w:t>
      </w:r>
      <w:r>
        <w:rPr>
          <w:vertAlign w:val="subscript"/>
        </w:rPr>
        <w:t xml:space="preserve">MWhW </w:t>
      </w:r>
      <w:r>
        <w:rPr>
          <w:vertAlign w:val="subscript"/>
        </w:rPr>
        <w:tab/>
      </w:r>
      <w:r>
        <w:t>=</w:t>
      </w:r>
      <w:r>
        <w:tab/>
        <w:t>the total quantity of MWhs that is scheduled in real-time associated with the Customer’s Wheels Through Bid for the hour complet</w:t>
      </w:r>
      <w:r>
        <w:t>ed.</w:t>
      </w:r>
    </w:p>
    <w:p w:rsidR="00AF7719" w:rsidRDefault="00C46825">
      <w:pPr>
        <w:pStyle w:val="equationtext"/>
        <w:tabs>
          <w:tab w:val="clear" w:pos="1620"/>
          <w:tab w:val="left" w:pos="2520"/>
        </w:tabs>
        <w:ind w:left="2520" w:hanging="1800"/>
      </w:pPr>
      <w:r>
        <w:t>RT LBMP</w:t>
      </w:r>
      <w:r>
        <w:rPr>
          <w:vertAlign w:val="subscript"/>
        </w:rPr>
        <w:t>POI</w:t>
      </w:r>
      <w:r>
        <w:t xml:space="preserve"> </w:t>
      </w:r>
      <w:r>
        <w:tab/>
        <w:t xml:space="preserve">= </w:t>
      </w:r>
      <w:r>
        <w:tab/>
        <w:t xml:space="preserve">the Real-Time LBMP in the hour and at the Point of Injection associated with the Wheels Through Bid. </w:t>
      </w:r>
    </w:p>
    <w:p w:rsidR="00AF7719" w:rsidRDefault="00C46825">
      <w:pPr>
        <w:pStyle w:val="equationtext"/>
        <w:tabs>
          <w:tab w:val="clear" w:pos="1620"/>
          <w:tab w:val="left" w:pos="2520"/>
        </w:tabs>
        <w:ind w:left="2520" w:hanging="1800"/>
      </w:pPr>
      <w:r>
        <w:t>RT LBMP</w:t>
      </w:r>
      <w:r>
        <w:rPr>
          <w:vertAlign w:val="subscript"/>
        </w:rPr>
        <w:t>POW</w:t>
      </w:r>
      <w:r>
        <w:t xml:space="preserve"> </w:t>
      </w:r>
      <w:r>
        <w:tab/>
        <w:t>=</w:t>
      </w:r>
      <w:r>
        <w:tab/>
        <w:t xml:space="preserve">the Real-Time LBMP in the hour and at the Point of Withdrawal associated with the Wheels Through Bid. </w:t>
      </w:r>
    </w:p>
    <w:p w:rsidR="00AF7719" w:rsidRDefault="00C46825">
      <w:pPr>
        <w:pStyle w:val="Heading4"/>
      </w:pPr>
      <w:r>
        <w:t xml:space="preserve">26.4.2.2. 4 </w:t>
      </w:r>
      <w:r>
        <w:tab/>
        <w:t>Calcu</w:t>
      </w:r>
      <w:r>
        <w:t>lation of Price Differentials</w:t>
      </w:r>
    </w:p>
    <w:p w:rsidR="00AF7719" w:rsidRDefault="00C46825">
      <w:pPr>
        <w:keepNext/>
        <w:keepLines/>
        <w:spacing w:line="480" w:lineRule="auto"/>
        <w:jc w:val="center"/>
        <w:rPr>
          <w:b/>
        </w:rPr>
      </w:pPr>
      <w:r>
        <w:rPr>
          <w:b/>
        </w:rPr>
        <w:t>Import Price Differential (IPD) Groups</w:t>
      </w:r>
    </w:p>
    <w:tbl>
      <w:tblPr>
        <w:tblW w:w="5220" w:type="dxa"/>
        <w:tblInd w:w="2178" w:type="dxa"/>
        <w:tblLook w:val="0000" w:firstRow="0" w:lastRow="0" w:firstColumn="0" w:lastColumn="0" w:noHBand="0" w:noVBand="0"/>
      </w:tblPr>
      <w:tblGrid>
        <w:gridCol w:w="3254"/>
        <w:gridCol w:w="1966"/>
      </w:tblGrid>
      <w:tr w:rsidR="009A51D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AF7719" w:rsidRDefault="00C46825">
            <w:pPr>
              <w:keepNext/>
              <w:keepLines/>
              <w:jc w:val="center"/>
              <w:rPr>
                <w:b/>
              </w:rPr>
            </w:pPr>
            <w:r>
              <w:rPr>
                <w:b/>
              </w:rPr>
              <w:t>Summer</w:t>
            </w:r>
          </w:p>
        </w:tc>
        <w:tc>
          <w:tcPr>
            <w:tcW w:w="1966" w:type="dxa"/>
            <w:tcBorders>
              <w:top w:val="nil"/>
              <w:left w:val="nil"/>
              <w:bottom w:val="single" w:sz="4" w:space="0" w:color="808080"/>
              <w:right w:val="single" w:sz="4" w:space="0" w:color="808080"/>
            </w:tcBorders>
            <w:shd w:val="clear" w:color="auto" w:fill="C0C0C0"/>
            <w:noWrap/>
            <w:vAlign w:val="bottom"/>
          </w:tcPr>
          <w:p w:rsidR="00AF7719" w:rsidRDefault="00C46825">
            <w:pPr>
              <w:keepNext/>
              <w:keepLines/>
              <w:jc w:val="center"/>
              <w:rPr>
                <w:b/>
              </w:rPr>
            </w:pPr>
            <w:r>
              <w:rPr>
                <w:b/>
              </w:rPr>
              <w:t>For each Proxy Generator Bus</w:t>
            </w:r>
          </w:p>
        </w:tc>
      </w:tr>
      <w:tr w:rsidR="009A51D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AF7719" w:rsidRDefault="00C46825">
            <w:pPr>
              <w:jc w:val="center"/>
            </w:pPr>
            <w:r>
              <w:t>HB07–10</w:t>
            </w:r>
          </w:p>
        </w:tc>
        <w:tc>
          <w:tcPr>
            <w:tcW w:w="1966" w:type="dxa"/>
            <w:tcBorders>
              <w:top w:val="nil"/>
              <w:left w:val="nil"/>
              <w:bottom w:val="single" w:sz="4" w:space="0" w:color="808080"/>
              <w:right w:val="single" w:sz="4" w:space="0" w:color="808080"/>
            </w:tcBorders>
            <w:noWrap/>
            <w:vAlign w:val="bottom"/>
          </w:tcPr>
          <w:p w:rsidR="00AF7719" w:rsidRDefault="00C46825">
            <w:pPr>
              <w:jc w:val="center"/>
            </w:pPr>
            <w:r>
              <w:t>IPD-1</w:t>
            </w:r>
          </w:p>
        </w:tc>
      </w:tr>
      <w:tr w:rsidR="009A51D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AF7719" w:rsidRDefault="00C46825">
            <w:pPr>
              <w:jc w:val="center"/>
            </w:pPr>
            <w:r>
              <w:t>HB11–14</w:t>
            </w:r>
          </w:p>
        </w:tc>
        <w:tc>
          <w:tcPr>
            <w:tcW w:w="1966" w:type="dxa"/>
            <w:tcBorders>
              <w:top w:val="nil"/>
              <w:left w:val="nil"/>
              <w:bottom w:val="single" w:sz="4" w:space="0" w:color="808080"/>
              <w:right w:val="single" w:sz="4" w:space="0" w:color="808080"/>
            </w:tcBorders>
            <w:noWrap/>
            <w:vAlign w:val="bottom"/>
          </w:tcPr>
          <w:p w:rsidR="00AF7719" w:rsidRDefault="00C46825">
            <w:pPr>
              <w:jc w:val="center"/>
            </w:pPr>
            <w:r>
              <w:t>IPD-2</w:t>
            </w:r>
          </w:p>
        </w:tc>
      </w:tr>
      <w:tr w:rsidR="009A51D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AF7719" w:rsidRDefault="00C46825">
            <w:pPr>
              <w:jc w:val="center"/>
            </w:pPr>
            <w:r>
              <w:t>HB15–18</w:t>
            </w:r>
          </w:p>
        </w:tc>
        <w:tc>
          <w:tcPr>
            <w:tcW w:w="1966" w:type="dxa"/>
            <w:tcBorders>
              <w:top w:val="nil"/>
              <w:left w:val="nil"/>
              <w:bottom w:val="single" w:sz="4" w:space="0" w:color="808080"/>
              <w:right w:val="single" w:sz="4" w:space="0" w:color="808080"/>
            </w:tcBorders>
            <w:noWrap/>
            <w:vAlign w:val="bottom"/>
          </w:tcPr>
          <w:p w:rsidR="00AF7719" w:rsidRDefault="00C46825">
            <w:pPr>
              <w:jc w:val="center"/>
            </w:pPr>
            <w:r>
              <w:t>IPD-3</w:t>
            </w:r>
          </w:p>
        </w:tc>
      </w:tr>
      <w:tr w:rsidR="009A51D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AF7719" w:rsidRDefault="00C46825">
            <w:pPr>
              <w:jc w:val="center"/>
            </w:pPr>
            <w:r>
              <w:t>HB19–22</w:t>
            </w:r>
          </w:p>
        </w:tc>
        <w:tc>
          <w:tcPr>
            <w:tcW w:w="1966" w:type="dxa"/>
            <w:tcBorders>
              <w:top w:val="nil"/>
              <w:left w:val="nil"/>
              <w:bottom w:val="single" w:sz="4" w:space="0" w:color="808080"/>
              <w:right w:val="single" w:sz="4" w:space="0" w:color="808080"/>
            </w:tcBorders>
            <w:noWrap/>
            <w:vAlign w:val="bottom"/>
          </w:tcPr>
          <w:p w:rsidR="00AF7719" w:rsidRDefault="00C46825">
            <w:pPr>
              <w:jc w:val="center"/>
            </w:pPr>
            <w:r>
              <w:t>IPD-4</w:t>
            </w:r>
          </w:p>
        </w:tc>
      </w:tr>
      <w:tr w:rsidR="009A51D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AF7719" w:rsidRDefault="00C46825">
            <w:pPr>
              <w:jc w:val="center"/>
            </w:pPr>
            <w:r>
              <w:t>Weekend/ Holiday (HB07–22)</w:t>
            </w:r>
          </w:p>
        </w:tc>
        <w:tc>
          <w:tcPr>
            <w:tcW w:w="1966" w:type="dxa"/>
            <w:tcBorders>
              <w:top w:val="nil"/>
              <w:left w:val="nil"/>
              <w:bottom w:val="single" w:sz="4" w:space="0" w:color="808080"/>
              <w:right w:val="single" w:sz="4" w:space="0" w:color="808080"/>
            </w:tcBorders>
            <w:noWrap/>
            <w:vAlign w:val="bottom"/>
          </w:tcPr>
          <w:p w:rsidR="00AF7719" w:rsidRDefault="00C46825">
            <w:pPr>
              <w:jc w:val="center"/>
            </w:pPr>
            <w:r>
              <w:t>IPD-5</w:t>
            </w:r>
          </w:p>
        </w:tc>
      </w:tr>
      <w:tr w:rsidR="009A51D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AF7719" w:rsidRDefault="00C46825">
            <w:pPr>
              <w:jc w:val="center"/>
            </w:pPr>
            <w:r>
              <w:t>Night (HB23–06)</w:t>
            </w:r>
          </w:p>
        </w:tc>
        <w:tc>
          <w:tcPr>
            <w:tcW w:w="1966" w:type="dxa"/>
            <w:tcBorders>
              <w:top w:val="nil"/>
              <w:left w:val="nil"/>
              <w:bottom w:val="single" w:sz="4" w:space="0" w:color="808080"/>
              <w:right w:val="single" w:sz="4" w:space="0" w:color="808080"/>
            </w:tcBorders>
            <w:noWrap/>
            <w:vAlign w:val="bottom"/>
          </w:tcPr>
          <w:p w:rsidR="00AF7719" w:rsidRDefault="00C46825">
            <w:pPr>
              <w:jc w:val="center"/>
            </w:pPr>
            <w:r>
              <w:t>IPD-6</w:t>
            </w:r>
          </w:p>
        </w:tc>
      </w:tr>
      <w:tr w:rsidR="009A51D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AF7719" w:rsidRDefault="00C46825">
            <w:pPr>
              <w:jc w:val="center"/>
              <w:rPr>
                <w:b/>
              </w:rPr>
            </w:pPr>
            <w:r>
              <w:rPr>
                <w:b/>
              </w:rPr>
              <w:t>Winter</w:t>
            </w:r>
          </w:p>
        </w:tc>
        <w:tc>
          <w:tcPr>
            <w:tcW w:w="1966" w:type="dxa"/>
            <w:tcBorders>
              <w:top w:val="nil"/>
              <w:left w:val="nil"/>
              <w:bottom w:val="single" w:sz="4" w:space="0" w:color="808080"/>
              <w:right w:val="single" w:sz="4" w:space="0" w:color="808080"/>
            </w:tcBorders>
            <w:noWrap/>
            <w:vAlign w:val="bottom"/>
          </w:tcPr>
          <w:p w:rsidR="00AF7719" w:rsidRDefault="00C46825">
            <w:pPr>
              <w:jc w:val="center"/>
            </w:pPr>
          </w:p>
        </w:tc>
      </w:tr>
      <w:tr w:rsidR="009A51D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AF7719" w:rsidRDefault="00C46825">
            <w:pPr>
              <w:jc w:val="center"/>
            </w:pPr>
            <w:r>
              <w:t>HB07–10</w:t>
            </w:r>
          </w:p>
        </w:tc>
        <w:tc>
          <w:tcPr>
            <w:tcW w:w="1966" w:type="dxa"/>
            <w:tcBorders>
              <w:top w:val="nil"/>
              <w:left w:val="nil"/>
              <w:bottom w:val="single" w:sz="4" w:space="0" w:color="808080"/>
              <w:right w:val="single" w:sz="4" w:space="0" w:color="808080"/>
            </w:tcBorders>
            <w:noWrap/>
            <w:vAlign w:val="bottom"/>
          </w:tcPr>
          <w:p w:rsidR="00AF7719" w:rsidRDefault="00C46825">
            <w:pPr>
              <w:jc w:val="center"/>
            </w:pPr>
            <w:r>
              <w:t>IPD-7</w:t>
            </w:r>
          </w:p>
        </w:tc>
      </w:tr>
      <w:tr w:rsidR="009A51D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AF7719" w:rsidRDefault="00C46825">
            <w:pPr>
              <w:jc w:val="center"/>
            </w:pPr>
            <w:r>
              <w:t>HB11–14</w:t>
            </w:r>
          </w:p>
        </w:tc>
        <w:tc>
          <w:tcPr>
            <w:tcW w:w="1966" w:type="dxa"/>
            <w:tcBorders>
              <w:top w:val="nil"/>
              <w:left w:val="nil"/>
              <w:bottom w:val="single" w:sz="4" w:space="0" w:color="808080"/>
              <w:right w:val="single" w:sz="4" w:space="0" w:color="808080"/>
            </w:tcBorders>
            <w:noWrap/>
            <w:vAlign w:val="bottom"/>
          </w:tcPr>
          <w:p w:rsidR="00AF7719" w:rsidRDefault="00C46825">
            <w:pPr>
              <w:jc w:val="center"/>
            </w:pPr>
            <w:r>
              <w:t>IPD-8</w:t>
            </w:r>
          </w:p>
        </w:tc>
      </w:tr>
      <w:tr w:rsidR="009A51D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AF7719" w:rsidRDefault="00C46825">
            <w:pPr>
              <w:jc w:val="center"/>
            </w:pPr>
            <w:r>
              <w:t>HB15–18</w:t>
            </w:r>
          </w:p>
        </w:tc>
        <w:tc>
          <w:tcPr>
            <w:tcW w:w="1966" w:type="dxa"/>
            <w:tcBorders>
              <w:top w:val="nil"/>
              <w:left w:val="nil"/>
              <w:bottom w:val="single" w:sz="4" w:space="0" w:color="808080"/>
              <w:right w:val="single" w:sz="4" w:space="0" w:color="808080"/>
            </w:tcBorders>
            <w:noWrap/>
            <w:vAlign w:val="bottom"/>
          </w:tcPr>
          <w:p w:rsidR="00AF7719" w:rsidRDefault="00C46825">
            <w:pPr>
              <w:jc w:val="center"/>
            </w:pPr>
            <w:r>
              <w:t>IPD-9</w:t>
            </w:r>
          </w:p>
        </w:tc>
      </w:tr>
      <w:tr w:rsidR="009A51D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AF7719" w:rsidRDefault="00C46825">
            <w:pPr>
              <w:jc w:val="center"/>
            </w:pPr>
            <w:r>
              <w:t>HB19–22</w:t>
            </w:r>
          </w:p>
        </w:tc>
        <w:tc>
          <w:tcPr>
            <w:tcW w:w="1966" w:type="dxa"/>
            <w:tcBorders>
              <w:top w:val="nil"/>
              <w:left w:val="nil"/>
              <w:bottom w:val="single" w:sz="4" w:space="0" w:color="808080"/>
              <w:right w:val="single" w:sz="4" w:space="0" w:color="808080"/>
            </w:tcBorders>
            <w:noWrap/>
            <w:vAlign w:val="bottom"/>
          </w:tcPr>
          <w:p w:rsidR="00AF7719" w:rsidRDefault="00C46825">
            <w:pPr>
              <w:jc w:val="center"/>
            </w:pPr>
            <w:r>
              <w:t>IPD-10</w:t>
            </w:r>
          </w:p>
        </w:tc>
      </w:tr>
      <w:tr w:rsidR="009A51D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AF7719" w:rsidRDefault="00C46825">
            <w:pPr>
              <w:jc w:val="center"/>
            </w:pPr>
            <w:r>
              <w:t>Weekend/ Holiday (HB07–22)</w:t>
            </w:r>
          </w:p>
        </w:tc>
        <w:tc>
          <w:tcPr>
            <w:tcW w:w="1966" w:type="dxa"/>
            <w:tcBorders>
              <w:top w:val="nil"/>
              <w:left w:val="nil"/>
              <w:bottom w:val="single" w:sz="4" w:space="0" w:color="808080"/>
              <w:right w:val="single" w:sz="4" w:space="0" w:color="808080"/>
            </w:tcBorders>
            <w:noWrap/>
            <w:vAlign w:val="bottom"/>
          </w:tcPr>
          <w:p w:rsidR="00AF7719" w:rsidRDefault="00C46825">
            <w:pPr>
              <w:jc w:val="center"/>
            </w:pPr>
            <w:r>
              <w:t>IPD-11</w:t>
            </w:r>
          </w:p>
        </w:tc>
      </w:tr>
      <w:tr w:rsidR="009A51D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AF7719" w:rsidRDefault="00C46825">
            <w:pPr>
              <w:jc w:val="center"/>
            </w:pPr>
            <w:r>
              <w:t>Night (HB23–06)</w:t>
            </w:r>
          </w:p>
        </w:tc>
        <w:tc>
          <w:tcPr>
            <w:tcW w:w="1966" w:type="dxa"/>
            <w:tcBorders>
              <w:top w:val="nil"/>
              <w:left w:val="nil"/>
              <w:bottom w:val="single" w:sz="4" w:space="0" w:color="808080"/>
              <w:right w:val="single" w:sz="4" w:space="0" w:color="808080"/>
            </w:tcBorders>
            <w:noWrap/>
            <w:vAlign w:val="bottom"/>
          </w:tcPr>
          <w:p w:rsidR="00AF7719" w:rsidRDefault="00C46825">
            <w:pPr>
              <w:jc w:val="center"/>
            </w:pPr>
            <w:r>
              <w:t>IPD-12</w:t>
            </w:r>
          </w:p>
        </w:tc>
      </w:tr>
      <w:tr w:rsidR="009A51D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AF7719" w:rsidRDefault="00C46825">
            <w:pPr>
              <w:jc w:val="center"/>
              <w:rPr>
                <w:b/>
              </w:rPr>
            </w:pPr>
            <w:r>
              <w:rPr>
                <w:b/>
              </w:rPr>
              <w:t>Rest-of-Year</w:t>
            </w:r>
          </w:p>
        </w:tc>
        <w:tc>
          <w:tcPr>
            <w:tcW w:w="1966" w:type="dxa"/>
            <w:tcBorders>
              <w:top w:val="nil"/>
              <w:left w:val="nil"/>
              <w:bottom w:val="single" w:sz="4" w:space="0" w:color="808080"/>
              <w:right w:val="single" w:sz="4" w:space="0" w:color="808080"/>
            </w:tcBorders>
            <w:noWrap/>
            <w:vAlign w:val="bottom"/>
          </w:tcPr>
          <w:p w:rsidR="00AF7719" w:rsidRDefault="00C46825">
            <w:pPr>
              <w:jc w:val="center"/>
            </w:pPr>
          </w:p>
        </w:tc>
      </w:tr>
      <w:tr w:rsidR="009A51D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AF7719" w:rsidRDefault="00C46825">
            <w:pPr>
              <w:jc w:val="center"/>
            </w:pPr>
            <w:r>
              <w:t>HB07–10</w:t>
            </w:r>
          </w:p>
        </w:tc>
        <w:tc>
          <w:tcPr>
            <w:tcW w:w="1966" w:type="dxa"/>
            <w:tcBorders>
              <w:top w:val="nil"/>
              <w:left w:val="nil"/>
              <w:bottom w:val="single" w:sz="4" w:space="0" w:color="808080"/>
              <w:right w:val="single" w:sz="4" w:space="0" w:color="808080"/>
            </w:tcBorders>
            <w:noWrap/>
            <w:vAlign w:val="bottom"/>
          </w:tcPr>
          <w:p w:rsidR="00AF7719" w:rsidRDefault="00C46825">
            <w:pPr>
              <w:tabs>
                <w:tab w:val="center" w:pos="4680"/>
                <w:tab w:val="right" w:pos="9360"/>
              </w:tabs>
              <w:jc w:val="center"/>
            </w:pPr>
            <w:r>
              <w:t>IPD-13</w:t>
            </w:r>
          </w:p>
        </w:tc>
      </w:tr>
      <w:tr w:rsidR="009A51D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AF7719" w:rsidRDefault="00C46825">
            <w:pPr>
              <w:tabs>
                <w:tab w:val="center" w:pos="4680"/>
                <w:tab w:val="right" w:pos="9360"/>
              </w:tabs>
              <w:jc w:val="center"/>
            </w:pPr>
            <w:r>
              <w:t>HB11–14</w:t>
            </w:r>
          </w:p>
        </w:tc>
        <w:tc>
          <w:tcPr>
            <w:tcW w:w="1966" w:type="dxa"/>
            <w:tcBorders>
              <w:top w:val="nil"/>
              <w:left w:val="nil"/>
              <w:bottom w:val="single" w:sz="4" w:space="0" w:color="808080"/>
              <w:right w:val="single" w:sz="4" w:space="0" w:color="808080"/>
            </w:tcBorders>
            <w:noWrap/>
            <w:vAlign w:val="bottom"/>
          </w:tcPr>
          <w:p w:rsidR="00AF7719" w:rsidRDefault="00C46825">
            <w:pPr>
              <w:tabs>
                <w:tab w:val="center" w:pos="4680"/>
                <w:tab w:val="right" w:pos="9360"/>
              </w:tabs>
              <w:jc w:val="center"/>
            </w:pPr>
            <w:r>
              <w:t>IPD-14</w:t>
            </w:r>
          </w:p>
        </w:tc>
      </w:tr>
      <w:tr w:rsidR="009A51D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AF7719" w:rsidRDefault="00C46825">
            <w:pPr>
              <w:tabs>
                <w:tab w:val="center" w:pos="4680"/>
                <w:tab w:val="right" w:pos="9360"/>
              </w:tabs>
              <w:jc w:val="center"/>
            </w:pPr>
            <w:r>
              <w:t>HB15–18</w:t>
            </w:r>
          </w:p>
        </w:tc>
        <w:tc>
          <w:tcPr>
            <w:tcW w:w="1966" w:type="dxa"/>
            <w:tcBorders>
              <w:top w:val="nil"/>
              <w:left w:val="nil"/>
              <w:bottom w:val="single" w:sz="4" w:space="0" w:color="808080"/>
              <w:right w:val="single" w:sz="4" w:space="0" w:color="808080"/>
            </w:tcBorders>
            <w:noWrap/>
            <w:vAlign w:val="bottom"/>
          </w:tcPr>
          <w:p w:rsidR="00AF7719" w:rsidRDefault="00C46825">
            <w:pPr>
              <w:tabs>
                <w:tab w:val="center" w:pos="4680"/>
                <w:tab w:val="right" w:pos="9360"/>
              </w:tabs>
              <w:jc w:val="center"/>
            </w:pPr>
            <w:r>
              <w:t>IPD-15</w:t>
            </w:r>
          </w:p>
        </w:tc>
      </w:tr>
      <w:tr w:rsidR="009A51D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AF7719" w:rsidRDefault="00C46825">
            <w:pPr>
              <w:tabs>
                <w:tab w:val="center" w:pos="4680"/>
                <w:tab w:val="right" w:pos="9360"/>
              </w:tabs>
              <w:jc w:val="center"/>
            </w:pPr>
            <w:r>
              <w:t>HB19–22</w:t>
            </w:r>
          </w:p>
        </w:tc>
        <w:tc>
          <w:tcPr>
            <w:tcW w:w="1966" w:type="dxa"/>
            <w:tcBorders>
              <w:top w:val="nil"/>
              <w:left w:val="nil"/>
              <w:bottom w:val="single" w:sz="4" w:space="0" w:color="808080"/>
              <w:right w:val="single" w:sz="4" w:space="0" w:color="808080"/>
            </w:tcBorders>
            <w:noWrap/>
            <w:vAlign w:val="bottom"/>
          </w:tcPr>
          <w:p w:rsidR="00AF7719" w:rsidRDefault="00C46825">
            <w:pPr>
              <w:tabs>
                <w:tab w:val="center" w:pos="4680"/>
                <w:tab w:val="right" w:pos="9360"/>
              </w:tabs>
              <w:jc w:val="center"/>
            </w:pPr>
            <w:r>
              <w:t>IPD-16</w:t>
            </w:r>
          </w:p>
        </w:tc>
      </w:tr>
      <w:tr w:rsidR="009A51D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AF7719" w:rsidRDefault="00C46825">
            <w:pPr>
              <w:tabs>
                <w:tab w:val="center" w:pos="4680"/>
                <w:tab w:val="right" w:pos="9360"/>
              </w:tabs>
              <w:jc w:val="center"/>
            </w:pPr>
            <w:r>
              <w:t>Weekend/ Holiday (HB07–22)</w:t>
            </w:r>
          </w:p>
        </w:tc>
        <w:tc>
          <w:tcPr>
            <w:tcW w:w="1966" w:type="dxa"/>
            <w:tcBorders>
              <w:top w:val="nil"/>
              <w:left w:val="nil"/>
              <w:bottom w:val="single" w:sz="4" w:space="0" w:color="808080"/>
              <w:right w:val="single" w:sz="4" w:space="0" w:color="808080"/>
            </w:tcBorders>
            <w:noWrap/>
            <w:vAlign w:val="bottom"/>
          </w:tcPr>
          <w:p w:rsidR="00AF7719" w:rsidRDefault="00C46825">
            <w:pPr>
              <w:tabs>
                <w:tab w:val="center" w:pos="4680"/>
                <w:tab w:val="right" w:pos="9360"/>
              </w:tabs>
              <w:jc w:val="center"/>
            </w:pPr>
            <w:r>
              <w:t>IPD-17</w:t>
            </w:r>
          </w:p>
        </w:tc>
      </w:tr>
      <w:tr w:rsidR="009A51D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AF7719" w:rsidRDefault="00C46825">
            <w:pPr>
              <w:tabs>
                <w:tab w:val="center" w:pos="4680"/>
                <w:tab w:val="right" w:pos="9360"/>
              </w:tabs>
              <w:jc w:val="center"/>
            </w:pPr>
            <w:r>
              <w:t>Night (HB23–06)</w:t>
            </w:r>
          </w:p>
        </w:tc>
        <w:tc>
          <w:tcPr>
            <w:tcW w:w="1966" w:type="dxa"/>
            <w:tcBorders>
              <w:top w:val="nil"/>
              <w:left w:val="nil"/>
              <w:bottom w:val="single" w:sz="4" w:space="0" w:color="808080"/>
              <w:right w:val="single" w:sz="4" w:space="0" w:color="808080"/>
            </w:tcBorders>
            <w:noWrap/>
            <w:vAlign w:val="bottom"/>
          </w:tcPr>
          <w:p w:rsidR="00AF7719" w:rsidRDefault="00C46825">
            <w:pPr>
              <w:tabs>
                <w:tab w:val="center" w:pos="4680"/>
                <w:tab w:val="right" w:pos="9360"/>
              </w:tabs>
              <w:jc w:val="center"/>
            </w:pPr>
            <w:r>
              <w:t>IPD-18</w:t>
            </w:r>
          </w:p>
        </w:tc>
      </w:tr>
    </w:tbl>
    <w:p w:rsidR="00AF7719" w:rsidRDefault="00C46825">
      <w:pPr>
        <w:pStyle w:val="Bodypara"/>
        <w:keepNext/>
        <w:spacing w:before="120" w:after="120" w:line="240" w:lineRule="auto"/>
      </w:pPr>
      <w:r>
        <w:t>Where:</w:t>
      </w:r>
    </w:p>
    <w:p w:rsidR="00AF7719" w:rsidRDefault="00C46825">
      <w:pPr>
        <w:pStyle w:val="equationtext"/>
      </w:pPr>
      <w:r>
        <w:t>Summer</w:t>
      </w:r>
      <w:r>
        <w:tab/>
      </w:r>
      <w:r>
        <w:tab/>
      </w:r>
      <w:r>
        <w:tab/>
        <w:t>=</w:t>
      </w:r>
      <w:r>
        <w:tab/>
      </w:r>
      <w:r>
        <w:t>May, June, July, and August</w:t>
      </w:r>
    </w:p>
    <w:p w:rsidR="00AF7719" w:rsidRDefault="00C46825">
      <w:pPr>
        <w:pStyle w:val="equationtext"/>
      </w:pPr>
      <w:r>
        <w:t>Winter</w:t>
      </w:r>
      <w:r>
        <w:tab/>
      </w:r>
      <w:r>
        <w:tab/>
      </w:r>
      <w:r>
        <w:tab/>
        <w:t>=</w:t>
      </w:r>
      <w:r>
        <w:tab/>
        <w:t>December, January, and February</w:t>
      </w:r>
    </w:p>
    <w:p w:rsidR="00AF7719" w:rsidRDefault="00C46825">
      <w:pPr>
        <w:pStyle w:val="equationtext"/>
      </w:pPr>
      <w:r>
        <w:t>Rest-of-Year</w:t>
      </w:r>
      <w:r>
        <w:tab/>
      </w:r>
      <w:r>
        <w:tab/>
        <w:t>=</w:t>
      </w:r>
      <w:r>
        <w:tab/>
        <w:t>March, April, September, October, and November</w:t>
      </w:r>
    </w:p>
    <w:p w:rsidR="00AF7719" w:rsidRDefault="00C46825">
      <w:pPr>
        <w:pStyle w:val="equationtext"/>
      </w:pPr>
      <w:r>
        <w:t>HB07–10</w:t>
      </w:r>
      <w:r>
        <w:tab/>
      </w:r>
      <w:r>
        <w:tab/>
        <w:t>=</w:t>
      </w:r>
      <w:r>
        <w:tab/>
        <w:t>weekday hours beginning 07:00–10:00</w:t>
      </w:r>
    </w:p>
    <w:p w:rsidR="00AF7719" w:rsidRDefault="00C46825">
      <w:pPr>
        <w:pStyle w:val="equationtext"/>
      </w:pPr>
      <w:r>
        <w:t>HB11–14</w:t>
      </w:r>
      <w:r>
        <w:tab/>
      </w:r>
      <w:r>
        <w:tab/>
        <w:t>=</w:t>
      </w:r>
      <w:r>
        <w:tab/>
        <w:t>weekday hours beginning 11:00–14:00</w:t>
      </w:r>
    </w:p>
    <w:p w:rsidR="00AF7719" w:rsidRDefault="00C46825">
      <w:pPr>
        <w:pStyle w:val="equationtext"/>
      </w:pPr>
      <w:r>
        <w:t>HB15–18</w:t>
      </w:r>
      <w:r>
        <w:tab/>
      </w:r>
      <w:r>
        <w:tab/>
        <w:t>=</w:t>
      </w:r>
      <w:r>
        <w:tab/>
        <w:t>weekday hours beg</w:t>
      </w:r>
      <w:r>
        <w:t>inning 15:00–18:00</w:t>
      </w:r>
    </w:p>
    <w:p w:rsidR="00AF7719" w:rsidRDefault="00C46825">
      <w:pPr>
        <w:pStyle w:val="equationtext"/>
      </w:pPr>
      <w:r>
        <w:t>HB19–22</w:t>
      </w:r>
      <w:r>
        <w:tab/>
      </w:r>
      <w:r>
        <w:tab/>
        <w:t>=</w:t>
      </w:r>
      <w:r>
        <w:tab/>
        <w:t>weekday hours beginning 19:00– 22:00</w:t>
      </w:r>
    </w:p>
    <w:p w:rsidR="00AF7719" w:rsidRDefault="00C46825">
      <w:pPr>
        <w:pStyle w:val="equationtext"/>
      </w:pPr>
      <w:r>
        <w:t xml:space="preserve">Weekend/Holiday </w:t>
      </w:r>
      <w:r>
        <w:tab/>
        <w:t>=</w:t>
      </w:r>
      <w:r>
        <w:tab/>
        <w:t>weekend and holiday hours beginning 07:00–22:00</w:t>
      </w:r>
    </w:p>
    <w:p w:rsidR="00AF7719" w:rsidRDefault="00C46825">
      <w:pPr>
        <w:pStyle w:val="equationtext"/>
      </w:pPr>
      <w:r>
        <w:t>Night</w:t>
      </w:r>
      <w:r>
        <w:tab/>
      </w:r>
      <w:r>
        <w:tab/>
      </w:r>
      <w:r>
        <w:tab/>
        <w:t>=</w:t>
      </w:r>
      <w:r>
        <w:tab/>
        <w:t>all hours beginning 23:00– 06:00</w:t>
      </w:r>
    </w:p>
    <w:p w:rsidR="00AF7719" w:rsidRDefault="00C46825">
      <w:pPr>
        <w:pStyle w:val="equationtext"/>
        <w:ind w:left="0" w:firstLine="0"/>
      </w:pPr>
    </w:p>
    <w:p w:rsidR="00AF7719" w:rsidRDefault="00C46825">
      <w:pPr>
        <w:keepNext/>
        <w:spacing w:line="480" w:lineRule="auto"/>
        <w:ind w:left="1627" w:hanging="907"/>
        <w:jc w:val="center"/>
        <w:rPr>
          <w:b/>
        </w:rPr>
      </w:pPr>
      <w:r>
        <w:rPr>
          <w:b/>
        </w:rPr>
        <w:t>Export Price Differential (EPD) Groups</w:t>
      </w:r>
    </w:p>
    <w:tbl>
      <w:tblPr>
        <w:tblW w:w="5130" w:type="dxa"/>
        <w:tblInd w:w="2448" w:type="dxa"/>
        <w:tblLook w:val="0000" w:firstRow="0" w:lastRow="0" w:firstColumn="0" w:lastColumn="0" w:noHBand="0" w:noVBand="0"/>
      </w:tblPr>
      <w:tblGrid>
        <w:gridCol w:w="3254"/>
        <w:gridCol w:w="1876"/>
      </w:tblGrid>
      <w:tr w:rsidR="009A51D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AF7719" w:rsidRDefault="00C46825">
            <w:pPr>
              <w:jc w:val="center"/>
              <w:rPr>
                <w:b/>
              </w:rPr>
            </w:pPr>
            <w:r>
              <w:rPr>
                <w:b/>
              </w:rPr>
              <w:t>Summer</w:t>
            </w:r>
          </w:p>
        </w:tc>
        <w:tc>
          <w:tcPr>
            <w:tcW w:w="1876" w:type="dxa"/>
            <w:tcBorders>
              <w:top w:val="nil"/>
              <w:left w:val="nil"/>
              <w:bottom w:val="single" w:sz="4" w:space="0" w:color="808080"/>
              <w:right w:val="single" w:sz="4" w:space="0" w:color="808080"/>
            </w:tcBorders>
            <w:shd w:val="clear" w:color="auto" w:fill="C0C0C0"/>
            <w:noWrap/>
            <w:vAlign w:val="bottom"/>
          </w:tcPr>
          <w:p w:rsidR="00AF7719" w:rsidRDefault="00C46825">
            <w:pPr>
              <w:jc w:val="center"/>
              <w:rPr>
                <w:b/>
              </w:rPr>
            </w:pPr>
            <w:r>
              <w:rPr>
                <w:b/>
              </w:rPr>
              <w:t>For each Proxy Generator Bus</w:t>
            </w:r>
          </w:p>
        </w:tc>
      </w:tr>
      <w:tr w:rsidR="009A51D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AF7719" w:rsidRDefault="00C46825">
            <w:pPr>
              <w:jc w:val="center"/>
            </w:pPr>
            <w:r>
              <w:t>HB07–10</w:t>
            </w:r>
          </w:p>
        </w:tc>
        <w:tc>
          <w:tcPr>
            <w:tcW w:w="1876" w:type="dxa"/>
            <w:tcBorders>
              <w:top w:val="nil"/>
              <w:left w:val="nil"/>
              <w:bottom w:val="single" w:sz="4" w:space="0" w:color="808080"/>
              <w:right w:val="single" w:sz="4" w:space="0" w:color="808080"/>
            </w:tcBorders>
            <w:noWrap/>
            <w:vAlign w:val="bottom"/>
          </w:tcPr>
          <w:p w:rsidR="00AF7719" w:rsidRDefault="00C46825">
            <w:pPr>
              <w:jc w:val="center"/>
            </w:pPr>
            <w:r>
              <w:t>EPD-1</w:t>
            </w:r>
          </w:p>
        </w:tc>
      </w:tr>
      <w:tr w:rsidR="009A51D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AF7719" w:rsidRDefault="00C46825">
            <w:pPr>
              <w:jc w:val="center"/>
            </w:pPr>
            <w:r>
              <w:t>HB11–14</w:t>
            </w:r>
          </w:p>
        </w:tc>
        <w:tc>
          <w:tcPr>
            <w:tcW w:w="1876" w:type="dxa"/>
            <w:tcBorders>
              <w:top w:val="nil"/>
              <w:left w:val="nil"/>
              <w:bottom w:val="single" w:sz="4" w:space="0" w:color="808080"/>
              <w:right w:val="single" w:sz="4" w:space="0" w:color="808080"/>
            </w:tcBorders>
            <w:noWrap/>
            <w:vAlign w:val="bottom"/>
          </w:tcPr>
          <w:p w:rsidR="00AF7719" w:rsidRDefault="00C46825">
            <w:pPr>
              <w:jc w:val="center"/>
            </w:pPr>
            <w:r>
              <w:t>EPD-2</w:t>
            </w:r>
          </w:p>
        </w:tc>
      </w:tr>
      <w:tr w:rsidR="009A51D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AF7719" w:rsidRDefault="00C46825">
            <w:pPr>
              <w:jc w:val="center"/>
            </w:pPr>
            <w:r>
              <w:t>HB15–18</w:t>
            </w:r>
          </w:p>
        </w:tc>
        <w:tc>
          <w:tcPr>
            <w:tcW w:w="1876" w:type="dxa"/>
            <w:tcBorders>
              <w:top w:val="nil"/>
              <w:left w:val="nil"/>
              <w:bottom w:val="single" w:sz="4" w:space="0" w:color="808080"/>
              <w:right w:val="single" w:sz="4" w:space="0" w:color="808080"/>
            </w:tcBorders>
            <w:noWrap/>
            <w:vAlign w:val="bottom"/>
          </w:tcPr>
          <w:p w:rsidR="00AF7719" w:rsidRDefault="00C46825">
            <w:pPr>
              <w:jc w:val="center"/>
            </w:pPr>
            <w:r>
              <w:t>EPD-3</w:t>
            </w:r>
          </w:p>
        </w:tc>
      </w:tr>
      <w:tr w:rsidR="009A51D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AF7719" w:rsidRDefault="00C46825">
            <w:pPr>
              <w:jc w:val="center"/>
            </w:pPr>
            <w:r>
              <w:t>HB19–22</w:t>
            </w:r>
          </w:p>
        </w:tc>
        <w:tc>
          <w:tcPr>
            <w:tcW w:w="1876" w:type="dxa"/>
            <w:tcBorders>
              <w:top w:val="nil"/>
              <w:left w:val="nil"/>
              <w:bottom w:val="single" w:sz="4" w:space="0" w:color="808080"/>
              <w:right w:val="single" w:sz="4" w:space="0" w:color="808080"/>
            </w:tcBorders>
            <w:noWrap/>
            <w:vAlign w:val="bottom"/>
          </w:tcPr>
          <w:p w:rsidR="00AF7719" w:rsidRDefault="00C46825">
            <w:pPr>
              <w:jc w:val="center"/>
            </w:pPr>
            <w:r>
              <w:t>EPD-4</w:t>
            </w:r>
          </w:p>
        </w:tc>
      </w:tr>
      <w:tr w:rsidR="009A51D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AF7719" w:rsidRDefault="00C46825">
            <w:pPr>
              <w:jc w:val="center"/>
            </w:pPr>
            <w:r>
              <w:t>Weekend/ Holiday (HB07–22)</w:t>
            </w:r>
          </w:p>
        </w:tc>
        <w:tc>
          <w:tcPr>
            <w:tcW w:w="1876" w:type="dxa"/>
            <w:tcBorders>
              <w:top w:val="nil"/>
              <w:left w:val="nil"/>
              <w:bottom w:val="single" w:sz="4" w:space="0" w:color="808080"/>
              <w:right w:val="single" w:sz="4" w:space="0" w:color="808080"/>
            </w:tcBorders>
            <w:noWrap/>
            <w:vAlign w:val="bottom"/>
          </w:tcPr>
          <w:p w:rsidR="00AF7719" w:rsidRDefault="00C46825">
            <w:pPr>
              <w:jc w:val="center"/>
            </w:pPr>
            <w:r>
              <w:t>EPD-5</w:t>
            </w:r>
          </w:p>
        </w:tc>
      </w:tr>
      <w:tr w:rsidR="009A51D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AF7719" w:rsidRDefault="00C46825">
            <w:pPr>
              <w:jc w:val="center"/>
            </w:pPr>
            <w:r>
              <w:t>Night (HB23–06)</w:t>
            </w:r>
          </w:p>
        </w:tc>
        <w:tc>
          <w:tcPr>
            <w:tcW w:w="1876" w:type="dxa"/>
            <w:tcBorders>
              <w:top w:val="nil"/>
              <w:left w:val="nil"/>
              <w:bottom w:val="single" w:sz="4" w:space="0" w:color="808080"/>
              <w:right w:val="single" w:sz="4" w:space="0" w:color="808080"/>
            </w:tcBorders>
            <w:noWrap/>
            <w:vAlign w:val="bottom"/>
          </w:tcPr>
          <w:p w:rsidR="00AF7719" w:rsidRDefault="00C46825">
            <w:pPr>
              <w:tabs>
                <w:tab w:val="center" w:pos="4680"/>
                <w:tab w:val="right" w:pos="9360"/>
              </w:tabs>
              <w:jc w:val="center"/>
            </w:pPr>
            <w:r>
              <w:t>EPD-6</w:t>
            </w:r>
          </w:p>
        </w:tc>
      </w:tr>
      <w:tr w:rsidR="009A51D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AF7719" w:rsidRDefault="00C46825">
            <w:pPr>
              <w:tabs>
                <w:tab w:val="center" w:pos="4680"/>
                <w:tab w:val="right" w:pos="9360"/>
              </w:tabs>
              <w:jc w:val="center"/>
              <w:rPr>
                <w:b/>
              </w:rPr>
            </w:pPr>
            <w:r>
              <w:rPr>
                <w:b/>
              </w:rPr>
              <w:t>Winter</w:t>
            </w:r>
          </w:p>
        </w:tc>
        <w:tc>
          <w:tcPr>
            <w:tcW w:w="1876" w:type="dxa"/>
            <w:tcBorders>
              <w:top w:val="nil"/>
              <w:left w:val="nil"/>
              <w:bottom w:val="single" w:sz="4" w:space="0" w:color="808080"/>
              <w:right w:val="single" w:sz="4" w:space="0" w:color="808080"/>
            </w:tcBorders>
            <w:noWrap/>
            <w:vAlign w:val="bottom"/>
          </w:tcPr>
          <w:p w:rsidR="00AF7719" w:rsidRDefault="00C46825">
            <w:pPr>
              <w:jc w:val="center"/>
            </w:pPr>
          </w:p>
        </w:tc>
      </w:tr>
      <w:tr w:rsidR="009A51D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AF7719" w:rsidRDefault="00C46825">
            <w:pPr>
              <w:jc w:val="center"/>
            </w:pPr>
            <w:r>
              <w:t>HB07–10</w:t>
            </w:r>
          </w:p>
        </w:tc>
        <w:tc>
          <w:tcPr>
            <w:tcW w:w="1876" w:type="dxa"/>
            <w:tcBorders>
              <w:top w:val="nil"/>
              <w:left w:val="nil"/>
              <w:bottom w:val="single" w:sz="4" w:space="0" w:color="808080"/>
              <w:right w:val="single" w:sz="4" w:space="0" w:color="808080"/>
            </w:tcBorders>
            <w:noWrap/>
            <w:vAlign w:val="bottom"/>
          </w:tcPr>
          <w:p w:rsidR="00AF7719" w:rsidRDefault="00C46825">
            <w:pPr>
              <w:jc w:val="center"/>
            </w:pPr>
            <w:r>
              <w:t>EPD-7</w:t>
            </w:r>
          </w:p>
        </w:tc>
      </w:tr>
      <w:tr w:rsidR="009A51D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AF7719" w:rsidRDefault="00C46825">
            <w:pPr>
              <w:jc w:val="center"/>
            </w:pPr>
            <w:r>
              <w:t>HB11–14</w:t>
            </w:r>
          </w:p>
        </w:tc>
        <w:tc>
          <w:tcPr>
            <w:tcW w:w="1876" w:type="dxa"/>
            <w:tcBorders>
              <w:top w:val="nil"/>
              <w:left w:val="nil"/>
              <w:bottom w:val="single" w:sz="4" w:space="0" w:color="808080"/>
              <w:right w:val="single" w:sz="4" w:space="0" w:color="808080"/>
            </w:tcBorders>
            <w:noWrap/>
            <w:vAlign w:val="bottom"/>
          </w:tcPr>
          <w:p w:rsidR="00AF7719" w:rsidRDefault="00C46825">
            <w:pPr>
              <w:jc w:val="center"/>
            </w:pPr>
            <w:r>
              <w:t>EPD-8</w:t>
            </w:r>
          </w:p>
        </w:tc>
      </w:tr>
      <w:tr w:rsidR="009A51D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AF7719" w:rsidRDefault="00C46825">
            <w:pPr>
              <w:jc w:val="center"/>
            </w:pPr>
            <w:r>
              <w:t>HB15–18</w:t>
            </w:r>
          </w:p>
        </w:tc>
        <w:tc>
          <w:tcPr>
            <w:tcW w:w="1876" w:type="dxa"/>
            <w:tcBorders>
              <w:top w:val="nil"/>
              <w:left w:val="nil"/>
              <w:bottom w:val="single" w:sz="4" w:space="0" w:color="808080"/>
              <w:right w:val="single" w:sz="4" w:space="0" w:color="808080"/>
            </w:tcBorders>
            <w:noWrap/>
            <w:vAlign w:val="bottom"/>
          </w:tcPr>
          <w:p w:rsidR="00AF7719" w:rsidRDefault="00C46825">
            <w:pPr>
              <w:jc w:val="center"/>
            </w:pPr>
            <w:r>
              <w:t>EPD-9</w:t>
            </w:r>
          </w:p>
        </w:tc>
      </w:tr>
      <w:tr w:rsidR="009A51D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AF7719" w:rsidRDefault="00C46825">
            <w:pPr>
              <w:jc w:val="center"/>
            </w:pPr>
            <w:r>
              <w:t>HB19–22</w:t>
            </w:r>
          </w:p>
        </w:tc>
        <w:tc>
          <w:tcPr>
            <w:tcW w:w="1876" w:type="dxa"/>
            <w:tcBorders>
              <w:top w:val="nil"/>
              <w:left w:val="nil"/>
              <w:bottom w:val="single" w:sz="4" w:space="0" w:color="808080"/>
              <w:right w:val="single" w:sz="4" w:space="0" w:color="808080"/>
            </w:tcBorders>
            <w:noWrap/>
            <w:vAlign w:val="bottom"/>
          </w:tcPr>
          <w:p w:rsidR="00AF7719" w:rsidRDefault="00C46825">
            <w:pPr>
              <w:jc w:val="center"/>
            </w:pPr>
            <w:r>
              <w:t>EPD-10</w:t>
            </w:r>
          </w:p>
        </w:tc>
      </w:tr>
      <w:tr w:rsidR="009A51D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AF7719" w:rsidRDefault="00C46825">
            <w:pPr>
              <w:jc w:val="center"/>
            </w:pPr>
            <w:r>
              <w:t>Weekend/ Holiday (HB07–22)</w:t>
            </w:r>
          </w:p>
        </w:tc>
        <w:tc>
          <w:tcPr>
            <w:tcW w:w="1876" w:type="dxa"/>
            <w:tcBorders>
              <w:top w:val="nil"/>
              <w:left w:val="nil"/>
              <w:bottom w:val="single" w:sz="4" w:space="0" w:color="808080"/>
              <w:right w:val="single" w:sz="4" w:space="0" w:color="808080"/>
            </w:tcBorders>
            <w:noWrap/>
            <w:vAlign w:val="bottom"/>
          </w:tcPr>
          <w:p w:rsidR="00AF7719" w:rsidRDefault="00C46825">
            <w:pPr>
              <w:jc w:val="center"/>
            </w:pPr>
            <w:r>
              <w:t>EPD-11</w:t>
            </w:r>
          </w:p>
        </w:tc>
      </w:tr>
      <w:tr w:rsidR="009A51D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AF7719" w:rsidRDefault="00C46825">
            <w:pPr>
              <w:jc w:val="center"/>
            </w:pPr>
            <w:r>
              <w:t>Night (HB23–06)</w:t>
            </w:r>
          </w:p>
        </w:tc>
        <w:tc>
          <w:tcPr>
            <w:tcW w:w="1876" w:type="dxa"/>
            <w:tcBorders>
              <w:top w:val="nil"/>
              <w:left w:val="nil"/>
              <w:bottom w:val="single" w:sz="4" w:space="0" w:color="808080"/>
              <w:right w:val="single" w:sz="4" w:space="0" w:color="808080"/>
            </w:tcBorders>
            <w:noWrap/>
            <w:vAlign w:val="bottom"/>
          </w:tcPr>
          <w:p w:rsidR="00AF7719" w:rsidRDefault="00C46825">
            <w:pPr>
              <w:jc w:val="center"/>
            </w:pPr>
            <w:r>
              <w:t>EPD-12</w:t>
            </w:r>
          </w:p>
        </w:tc>
      </w:tr>
      <w:tr w:rsidR="009A51D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AF7719" w:rsidRDefault="00C46825">
            <w:pPr>
              <w:jc w:val="center"/>
              <w:rPr>
                <w:b/>
              </w:rPr>
            </w:pPr>
            <w:r>
              <w:rPr>
                <w:b/>
              </w:rPr>
              <w:t>Rest-of-Year</w:t>
            </w:r>
          </w:p>
        </w:tc>
        <w:tc>
          <w:tcPr>
            <w:tcW w:w="1876" w:type="dxa"/>
            <w:tcBorders>
              <w:top w:val="nil"/>
              <w:left w:val="nil"/>
              <w:bottom w:val="single" w:sz="4" w:space="0" w:color="808080"/>
              <w:right w:val="single" w:sz="4" w:space="0" w:color="808080"/>
            </w:tcBorders>
            <w:noWrap/>
            <w:vAlign w:val="bottom"/>
          </w:tcPr>
          <w:p w:rsidR="00AF7719" w:rsidRDefault="00C46825">
            <w:pPr>
              <w:jc w:val="center"/>
            </w:pPr>
          </w:p>
        </w:tc>
      </w:tr>
      <w:tr w:rsidR="009A51D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AF7719" w:rsidRDefault="00C46825">
            <w:pPr>
              <w:jc w:val="center"/>
            </w:pPr>
            <w:r>
              <w:t>HB07–10</w:t>
            </w:r>
          </w:p>
        </w:tc>
        <w:tc>
          <w:tcPr>
            <w:tcW w:w="1876" w:type="dxa"/>
            <w:tcBorders>
              <w:top w:val="nil"/>
              <w:left w:val="nil"/>
              <w:bottom w:val="single" w:sz="4" w:space="0" w:color="808080"/>
              <w:right w:val="single" w:sz="4" w:space="0" w:color="808080"/>
            </w:tcBorders>
            <w:noWrap/>
            <w:vAlign w:val="bottom"/>
          </w:tcPr>
          <w:p w:rsidR="00AF7719" w:rsidRDefault="00C46825">
            <w:pPr>
              <w:jc w:val="center"/>
            </w:pPr>
            <w:r>
              <w:t>EPD-13</w:t>
            </w:r>
          </w:p>
        </w:tc>
      </w:tr>
      <w:tr w:rsidR="009A51D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AF7719" w:rsidRDefault="00C46825">
            <w:pPr>
              <w:jc w:val="center"/>
            </w:pPr>
            <w:r>
              <w:t>HB11–14</w:t>
            </w:r>
          </w:p>
        </w:tc>
        <w:tc>
          <w:tcPr>
            <w:tcW w:w="1876" w:type="dxa"/>
            <w:tcBorders>
              <w:top w:val="nil"/>
              <w:left w:val="nil"/>
              <w:bottom w:val="single" w:sz="4" w:space="0" w:color="808080"/>
              <w:right w:val="single" w:sz="4" w:space="0" w:color="808080"/>
            </w:tcBorders>
            <w:noWrap/>
            <w:vAlign w:val="bottom"/>
          </w:tcPr>
          <w:p w:rsidR="00AF7719" w:rsidRDefault="00C46825">
            <w:pPr>
              <w:jc w:val="center"/>
            </w:pPr>
            <w:r>
              <w:t>EPD-14</w:t>
            </w:r>
          </w:p>
        </w:tc>
      </w:tr>
      <w:tr w:rsidR="009A51D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AF7719" w:rsidRDefault="00C46825">
            <w:pPr>
              <w:jc w:val="center"/>
            </w:pPr>
            <w:r>
              <w:t>HB15–18</w:t>
            </w:r>
          </w:p>
        </w:tc>
        <w:tc>
          <w:tcPr>
            <w:tcW w:w="1876" w:type="dxa"/>
            <w:tcBorders>
              <w:top w:val="nil"/>
              <w:left w:val="nil"/>
              <w:bottom w:val="single" w:sz="4" w:space="0" w:color="808080"/>
              <w:right w:val="single" w:sz="4" w:space="0" w:color="808080"/>
            </w:tcBorders>
            <w:noWrap/>
            <w:vAlign w:val="bottom"/>
          </w:tcPr>
          <w:p w:rsidR="00AF7719" w:rsidRDefault="00C46825">
            <w:pPr>
              <w:jc w:val="center"/>
            </w:pPr>
            <w:r>
              <w:t>EPD-15</w:t>
            </w:r>
          </w:p>
        </w:tc>
      </w:tr>
      <w:tr w:rsidR="009A51D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AF7719" w:rsidRDefault="00C46825">
            <w:pPr>
              <w:jc w:val="center"/>
            </w:pPr>
            <w:r>
              <w:t>HB19–22</w:t>
            </w:r>
          </w:p>
        </w:tc>
        <w:tc>
          <w:tcPr>
            <w:tcW w:w="1876" w:type="dxa"/>
            <w:tcBorders>
              <w:top w:val="nil"/>
              <w:left w:val="nil"/>
              <w:bottom w:val="single" w:sz="4" w:space="0" w:color="808080"/>
              <w:right w:val="single" w:sz="4" w:space="0" w:color="808080"/>
            </w:tcBorders>
            <w:noWrap/>
            <w:vAlign w:val="bottom"/>
          </w:tcPr>
          <w:p w:rsidR="00AF7719" w:rsidRDefault="00C46825">
            <w:pPr>
              <w:jc w:val="center"/>
            </w:pPr>
            <w:r>
              <w:t>EPD-16</w:t>
            </w:r>
          </w:p>
        </w:tc>
      </w:tr>
      <w:tr w:rsidR="009A51D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AF7719" w:rsidRDefault="00C46825">
            <w:pPr>
              <w:jc w:val="center"/>
            </w:pPr>
            <w:r>
              <w:t>Weekend/ Holiday (HB07–22)</w:t>
            </w:r>
          </w:p>
        </w:tc>
        <w:tc>
          <w:tcPr>
            <w:tcW w:w="1876" w:type="dxa"/>
            <w:tcBorders>
              <w:top w:val="nil"/>
              <w:left w:val="nil"/>
              <w:bottom w:val="single" w:sz="4" w:space="0" w:color="808080"/>
              <w:right w:val="single" w:sz="4" w:space="0" w:color="808080"/>
            </w:tcBorders>
            <w:noWrap/>
            <w:vAlign w:val="bottom"/>
          </w:tcPr>
          <w:p w:rsidR="00AF7719" w:rsidRDefault="00C46825">
            <w:pPr>
              <w:jc w:val="center"/>
            </w:pPr>
            <w:r>
              <w:t>EPD-17</w:t>
            </w:r>
          </w:p>
        </w:tc>
      </w:tr>
      <w:tr w:rsidR="009A51D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AF7719" w:rsidRDefault="00C46825">
            <w:pPr>
              <w:jc w:val="center"/>
            </w:pPr>
            <w:r>
              <w:t>Night (HB23–06)</w:t>
            </w:r>
          </w:p>
        </w:tc>
        <w:tc>
          <w:tcPr>
            <w:tcW w:w="1876" w:type="dxa"/>
            <w:tcBorders>
              <w:top w:val="nil"/>
              <w:left w:val="nil"/>
              <w:bottom w:val="single" w:sz="4" w:space="0" w:color="808080"/>
              <w:right w:val="single" w:sz="4" w:space="0" w:color="808080"/>
            </w:tcBorders>
            <w:noWrap/>
            <w:vAlign w:val="bottom"/>
          </w:tcPr>
          <w:p w:rsidR="00AF7719" w:rsidRDefault="00C46825">
            <w:pPr>
              <w:jc w:val="center"/>
            </w:pPr>
            <w:r>
              <w:t>EPD-18</w:t>
            </w:r>
          </w:p>
        </w:tc>
      </w:tr>
    </w:tbl>
    <w:p w:rsidR="00AF7719" w:rsidRDefault="00C46825">
      <w:pPr>
        <w:ind w:left="1627"/>
      </w:pPr>
    </w:p>
    <w:p w:rsidR="00AF7719" w:rsidRDefault="00C46825">
      <w:pPr>
        <w:pStyle w:val="Bodypara"/>
      </w:pPr>
      <w:r>
        <w:t>Where:</w:t>
      </w:r>
    </w:p>
    <w:p w:rsidR="00AF7719" w:rsidRDefault="00C46825">
      <w:pPr>
        <w:pStyle w:val="equationtext"/>
      </w:pPr>
      <w:r>
        <w:t>Summer</w:t>
      </w:r>
      <w:r>
        <w:tab/>
      </w:r>
      <w:r>
        <w:tab/>
      </w:r>
      <w:r>
        <w:tab/>
        <w:t>=</w:t>
      </w:r>
      <w:r>
        <w:tab/>
        <w:t>May, June, July, and August</w:t>
      </w:r>
    </w:p>
    <w:p w:rsidR="00AF7719" w:rsidRDefault="00C46825">
      <w:pPr>
        <w:pStyle w:val="equationtext"/>
      </w:pPr>
      <w:r>
        <w:t>Winter</w:t>
      </w:r>
      <w:r>
        <w:tab/>
      </w:r>
      <w:r>
        <w:tab/>
      </w:r>
      <w:r>
        <w:tab/>
        <w:t>=</w:t>
      </w:r>
      <w:r>
        <w:tab/>
        <w:t>December, January, and February</w:t>
      </w:r>
    </w:p>
    <w:p w:rsidR="00AF7719" w:rsidRDefault="00C46825">
      <w:pPr>
        <w:pStyle w:val="equationtext"/>
      </w:pPr>
      <w:r>
        <w:t>Rest-of-Year</w:t>
      </w:r>
      <w:r>
        <w:tab/>
      </w:r>
      <w:r>
        <w:tab/>
        <w:t>=</w:t>
      </w:r>
      <w:r>
        <w:tab/>
        <w:t xml:space="preserve">March, </w:t>
      </w:r>
      <w:r>
        <w:t>April, September, October, and November</w:t>
      </w:r>
    </w:p>
    <w:p w:rsidR="00AF7719" w:rsidRDefault="00C46825">
      <w:pPr>
        <w:pStyle w:val="equationtext"/>
      </w:pPr>
      <w:r>
        <w:t>HB07–10</w:t>
      </w:r>
      <w:r>
        <w:tab/>
      </w:r>
      <w:r>
        <w:tab/>
        <w:t>=</w:t>
      </w:r>
      <w:r>
        <w:tab/>
        <w:t>weekday hours beginning 07:00–10:00</w:t>
      </w:r>
    </w:p>
    <w:p w:rsidR="00AF7719" w:rsidRDefault="00C46825">
      <w:pPr>
        <w:pStyle w:val="equationtext"/>
      </w:pPr>
      <w:r>
        <w:t>HB11–14</w:t>
      </w:r>
      <w:r>
        <w:tab/>
      </w:r>
      <w:r>
        <w:tab/>
        <w:t>=</w:t>
      </w:r>
      <w:r>
        <w:tab/>
        <w:t>weekday hours beginning 11:00–14:00</w:t>
      </w:r>
    </w:p>
    <w:p w:rsidR="00AF7719" w:rsidRDefault="00C46825">
      <w:pPr>
        <w:pStyle w:val="equationtext"/>
      </w:pPr>
      <w:r>
        <w:t>HB15–18</w:t>
      </w:r>
      <w:r>
        <w:tab/>
      </w:r>
      <w:r>
        <w:tab/>
        <w:t>=</w:t>
      </w:r>
      <w:r>
        <w:tab/>
        <w:t>weekday hours beginning 15:00–18:00</w:t>
      </w:r>
    </w:p>
    <w:p w:rsidR="00AF7719" w:rsidRDefault="00C46825">
      <w:pPr>
        <w:pStyle w:val="equationtext"/>
      </w:pPr>
      <w:r>
        <w:t>HB19–22</w:t>
      </w:r>
      <w:r>
        <w:tab/>
      </w:r>
      <w:r>
        <w:tab/>
        <w:t>=</w:t>
      </w:r>
      <w:r>
        <w:tab/>
        <w:t>weekday hours beginning 19:00– 22:00</w:t>
      </w:r>
    </w:p>
    <w:p w:rsidR="00AF7719" w:rsidRDefault="00C46825">
      <w:pPr>
        <w:pStyle w:val="equationtext"/>
      </w:pPr>
      <w:r>
        <w:t xml:space="preserve">Weekend/Holiday </w:t>
      </w:r>
      <w:r>
        <w:tab/>
        <w:t>=</w:t>
      </w:r>
      <w:r>
        <w:tab/>
        <w:t xml:space="preserve">weekend </w:t>
      </w:r>
      <w:r>
        <w:t>and holiday hours beginning 07:00–22:00</w:t>
      </w:r>
    </w:p>
    <w:p w:rsidR="00AF7719" w:rsidRDefault="00C46825">
      <w:pPr>
        <w:pStyle w:val="equationtext"/>
      </w:pPr>
      <w:r>
        <w:t>Night</w:t>
      </w:r>
      <w:r>
        <w:tab/>
      </w:r>
      <w:r>
        <w:tab/>
      </w:r>
      <w:r>
        <w:tab/>
        <w:t>=</w:t>
      </w:r>
      <w:r>
        <w:tab/>
        <w:t>all hours beginning 23:00– 06:00</w:t>
      </w:r>
    </w:p>
    <w:p w:rsidR="00AF7719" w:rsidRDefault="00C46825">
      <w:pPr>
        <w:pStyle w:val="equationtext"/>
        <w:rPr>
          <w:color w:val="FF0000"/>
        </w:rPr>
      </w:pPr>
    </w:p>
    <w:p w:rsidR="00AF7719" w:rsidRDefault="00C46825">
      <w:pPr>
        <w:pStyle w:val="Heading4"/>
      </w:pPr>
      <w:r>
        <w:t>26.4.2.3</w:t>
      </w:r>
      <w:r>
        <w:tab/>
        <w:t>UCAP Component</w:t>
      </w:r>
      <w:bookmarkEnd w:id="12"/>
      <w:r>
        <w:t xml:space="preserve">  </w:t>
      </w:r>
    </w:p>
    <w:p w:rsidR="00AF7719" w:rsidRDefault="00C46825">
      <w:pPr>
        <w:pStyle w:val="Bodypara"/>
        <w:rPr>
          <w:rFonts w:eastAsia="Arial Unicode MS"/>
        </w:rPr>
      </w:pPr>
      <w:r>
        <w:t>The UCAP Component shall be equal to the total of all amounts then-owed (billed and unbilled) for UCAP purchased in the ISO-administered markets.</w:t>
      </w:r>
    </w:p>
    <w:p w:rsidR="00AF7719" w:rsidRDefault="00C46825">
      <w:pPr>
        <w:pStyle w:val="Heading4"/>
      </w:pPr>
      <w:bookmarkStart w:id="13" w:name="_Toc263691837"/>
      <w:r>
        <w:t>26.4.2.4</w:t>
      </w:r>
      <w:r>
        <w:tab/>
        <w:t>TCC Component</w:t>
      </w:r>
      <w:bookmarkEnd w:id="13"/>
      <w:r>
        <w:t xml:space="preserve">  </w:t>
      </w:r>
    </w:p>
    <w:p w:rsidR="00AF7719" w:rsidRDefault="00C46825">
      <w:pPr>
        <w:pStyle w:val="Bodypara"/>
        <w:rPr>
          <w:bCs/>
        </w:rPr>
      </w:pPr>
      <w:r>
        <w:rPr>
          <w:bCs/>
        </w:rPr>
        <w:t xml:space="preserve">The TCC </w:t>
      </w:r>
      <w:r>
        <w:t>Component</w:t>
      </w:r>
      <w:r>
        <w:rPr>
          <w:bCs/>
        </w:rPr>
        <w:t xml:space="preserve"> shall be equal to the greater of either (a) the amount calculated in accordance with Section  26.4.2.4.1, or (b) Section 26.4.2.4.2 (Mark-to-Market Calculation) below; </w:t>
      </w:r>
      <w:r>
        <w:rPr>
          <w:bCs/>
          <w:i/>
        </w:rPr>
        <w:t>provided however</w:t>
      </w:r>
      <w:r>
        <w:rPr>
          <w:bCs/>
        </w:rPr>
        <w:t xml:space="preserve">, that upon initial award of </w:t>
      </w:r>
      <w:r>
        <w:rPr>
          <w:bCs/>
        </w:rPr>
        <w:t>a TCC until the ISO receives payment for the TCC (or payment for the first year of a two-year TCC), the ISO will hold the greater of the payment obligation for the TCC or the credit requirement for the TCC calculated in accordance with this Section 26.4.2.</w:t>
      </w:r>
      <w:r>
        <w:rPr>
          <w:bCs/>
        </w:rPr>
        <w:t xml:space="preserve">4. </w:t>
      </w:r>
    </w:p>
    <w:p w:rsidR="00AF7719" w:rsidRDefault="00C46825">
      <w:pPr>
        <w:pStyle w:val="Heading4"/>
        <w:rPr>
          <w:bCs/>
        </w:rPr>
      </w:pPr>
      <w:r>
        <w:rPr>
          <w:bCs/>
        </w:rPr>
        <w:t>26.4.2.4.1</w:t>
      </w:r>
      <w:r>
        <w:rPr>
          <w:bCs/>
        </w:rPr>
        <w:tab/>
        <w:t>Auction TCC Holding Requirement</w:t>
      </w:r>
    </w:p>
    <w:p w:rsidR="00AF7719" w:rsidRDefault="00C46825">
      <w:pPr>
        <w:pStyle w:val="Bodypara"/>
        <w:rPr>
          <w:bCs/>
        </w:rPr>
      </w:pPr>
      <w:r>
        <w:rPr>
          <w:bCs/>
        </w:rPr>
        <w:t>This Section 26.4.2.4.1 applies to TCCs awarded in the Centralized TCC Auction and Balance-of-Period Auction, as well as Fixed Price TCCs.</w:t>
      </w:r>
    </w:p>
    <w:p w:rsidR="00AF7719" w:rsidRDefault="00C46825">
      <w:pPr>
        <w:pStyle w:val="Bodypara"/>
        <w:rPr>
          <w:bCs/>
        </w:rPr>
      </w:pPr>
      <w:r>
        <w:rPr>
          <w:bCs/>
        </w:rPr>
        <w:t xml:space="preserve">The credit requirement pursuant to this Section 26.4.2.4.1 shall equal the sum of the amounts calculated in accordance with the appropriate per TCC term-based formulas listed below.  The ISO will not impose a credit requirement on TCCs that have been sold </w:t>
      </w:r>
      <w:r>
        <w:rPr>
          <w:bCs/>
        </w:rPr>
        <w:t xml:space="preserve">by a Market Participant in the Centralized TCC Auction or Balance-of-Period Auction. </w:t>
      </w:r>
    </w:p>
    <w:p w:rsidR="00AF7719" w:rsidRDefault="00C46825">
      <w:pPr>
        <w:pStyle w:val="Heading4"/>
      </w:pPr>
      <w:bookmarkStart w:id="14" w:name="_Toc263691838"/>
      <w:r>
        <w:t>26.4.2.4.1.1</w:t>
      </w:r>
      <w:r>
        <w:tab/>
        <w:t>Two-Year TCCs:</w:t>
      </w:r>
      <w:bookmarkEnd w:id="14"/>
    </w:p>
    <w:p w:rsidR="00AF7719" w:rsidRDefault="00C46825">
      <w:pPr>
        <w:pStyle w:val="alphapara"/>
      </w:pPr>
      <w:r>
        <w:t>(1)</w:t>
      </w:r>
      <w:r>
        <w:tab/>
        <w:t xml:space="preserve">upon </w:t>
      </w:r>
      <w:r>
        <w:rPr>
          <w:bCs/>
        </w:rPr>
        <w:t>initial</w:t>
      </w:r>
      <w:r>
        <w:t xml:space="preserve"> award of a two-year TCC (including a Fixed Price TCC with a two-year duration) until completion of the final round of the cur</w:t>
      </w:r>
      <w:r>
        <w:t>rent two-year Sub-Auction, the sum of the first year and second year amounts, which will be calculated as follows:</w:t>
      </w:r>
    </w:p>
    <w:p w:rsidR="00AF7719" w:rsidRDefault="00C46825">
      <w:pPr>
        <w:pStyle w:val="equationtext"/>
        <w:tabs>
          <w:tab w:val="clear" w:pos="1620"/>
        </w:tabs>
        <w:ind w:left="2880"/>
      </w:pPr>
      <w:r>
        <w:rPr>
          <w:u w:val="single"/>
        </w:rPr>
        <w:t>First Year</w:t>
      </w:r>
      <w:r>
        <w:t>:</w:t>
      </w:r>
    </w:p>
    <w:p w:rsidR="00AF7719" w:rsidRDefault="00C46825">
      <w:pPr>
        <w:ind w:left="1440"/>
      </w:pPr>
      <w:r>
        <w:t>the amount calculated in accordance with the one-year TCC formula set forth in Section 26.4.2.4.1.5 below</w:t>
      </w:r>
    </w:p>
    <w:p w:rsidR="00AF7719" w:rsidRDefault="00C46825">
      <w:pPr>
        <w:ind w:left="2160" w:hanging="2160"/>
      </w:pPr>
    </w:p>
    <w:p w:rsidR="00AF7719" w:rsidRDefault="00C46825">
      <w:pPr>
        <w:pStyle w:val="Bodypara"/>
        <w:ind w:left="1440" w:firstLine="90"/>
      </w:pPr>
      <w:r>
        <w:t>where:</w:t>
      </w:r>
    </w:p>
    <w:p w:rsidR="00AF7719" w:rsidRDefault="00C46825">
      <w:pPr>
        <w:pStyle w:val="equationtext"/>
        <w:tabs>
          <w:tab w:val="clear" w:pos="1620"/>
          <w:tab w:val="left" w:pos="2520"/>
        </w:tabs>
        <w:ind w:left="2520" w:hanging="1800"/>
      </w:pPr>
      <w:r>
        <w:t>P</w:t>
      </w:r>
      <w:r>
        <w:rPr>
          <w:vertAlign w:val="subscript"/>
        </w:rPr>
        <w:t>ijt</w:t>
      </w:r>
      <w:r>
        <w:tab/>
        <w:t>=</w:t>
      </w:r>
      <w:r>
        <w:tab/>
        <w:t>market c</w:t>
      </w:r>
      <w:r>
        <w:t>learing price of a one-year TCC in the final round of the one-year Sub-Auction in the prior Capability Period Centralized TCC Auction with the same POI and POW combination as the two-year TCC.</w:t>
      </w:r>
    </w:p>
    <w:p w:rsidR="00AF7719" w:rsidRDefault="00C46825">
      <w:pPr>
        <w:pStyle w:val="equationtext"/>
        <w:tabs>
          <w:tab w:val="clear" w:pos="1620"/>
        </w:tabs>
        <w:ind w:left="2880"/>
      </w:pPr>
      <w:r>
        <w:rPr>
          <w:u w:val="single"/>
        </w:rPr>
        <w:t>Second Year</w:t>
      </w:r>
      <w:r>
        <w:t>:</w:t>
      </w:r>
    </w:p>
    <w:p w:rsidR="00AF7719" w:rsidRDefault="00C46825">
      <w:pPr>
        <w:keepNext/>
        <w:ind w:left="720"/>
        <w:rPr>
          <w:b/>
        </w:rPr>
      </w:pPr>
      <w:r>
        <w:rPr>
          <w:noProof/>
        </w:rPr>
        <w:tab/>
      </w:r>
    </w:p>
    <w:p w:rsidR="00AF7719" w:rsidRDefault="00C46825">
      <w:pPr>
        <w:keepNext/>
        <w:rPr>
          <w:sz w:val="26"/>
          <w:szCs w:val="26"/>
        </w:rPr>
      </w:pPr>
      <m:oMathPara>
        <m:oMath>
          <m:r>
            <w:rPr>
              <w:rFonts w:ascii="Cambria Math" w:hAnsi="Cambria Math"/>
              <w:sz w:val="26"/>
              <w:szCs w:val="26"/>
            </w:rPr>
            <m:t>+1.909</m:t>
          </m:r>
          <m:rad>
            <m:radPr>
              <m:degHide m:val="1"/>
              <m:ctrlPr>
                <w:rPr>
                  <w:rFonts w:ascii="Cambria Math" w:hAnsi="Cambria Math"/>
                  <w:i/>
                  <w:sz w:val="26"/>
                  <w:szCs w:val="26"/>
                </w:rPr>
              </m:ctrlPr>
            </m:radPr>
            <m:deg/>
            <m:e>
              <m:sSup>
                <m:sSupPr>
                  <m:ctrlPr>
                    <w:rPr>
                      <w:rFonts w:ascii="Cambria Math" w:hAnsi="Cambria Math"/>
                      <w:i/>
                      <w:sz w:val="26"/>
                      <w:szCs w:val="26"/>
                    </w:rPr>
                  </m:ctrlPr>
                </m:sSupPr>
                <m:e>
                  <m:r>
                    <m:rPr>
                      <m:scr m:val="script"/>
                    </m:rPr>
                    <w:rPr>
                      <w:rFonts w:ascii="Cambria Math" w:hAnsi="Cambria Math"/>
                      <w:sz w:val="26"/>
                      <w:szCs w:val="26"/>
                    </w:rPr>
                    <m:t>e</m:t>
                  </m:r>
                </m:e>
                <m:sup>
                  <m:r>
                    <w:rPr>
                      <w:rFonts w:ascii="Cambria Math" w:hAnsi="Cambria Math"/>
                      <w:sz w:val="26"/>
                      <w:szCs w:val="26"/>
                    </w:rPr>
                    <m:t>10.9729 + .6514</m:t>
                  </m:r>
                  <m:d>
                    <m:dPr>
                      <m:ctrlPr>
                        <w:rPr>
                          <w:rFonts w:ascii="Cambria Math" w:hAnsi="Cambria Math"/>
                          <w:i/>
                          <w:sz w:val="26"/>
                          <w:szCs w:val="26"/>
                        </w:rPr>
                      </m:ctrlPr>
                    </m:dPr>
                    <m:e>
                      <m:r>
                        <w:rPr>
                          <w:rFonts w:ascii="Cambria Math" w:hAnsi="Cambria Math"/>
                          <w:sz w:val="26"/>
                          <w:szCs w:val="26"/>
                        </w:rPr>
                        <m:t>ln</m:t>
                      </m:r>
                      <m:d>
                        <m:dPr>
                          <m:ctrlPr>
                            <w:rPr>
                              <w:rFonts w:ascii="Cambria Math" w:hAnsi="Cambria Math"/>
                              <w:i/>
                              <w:sz w:val="26"/>
                              <w:szCs w:val="26"/>
                            </w:rPr>
                          </m:ctrlPr>
                        </m:dPr>
                        <m:e>
                          <m:d>
                            <m:dPr>
                              <m:begChr m:val="|"/>
                              <m:endChr m:val="|"/>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ijt</m:t>
                                  </m:r>
                                </m:sub>
                              </m:sSub>
                            </m:e>
                          </m:d>
                          <m:r>
                            <m:rPr>
                              <m:scr m:val="script"/>
                            </m:rPr>
                            <w:rPr>
                              <w:rFonts w:ascii="Cambria Math" w:hAnsi="Cambria Math"/>
                              <w:sz w:val="26"/>
                              <w:szCs w:val="26"/>
                            </w:rPr>
                            <m:t xml:space="preserve"> + e</m:t>
                          </m:r>
                        </m:e>
                      </m:d>
                    </m:e>
                  </m:d>
                  <m:r>
                    <w:rPr>
                      <w:rFonts w:ascii="Cambria Math" w:hAnsi="Cambria Math"/>
                      <w:sz w:val="26"/>
                      <w:szCs w:val="26"/>
                    </w:rPr>
                    <m:t xml:space="preserve"> + .6633 *</m:t>
                  </m:r>
                  <m:r>
                    <w:rPr>
                      <w:rFonts w:ascii="Cambria Math" w:hAnsi="Cambria Math"/>
                      <w:sz w:val="26"/>
                      <w:szCs w:val="26"/>
                    </w:rPr>
                    <m:t xml:space="preserve"> </m:t>
                  </m:r>
                  <m:r>
                    <w:rPr>
                      <w:rFonts w:ascii="Cambria Math" w:hAnsi="Cambria Math"/>
                      <w:sz w:val="26"/>
                      <w:szCs w:val="26"/>
                    </w:rPr>
                    <m:t>Zone</m:t>
                  </m:r>
                  <m:r>
                    <w:rPr>
                      <w:rFonts w:ascii="Cambria Math" w:hAnsi="Cambria Math"/>
                      <w:sz w:val="26"/>
                      <w:szCs w:val="26"/>
                    </w:rPr>
                    <m:t xml:space="preserve"> </m:t>
                  </m:r>
                  <m:r>
                    <w:rPr>
                      <w:rFonts w:ascii="Cambria Math" w:hAnsi="Cambria Math"/>
                      <w:sz w:val="26"/>
                      <w:szCs w:val="26"/>
                    </w:rPr>
                    <m:t>J</m:t>
                  </m:r>
                  <m:r>
                    <w:rPr>
                      <w:rFonts w:ascii="Cambria Math" w:hAnsi="Cambria Math"/>
                      <w:sz w:val="26"/>
                      <w:szCs w:val="26"/>
                    </w:rPr>
                    <m:t xml:space="preserve"> + 1.1607 * </m:t>
                  </m:r>
                  <m:r>
                    <w:rPr>
                      <w:rFonts w:ascii="Cambria Math" w:hAnsi="Cambria Math"/>
                      <w:sz w:val="26"/>
                      <w:szCs w:val="26"/>
                    </w:rPr>
                    <m:t>Zone</m:t>
                  </m:r>
                  <m:r>
                    <w:rPr>
                      <w:rFonts w:ascii="Cambria Math" w:hAnsi="Cambria Math"/>
                      <w:sz w:val="26"/>
                      <w:szCs w:val="26"/>
                    </w:rPr>
                    <m:t xml:space="preserve"> </m:t>
                  </m:r>
                  <m:r>
                    <w:rPr>
                      <w:rFonts w:ascii="Cambria Math" w:hAnsi="Cambria Math"/>
                      <w:sz w:val="26"/>
                      <w:szCs w:val="26"/>
                    </w:rPr>
                    <m:t>K</m:t>
                  </m:r>
                </m:sup>
              </m:sSup>
            </m:e>
          </m:rad>
        </m:oMath>
      </m:oMathPara>
    </w:p>
    <w:p w:rsidR="00AF7719" w:rsidRDefault="00C46825">
      <w:pPr>
        <w:keepNext/>
        <w:ind w:left="720"/>
        <w:rPr>
          <w:noProof/>
        </w:rPr>
      </w:pPr>
    </w:p>
    <w:p w:rsidR="00AF7719" w:rsidRDefault="00C46825">
      <w:pPr>
        <w:keepNext/>
        <w:ind w:left="1440"/>
      </w:pPr>
      <w:r>
        <w:t>where:</w:t>
      </w:r>
    </w:p>
    <w:p w:rsidR="00AF7719" w:rsidRDefault="00C46825">
      <w:pPr>
        <w:pStyle w:val="equationtext"/>
        <w:tabs>
          <w:tab w:val="clear" w:pos="1620"/>
          <w:tab w:val="left" w:pos="2520"/>
        </w:tabs>
        <w:ind w:left="2520" w:hanging="1800"/>
      </w:pPr>
      <w:r>
        <w:t>P</w:t>
      </w:r>
      <w:r>
        <w:rPr>
          <w:vertAlign w:val="subscript"/>
        </w:rPr>
        <w:t>ijt</w:t>
      </w:r>
      <w:r>
        <w:t xml:space="preserve"> </w:t>
      </w:r>
      <w:r>
        <w:tab/>
        <w:t>=</w:t>
      </w:r>
      <w:r>
        <w:tab/>
        <w:t>market clearing price of that two-year TCC (or, in the case of a Fixed Price TCC, a two-year TCC with the same POI and POW combination as the Fixed Price TCC) minus the market clearing price of a one-year</w:t>
      </w:r>
      <w:r>
        <w:t xml:space="preserve"> TCC in the final round of the one-year Sub-Auction in the prior Capability Period Centralized TCC Auction with the same POI and POW combination as the two-year TCC</w:t>
      </w:r>
    </w:p>
    <w:p w:rsidR="00AF7719" w:rsidRDefault="00C46825">
      <w:pPr>
        <w:pStyle w:val="equationtext"/>
        <w:tabs>
          <w:tab w:val="clear" w:pos="1620"/>
        </w:tabs>
        <w:spacing w:after="0"/>
        <w:ind w:left="2880" w:hanging="1320"/>
      </w:pPr>
    </w:p>
    <w:p w:rsidR="00AF7719" w:rsidRDefault="00C46825">
      <w:pPr>
        <w:pStyle w:val="romannumeralpara"/>
        <w:widowControl w:val="0"/>
      </w:pPr>
      <w:r>
        <w:t>(2)</w:t>
      </w:r>
      <w:r>
        <w:tab/>
        <w:t xml:space="preserve">upon </w:t>
      </w:r>
      <w:r>
        <w:rPr>
          <w:bCs/>
        </w:rPr>
        <w:t>completion</w:t>
      </w:r>
      <w:r>
        <w:t xml:space="preserve"> of the final round of the current two-year Sub-Auction until completio</w:t>
      </w:r>
      <w:r>
        <w:t>n of the final round of the current one-year Sub-Auction, the sum of the first year and second year amounts, which will be calculated as follows:</w:t>
      </w:r>
    </w:p>
    <w:p w:rsidR="00AF7719" w:rsidRDefault="00C46825">
      <w:pPr>
        <w:pStyle w:val="alphapara"/>
        <w:keepNext/>
        <w:spacing w:line="240" w:lineRule="auto"/>
        <w:ind w:firstLine="0"/>
      </w:pPr>
      <w:r>
        <w:rPr>
          <w:u w:val="single"/>
        </w:rPr>
        <w:t>First Year</w:t>
      </w:r>
      <w:r>
        <w:t>:</w:t>
      </w:r>
    </w:p>
    <w:p w:rsidR="00AF7719" w:rsidRDefault="00C46825">
      <w:pPr>
        <w:pStyle w:val="equationtext"/>
        <w:tabs>
          <w:tab w:val="clear" w:pos="1620"/>
          <w:tab w:val="clear" w:pos="2160"/>
          <w:tab w:val="left" w:pos="1800"/>
          <w:tab w:val="left" w:pos="2880"/>
        </w:tabs>
        <w:ind w:left="1440" w:firstLine="0"/>
      </w:pPr>
      <w:r>
        <w:t xml:space="preserve">the amount calculated in accordance with the one-year TCC formula set forth in Section </w:t>
      </w:r>
      <w:r>
        <w:t>26.4.2.4.1.5 below</w:t>
      </w:r>
    </w:p>
    <w:p w:rsidR="00AF7719" w:rsidRDefault="00C46825">
      <w:pPr>
        <w:pStyle w:val="Bodypara"/>
        <w:ind w:left="1440" w:firstLine="0"/>
      </w:pPr>
      <w:r>
        <w:t>where:</w:t>
      </w:r>
    </w:p>
    <w:p w:rsidR="00AF7719" w:rsidRDefault="00C46825">
      <w:pPr>
        <w:pStyle w:val="equationtext"/>
        <w:tabs>
          <w:tab w:val="clear" w:pos="1620"/>
          <w:tab w:val="left" w:pos="2520"/>
        </w:tabs>
        <w:ind w:left="2520" w:hanging="1800"/>
      </w:pPr>
      <w:r>
        <w:t>P</w:t>
      </w:r>
      <w:r>
        <w:rPr>
          <w:vertAlign w:val="subscript"/>
        </w:rPr>
        <w:t>ijt</w:t>
      </w:r>
      <w:r>
        <w:tab/>
        <w:t>=</w:t>
      </w:r>
      <w:r>
        <w:tab/>
        <w:t xml:space="preserve">market clearing price of a one-year TCC in the final round of the one-year Sub-Auction in the prior Capability Period Centralized TCC  Auction with the same POI and POW combination as the two-year TCC </w:t>
      </w:r>
    </w:p>
    <w:p w:rsidR="00AF7719" w:rsidRDefault="00C46825">
      <w:pPr>
        <w:pStyle w:val="equationtext"/>
        <w:tabs>
          <w:tab w:val="clear" w:pos="1620"/>
          <w:tab w:val="clear" w:pos="2160"/>
        </w:tabs>
        <w:ind w:left="1440" w:firstLine="0"/>
        <w:rPr>
          <w:u w:val="single"/>
        </w:rPr>
      </w:pPr>
      <w:r>
        <w:rPr>
          <w:u w:val="single"/>
        </w:rPr>
        <w:t>Second Year</w:t>
      </w:r>
      <w:r>
        <w:t>:</w:t>
      </w:r>
    </w:p>
    <w:p w:rsidR="00AF7719" w:rsidRDefault="00C46825">
      <w:pPr>
        <w:keepNext/>
        <w:ind w:left="1440"/>
      </w:pPr>
    </w:p>
    <w:p w:rsidR="00AF7719" w:rsidRDefault="00C46825">
      <w:pPr>
        <w:keepNext/>
        <w:rPr>
          <w:sz w:val="26"/>
          <w:szCs w:val="26"/>
        </w:rPr>
      </w:pPr>
      <m:oMathPara>
        <m:oMath>
          <m:r>
            <w:rPr>
              <w:rFonts w:ascii="Cambria Math" w:hAnsi="Cambria Math"/>
              <w:sz w:val="26"/>
              <w:szCs w:val="26"/>
            </w:rPr>
            <m:t>+1.909</m:t>
          </m:r>
          <m:rad>
            <m:radPr>
              <m:degHide m:val="1"/>
              <m:ctrlPr>
                <w:rPr>
                  <w:rFonts w:ascii="Cambria Math" w:hAnsi="Cambria Math"/>
                  <w:i/>
                  <w:sz w:val="26"/>
                  <w:szCs w:val="26"/>
                </w:rPr>
              </m:ctrlPr>
            </m:radPr>
            <m:deg/>
            <m:e>
              <m:sSup>
                <m:sSupPr>
                  <m:ctrlPr>
                    <w:rPr>
                      <w:rFonts w:ascii="Cambria Math" w:hAnsi="Cambria Math"/>
                      <w:i/>
                      <w:sz w:val="26"/>
                      <w:szCs w:val="26"/>
                    </w:rPr>
                  </m:ctrlPr>
                </m:sSupPr>
                <m:e>
                  <m:r>
                    <m:rPr>
                      <m:scr m:val="script"/>
                    </m:rPr>
                    <w:rPr>
                      <w:rFonts w:ascii="Cambria Math" w:hAnsi="Cambria Math"/>
                      <w:sz w:val="26"/>
                      <w:szCs w:val="26"/>
                    </w:rPr>
                    <m:t>e</m:t>
                  </m:r>
                </m:e>
                <m:sup>
                  <m:r>
                    <w:rPr>
                      <w:rFonts w:ascii="Cambria Math" w:hAnsi="Cambria Math"/>
                      <w:sz w:val="26"/>
                      <w:szCs w:val="26"/>
                    </w:rPr>
                    <m:t>10.9729 + .6514</m:t>
                  </m:r>
                  <m:d>
                    <m:dPr>
                      <m:ctrlPr>
                        <w:rPr>
                          <w:rFonts w:ascii="Cambria Math" w:hAnsi="Cambria Math"/>
                          <w:i/>
                          <w:sz w:val="26"/>
                          <w:szCs w:val="26"/>
                        </w:rPr>
                      </m:ctrlPr>
                    </m:dPr>
                    <m:e>
                      <m:r>
                        <w:rPr>
                          <w:rFonts w:ascii="Cambria Math" w:hAnsi="Cambria Math"/>
                          <w:sz w:val="26"/>
                          <w:szCs w:val="26"/>
                        </w:rPr>
                        <m:t>ln</m:t>
                      </m:r>
                      <m:d>
                        <m:dPr>
                          <m:ctrlPr>
                            <w:rPr>
                              <w:rFonts w:ascii="Cambria Math" w:hAnsi="Cambria Math"/>
                              <w:i/>
                              <w:sz w:val="26"/>
                              <w:szCs w:val="26"/>
                            </w:rPr>
                          </m:ctrlPr>
                        </m:dPr>
                        <m:e>
                          <m:d>
                            <m:dPr>
                              <m:begChr m:val="|"/>
                              <m:endChr m:val="|"/>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ijt</m:t>
                                  </m:r>
                                </m:sub>
                              </m:sSub>
                            </m:e>
                          </m:d>
                          <m:r>
                            <m:rPr>
                              <m:scr m:val="script"/>
                            </m:rPr>
                            <w:rPr>
                              <w:rFonts w:ascii="Cambria Math" w:hAnsi="Cambria Math"/>
                              <w:sz w:val="26"/>
                              <w:szCs w:val="26"/>
                            </w:rPr>
                            <m:t xml:space="preserve"> + e</m:t>
                          </m:r>
                        </m:e>
                      </m:d>
                    </m:e>
                  </m:d>
                  <m:r>
                    <w:rPr>
                      <w:rFonts w:ascii="Cambria Math" w:hAnsi="Cambria Math"/>
                      <w:sz w:val="26"/>
                      <w:szCs w:val="26"/>
                    </w:rPr>
                    <m:t xml:space="preserve"> + .6633 * </m:t>
                  </m:r>
                  <m:r>
                    <w:rPr>
                      <w:rFonts w:ascii="Cambria Math" w:hAnsi="Cambria Math"/>
                      <w:sz w:val="26"/>
                      <w:szCs w:val="26"/>
                    </w:rPr>
                    <m:t>Zone</m:t>
                  </m:r>
                  <m:r>
                    <w:rPr>
                      <w:rFonts w:ascii="Cambria Math" w:hAnsi="Cambria Math"/>
                      <w:sz w:val="26"/>
                      <w:szCs w:val="26"/>
                    </w:rPr>
                    <m:t xml:space="preserve"> </m:t>
                  </m:r>
                  <m:r>
                    <w:rPr>
                      <w:rFonts w:ascii="Cambria Math" w:hAnsi="Cambria Math"/>
                      <w:sz w:val="26"/>
                      <w:szCs w:val="26"/>
                    </w:rPr>
                    <m:t>J</m:t>
                  </m:r>
                  <m:r>
                    <w:rPr>
                      <w:rFonts w:ascii="Cambria Math" w:hAnsi="Cambria Math"/>
                      <w:sz w:val="26"/>
                      <w:szCs w:val="26"/>
                    </w:rPr>
                    <m:t xml:space="preserve"> + 1.1607 * </m:t>
                  </m:r>
                  <m:r>
                    <w:rPr>
                      <w:rFonts w:ascii="Cambria Math" w:hAnsi="Cambria Math"/>
                      <w:sz w:val="26"/>
                      <w:szCs w:val="26"/>
                    </w:rPr>
                    <m:t>Zone</m:t>
                  </m:r>
                  <m:r>
                    <w:rPr>
                      <w:rFonts w:ascii="Cambria Math" w:hAnsi="Cambria Math"/>
                      <w:sz w:val="26"/>
                      <w:szCs w:val="26"/>
                    </w:rPr>
                    <m:t xml:space="preserve"> </m:t>
                  </m:r>
                  <m:r>
                    <w:rPr>
                      <w:rFonts w:ascii="Cambria Math" w:hAnsi="Cambria Math"/>
                      <w:sz w:val="26"/>
                      <w:szCs w:val="26"/>
                    </w:rPr>
                    <m:t>K</m:t>
                  </m:r>
                </m:sup>
              </m:sSup>
            </m:e>
          </m:rad>
        </m:oMath>
      </m:oMathPara>
    </w:p>
    <w:p w:rsidR="00AF7719" w:rsidRDefault="00C46825">
      <w:pPr>
        <w:keepNext/>
        <w:ind w:left="1440"/>
      </w:pPr>
    </w:p>
    <w:p w:rsidR="00AF7719" w:rsidRDefault="00C46825">
      <w:pPr>
        <w:keepNext/>
        <w:ind w:left="1440"/>
      </w:pPr>
    </w:p>
    <w:p w:rsidR="00AF7719" w:rsidRDefault="00C46825">
      <w:pPr>
        <w:keepNext/>
        <w:ind w:left="1440"/>
      </w:pPr>
      <w:r>
        <w:t>where:</w:t>
      </w:r>
    </w:p>
    <w:p w:rsidR="00AF7719" w:rsidRDefault="00C46825">
      <w:pPr>
        <w:pStyle w:val="equationtext"/>
        <w:tabs>
          <w:tab w:val="clear" w:pos="1620"/>
          <w:tab w:val="left" w:pos="2520"/>
        </w:tabs>
        <w:ind w:left="2520" w:hanging="1800"/>
      </w:pPr>
      <w:r>
        <w:t>P</w:t>
      </w:r>
      <w:r>
        <w:rPr>
          <w:vertAlign w:val="subscript"/>
        </w:rPr>
        <w:t>ijt</w:t>
      </w:r>
      <w:r>
        <w:t xml:space="preserve"> </w:t>
      </w:r>
      <w:r>
        <w:tab/>
        <w:t xml:space="preserve">= </w:t>
      </w:r>
      <w:r>
        <w:tab/>
        <w:t>market clearing price of a two-year TCC in the final round of the current two-year Sub-Auction with the same POI and POW combination as the two-year TCC minus th</w:t>
      </w:r>
      <w:r>
        <w:t xml:space="preserve">e market clearing price of a one-year TCC in the final round of the one-year Sub-Auction in the prior Capability Period Centralized TCC Auction with the same POI and POW combination as the two-year TCC </w:t>
      </w:r>
    </w:p>
    <w:p w:rsidR="00AF7719" w:rsidRDefault="00C46825">
      <w:pPr>
        <w:pStyle w:val="alphapara"/>
      </w:pPr>
      <w:r>
        <w:t xml:space="preserve">(3) </w:t>
      </w:r>
      <w:r>
        <w:tab/>
        <w:t xml:space="preserve">upon </w:t>
      </w:r>
      <w:r>
        <w:rPr>
          <w:bCs/>
        </w:rPr>
        <w:t>completion</w:t>
      </w:r>
      <w:r>
        <w:t xml:space="preserve"> of the final round of the curren</w:t>
      </w:r>
      <w:r>
        <w:t>t one-year Sub-Auction until completion of the Balance-of-Period Auction for the first month of the two-year TCC, the sum of the first year and second year amounts, which will be calculated as follows:</w:t>
      </w:r>
    </w:p>
    <w:p w:rsidR="00AF7719" w:rsidRDefault="00C46825">
      <w:pPr>
        <w:pStyle w:val="alphapara"/>
        <w:spacing w:line="240" w:lineRule="auto"/>
        <w:ind w:firstLine="0"/>
      </w:pPr>
      <w:r>
        <w:rPr>
          <w:u w:val="single"/>
        </w:rPr>
        <w:t>First Year</w:t>
      </w:r>
      <w:r>
        <w:t>:</w:t>
      </w:r>
    </w:p>
    <w:p w:rsidR="00AF7719" w:rsidRDefault="00C46825">
      <w:pPr>
        <w:pStyle w:val="equationtext"/>
        <w:tabs>
          <w:tab w:val="clear" w:pos="1620"/>
        </w:tabs>
        <w:ind w:left="1440" w:firstLine="0"/>
      </w:pPr>
      <w:r>
        <w:t>the amount calculated in accordance with t</w:t>
      </w:r>
      <w:r>
        <w:t>he one-year TCC formula set forth in Section 26.4.2.4.1.5 below</w:t>
      </w:r>
    </w:p>
    <w:p w:rsidR="00AF7719" w:rsidRDefault="00C46825">
      <w:pPr>
        <w:pStyle w:val="equationtext"/>
        <w:tabs>
          <w:tab w:val="clear" w:pos="1620"/>
        </w:tabs>
        <w:spacing w:before="0" w:after="0"/>
        <w:ind w:left="1440" w:firstLine="0"/>
        <w:rPr>
          <w:u w:val="single"/>
        </w:rPr>
      </w:pPr>
    </w:p>
    <w:p w:rsidR="00AF7719" w:rsidRDefault="00C46825">
      <w:pPr>
        <w:pStyle w:val="Bodypara"/>
        <w:ind w:left="1440" w:firstLine="0"/>
      </w:pPr>
      <w:r>
        <w:t>where:</w:t>
      </w:r>
    </w:p>
    <w:p w:rsidR="00AF7719" w:rsidRDefault="00C46825">
      <w:pPr>
        <w:pStyle w:val="equationtext"/>
        <w:tabs>
          <w:tab w:val="clear" w:pos="1620"/>
          <w:tab w:val="left" w:pos="2520"/>
        </w:tabs>
        <w:ind w:left="2520" w:hanging="1800"/>
      </w:pPr>
      <w:r>
        <w:t>P</w:t>
      </w:r>
      <w:r>
        <w:rPr>
          <w:vertAlign w:val="subscript"/>
        </w:rPr>
        <w:t>ijt</w:t>
      </w:r>
      <w:r>
        <w:tab/>
        <w:t>=</w:t>
      </w:r>
      <w:r>
        <w:tab/>
        <w:t>market clearing price of a one-year TCC in the final round of the current one-year Sub-Auction with the same POI and POW combination as the two-year TCC</w:t>
      </w:r>
    </w:p>
    <w:p w:rsidR="00AF7719" w:rsidRDefault="00C46825">
      <w:pPr>
        <w:pStyle w:val="equationtext"/>
        <w:tabs>
          <w:tab w:val="clear" w:pos="1620"/>
          <w:tab w:val="clear" w:pos="2160"/>
          <w:tab w:val="left" w:pos="2250"/>
        </w:tabs>
        <w:ind w:left="2880"/>
      </w:pPr>
      <w:r>
        <w:rPr>
          <w:u w:val="single"/>
        </w:rPr>
        <w:t>Second Year</w:t>
      </w:r>
      <w:r>
        <w:t>:</w:t>
      </w:r>
    </w:p>
    <w:p w:rsidR="00AF7719" w:rsidRDefault="00C46825">
      <w:pPr>
        <w:rPr>
          <w:noProof/>
          <w:sz w:val="26"/>
          <w:szCs w:val="26"/>
        </w:rPr>
      </w:pPr>
      <m:oMathPara>
        <m:oMath>
          <m:r>
            <w:rPr>
              <w:rFonts w:ascii="Cambria Math" w:hAnsi="Cambria Math"/>
              <w:noProof/>
              <w:sz w:val="26"/>
              <w:szCs w:val="26"/>
            </w:rPr>
            <m:t>+1.909</m:t>
          </m:r>
          <m:rad>
            <m:radPr>
              <m:degHide m:val="1"/>
              <m:ctrlPr>
                <w:rPr>
                  <w:rFonts w:ascii="Cambria Math" w:hAnsi="Cambria Math"/>
                  <w:i/>
                  <w:noProof/>
                  <w:sz w:val="26"/>
                  <w:szCs w:val="26"/>
                </w:rPr>
              </m:ctrlPr>
            </m:radPr>
            <m:deg/>
            <m:e>
              <m:sSup>
                <m:sSupPr>
                  <m:ctrlPr>
                    <w:rPr>
                      <w:rFonts w:ascii="Cambria Math" w:hAnsi="Cambria Math"/>
                      <w:i/>
                      <w:noProof/>
                      <w:sz w:val="26"/>
                      <w:szCs w:val="26"/>
                    </w:rPr>
                  </m:ctrlPr>
                </m:sSupPr>
                <m:e>
                  <m:r>
                    <m:rPr>
                      <m:scr m:val="script"/>
                    </m:rPr>
                    <w:rPr>
                      <w:rFonts w:ascii="Cambria Math" w:hAnsi="Cambria Math"/>
                      <w:noProof/>
                      <w:sz w:val="26"/>
                      <w:szCs w:val="26"/>
                    </w:rPr>
                    <m:t>e</m:t>
                  </m:r>
                </m:e>
                <m:sup>
                  <m:r>
                    <w:rPr>
                      <w:rFonts w:ascii="Cambria Math" w:hAnsi="Cambria Math"/>
                      <w:noProof/>
                      <w:sz w:val="26"/>
                      <w:szCs w:val="26"/>
                    </w:rPr>
                    <m:t>10.9729 + .6514</m:t>
                  </m:r>
                  <m:d>
                    <m:dPr>
                      <m:ctrlPr>
                        <w:rPr>
                          <w:rFonts w:ascii="Cambria Math" w:hAnsi="Cambria Math"/>
                          <w:i/>
                          <w:noProof/>
                          <w:sz w:val="26"/>
                          <w:szCs w:val="26"/>
                        </w:rPr>
                      </m:ctrlPr>
                    </m:dPr>
                    <m:e>
                      <m:r>
                        <w:rPr>
                          <w:rFonts w:ascii="Cambria Math" w:hAnsi="Cambria Math"/>
                          <w:noProof/>
                          <w:sz w:val="26"/>
                          <w:szCs w:val="26"/>
                        </w:rPr>
                        <m:t>ln</m:t>
                      </m:r>
                      <m:d>
                        <m:dPr>
                          <m:ctrlPr>
                            <w:rPr>
                              <w:rFonts w:ascii="Cambria Math" w:hAnsi="Cambria Math"/>
                              <w:i/>
                              <w:noProof/>
                              <w:sz w:val="26"/>
                              <w:szCs w:val="26"/>
                            </w:rPr>
                          </m:ctrlPr>
                        </m:dPr>
                        <m:e>
                          <m:d>
                            <m:dPr>
                              <m:begChr m:val="|"/>
                              <m:endChr m:val="|"/>
                              <m:ctrlPr>
                                <w:rPr>
                                  <w:rFonts w:ascii="Cambria Math" w:hAnsi="Cambria Math"/>
                                  <w:i/>
                                  <w:noProof/>
                                  <w:sz w:val="26"/>
                                  <w:szCs w:val="26"/>
                                </w:rPr>
                              </m:ctrlPr>
                            </m:dPr>
                            <m:e>
                              <m:sSub>
                                <m:sSubPr>
                                  <m:ctrlPr>
                                    <w:rPr>
                                      <w:rFonts w:ascii="Cambria Math" w:hAnsi="Cambria Math"/>
                                      <w:i/>
                                      <w:noProof/>
                                      <w:sz w:val="26"/>
                                      <w:szCs w:val="26"/>
                                    </w:rPr>
                                  </m:ctrlPr>
                                </m:sSubPr>
                                <m:e>
                                  <m:r>
                                    <w:rPr>
                                      <w:rFonts w:ascii="Cambria Math" w:hAnsi="Cambria Math"/>
                                      <w:noProof/>
                                      <w:sz w:val="26"/>
                                      <w:szCs w:val="26"/>
                                    </w:rPr>
                                    <m:t>P</m:t>
                                  </m:r>
                                </m:e>
                                <m:sub>
                                  <m:r>
                                    <w:rPr>
                                      <w:rFonts w:ascii="Cambria Math" w:hAnsi="Cambria Math"/>
                                      <w:noProof/>
                                      <w:sz w:val="26"/>
                                      <w:szCs w:val="26"/>
                                    </w:rPr>
                                    <m:t>ijt</m:t>
                                  </m:r>
                                </m:sub>
                              </m:sSub>
                            </m:e>
                          </m:d>
                          <m:r>
                            <m:rPr>
                              <m:scr m:val="script"/>
                            </m:rPr>
                            <w:rPr>
                              <w:rFonts w:ascii="Cambria Math" w:hAnsi="Cambria Math"/>
                              <w:noProof/>
                              <w:sz w:val="26"/>
                              <w:szCs w:val="26"/>
                            </w:rPr>
                            <m:t xml:space="preserve"> + e</m:t>
                          </m:r>
                        </m:e>
                      </m:d>
                    </m:e>
                  </m:d>
                  <m:r>
                    <w:rPr>
                      <w:rFonts w:ascii="Cambria Math" w:hAnsi="Cambria Math"/>
                      <w:noProof/>
                      <w:sz w:val="26"/>
                      <w:szCs w:val="26"/>
                    </w:rPr>
                    <m:t xml:space="preserve"> + .6633 * </m:t>
                  </m:r>
                  <m:r>
                    <w:rPr>
                      <w:rFonts w:ascii="Cambria Math" w:hAnsi="Cambria Math"/>
                      <w:noProof/>
                      <w:sz w:val="26"/>
                      <w:szCs w:val="26"/>
                    </w:rPr>
                    <m:t>Zone</m:t>
                  </m:r>
                  <m:r>
                    <w:rPr>
                      <w:rFonts w:ascii="Cambria Math" w:hAnsi="Cambria Math"/>
                      <w:noProof/>
                      <w:sz w:val="26"/>
                      <w:szCs w:val="26"/>
                    </w:rPr>
                    <m:t xml:space="preserve"> </m:t>
                  </m:r>
                  <m:r>
                    <w:rPr>
                      <w:rFonts w:ascii="Cambria Math" w:hAnsi="Cambria Math"/>
                      <w:noProof/>
                      <w:sz w:val="26"/>
                      <w:szCs w:val="26"/>
                    </w:rPr>
                    <m:t>J</m:t>
                  </m:r>
                  <m:r>
                    <w:rPr>
                      <w:rFonts w:ascii="Cambria Math" w:hAnsi="Cambria Math"/>
                      <w:noProof/>
                      <w:sz w:val="26"/>
                      <w:szCs w:val="26"/>
                    </w:rPr>
                    <m:t xml:space="preserve"> + 1.1607 * </m:t>
                  </m:r>
                  <m:r>
                    <w:rPr>
                      <w:rFonts w:ascii="Cambria Math" w:hAnsi="Cambria Math"/>
                      <w:noProof/>
                      <w:sz w:val="26"/>
                      <w:szCs w:val="26"/>
                    </w:rPr>
                    <m:t>Zone</m:t>
                  </m:r>
                  <m:r>
                    <w:rPr>
                      <w:rFonts w:ascii="Cambria Math" w:hAnsi="Cambria Math"/>
                      <w:noProof/>
                      <w:sz w:val="26"/>
                      <w:szCs w:val="26"/>
                    </w:rPr>
                    <m:t xml:space="preserve"> </m:t>
                  </m:r>
                  <m:r>
                    <w:rPr>
                      <w:rFonts w:ascii="Cambria Math" w:hAnsi="Cambria Math"/>
                      <w:noProof/>
                      <w:sz w:val="26"/>
                      <w:szCs w:val="26"/>
                    </w:rPr>
                    <m:t>K</m:t>
                  </m:r>
                </m:sup>
              </m:sSup>
            </m:e>
          </m:rad>
        </m:oMath>
      </m:oMathPara>
    </w:p>
    <w:p w:rsidR="00AF7719" w:rsidRDefault="00C46825">
      <w:pPr>
        <w:rPr>
          <w:noProof/>
        </w:rPr>
      </w:pPr>
    </w:p>
    <w:p w:rsidR="00AF7719" w:rsidRDefault="00C46825">
      <w:pPr>
        <w:ind w:left="1440"/>
        <w:rPr>
          <w:noProof/>
        </w:rPr>
      </w:pPr>
    </w:p>
    <w:p w:rsidR="00AF7719" w:rsidRDefault="00C46825">
      <w:pPr>
        <w:ind w:left="1440"/>
      </w:pPr>
      <w:r>
        <w:t>where:</w:t>
      </w:r>
    </w:p>
    <w:p w:rsidR="00AF7719" w:rsidRDefault="00C46825">
      <w:pPr>
        <w:pStyle w:val="equationtext"/>
        <w:tabs>
          <w:tab w:val="clear" w:pos="1620"/>
          <w:tab w:val="left" w:pos="2520"/>
        </w:tabs>
        <w:ind w:left="2520" w:hanging="1800"/>
      </w:pPr>
      <w:r>
        <w:t>P</w:t>
      </w:r>
      <w:r>
        <w:rPr>
          <w:vertAlign w:val="subscript"/>
        </w:rPr>
        <w:t>ijt</w:t>
      </w:r>
      <w:r>
        <w:t xml:space="preserve"> </w:t>
      </w:r>
      <w:r>
        <w:tab/>
        <w:t xml:space="preserve">= </w:t>
      </w:r>
      <w:r>
        <w:tab/>
        <w:t>market clearing price of a two-year TCC in the final round of the current two-year Sub-Auction with the same POI and POW combination as the two-year TCC minus th</w:t>
      </w:r>
      <w:r>
        <w:t>e market clearing price of a one-year TCC in the final round of the current one-year Sub-Auction with the same POI and POW combination as the two-year TCC</w:t>
      </w:r>
    </w:p>
    <w:p w:rsidR="00AF7719" w:rsidRDefault="00C46825">
      <w:pPr>
        <w:pStyle w:val="alphapara"/>
      </w:pPr>
      <w:r>
        <w:t>(4)</w:t>
      </w:r>
      <w:r>
        <w:tab/>
        <w:t>upon completion of the Balance-of-Period Auction for the first month of the two-year TCC until co</w:t>
      </w:r>
      <w:r>
        <w:t>mpletion of the final round of the six-month Sub-Auction in the next Centralized TCC Auction, the sum of the first year and second year amounts, which will be calculated as follows:</w:t>
      </w:r>
    </w:p>
    <w:p w:rsidR="00AF7719" w:rsidRDefault="00C46825">
      <w:pPr>
        <w:pStyle w:val="alphapara"/>
        <w:ind w:firstLine="0"/>
      </w:pPr>
      <w:r>
        <w:t>First Year:</w:t>
      </w:r>
    </w:p>
    <w:p w:rsidR="00AF7719" w:rsidRDefault="00C46825">
      <w:pPr>
        <w:pStyle w:val="alphapara"/>
        <w:spacing w:line="240" w:lineRule="auto"/>
        <w:ind w:firstLine="0"/>
      </w:pPr>
      <w:r>
        <w:t>the amount calculated in accordance with the appropriate Balan</w:t>
      </w:r>
      <w:r>
        <w:t>ce-of-Period Auction holding requirement formulas set forth in Section 26.4.2.4.1.6 below</w:t>
      </w:r>
    </w:p>
    <w:p w:rsidR="00AF7719" w:rsidRDefault="00C46825">
      <w:pPr>
        <w:pStyle w:val="alphapara"/>
        <w:spacing w:before="240"/>
        <w:ind w:firstLine="0"/>
      </w:pPr>
      <w:r>
        <w:t xml:space="preserve">Second Year: </w:t>
      </w:r>
    </w:p>
    <w:p w:rsidR="00AF7719" w:rsidRDefault="00C46825">
      <w:pPr>
        <w:pStyle w:val="alphapara"/>
        <w:ind w:firstLine="0"/>
        <w:rPr>
          <w:sz w:val="26"/>
          <w:szCs w:val="26"/>
        </w:rPr>
      </w:pPr>
      <m:oMathPara>
        <m:oMath>
          <m:r>
            <w:rPr>
              <w:rFonts w:ascii="Cambria Math" w:hAnsi="Cambria Math"/>
              <w:noProof/>
              <w:sz w:val="26"/>
              <w:szCs w:val="26"/>
            </w:rPr>
            <m:t>+1.909</m:t>
          </m:r>
          <m:rad>
            <m:radPr>
              <m:degHide m:val="1"/>
              <m:ctrlPr>
                <w:rPr>
                  <w:rFonts w:ascii="Cambria Math" w:hAnsi="Cambria Math"/>
                  <w:i/>
                  <w:noProof/>
                  <w:sz w:val="26"/>
                  <w:szCs w:val="26"/>
                </w:rPr>
              </m:ctrlPr>
            </m:radPr>
            <m:deg/>
            <m:e>
              <m:sSup>
                <m:sSupPr>
                  <m:ctrlPr>
                    <w:rPr>
                      <w:rFonts w:ascii="Cambria Math" w:hAnsi="Cambria Math"/>
                      <w:i/>
                      <w:noProof/>
                      <w:sz w:val="26"/>
                      <w:szCs w:val="26"/>
                    </w:rPr>
                  </m:ctrlPr>
                </m:sSupPr>
                <m:e>
                  <m:r>
                    <m:rPr>
                      <m:scr m:val="script"/>
                    </m:rPr>
                    <w:rPr>
                      <w:rFonts w:ascii="Cambria Math" w:hAnsi="Cambria Math"/>
                      <w:noProof/>
                      <w:sz w:val="26"/>
                      <w:szCs w:val="26"/>
                    </w:rPr>
                    <m:t>e</m:t>
                  </m:r>
                </m:e>
                <m:sup>
                  <m:r>
                    <w:rPr>
                      <w:rFonts w:ascii="Cambria Math" w:hAnsi="Cambria Math"/>
                      <w:noProof/>
                      <w:sz w:val="26"/>
                      <w:szCs w:val="26"/>
                    </w:rPr>
                    <m:t>10.9729 + .6514</m:t>
                  </m:r>
                  <m:d>
                    <m:dPr>
                      <m:ctrlPr>
                        <w:rPr>
                          <w:rFonts w:ascii="Cambria Math" w:hAnsi="Cambria Math"/>
                          <w:i/>
                          <w:noProof/>
                          <w:sz w:val="26"/>
                          <w:szCs w:val="26"/>
                        </w:rPr>
                      </m:ctrlPr>
                    </m:dPr>
                    <m:e>
                      <m:r>
                        <w:rPr>
                          <w:rFonts w:ascii="Cambria Math" w:hAnsi="Cambria Math"/>
                          <w:noProof/>
                          <w:sz w:val="26"/>
                          <w:szCs w:val="26"/>
                        </w:rPr>
                        <m:t>ln</m:t>
                      </m:r>
                      <m:d>
                        <m:dPr>
                          <m:ctrlPr>
                            <w:rPr>
                              <w:rFonts w:ascii="Cambria Math" w:hAnsi="Cambria Math"/>
                              <w:i/>
                              <w:noProof/>
                              <w:sz w:val="26"/>
                              <w:szCs w:val="26"/>
                            </w:rPr>
                          </m:ctrlPr>
                        </m:dPr>
                        <m:e>
                          <m:d>
                            <m:dPr>
                              <m:begChr m:val="|"/>
                              <m:endChr m:val="|"/>
                              <m:ctrlPr>
                                <w:rPr>
                                  <w:rFonts w:ascii="Cambria Math" w:hAnsi="Cambria Math"/>
                                  <w:i/>
                                  <w:noProof/>
                                  <w:sz w:val="26"/>
                                  <w:szCs w:val="26"/>
                                </w:rPr>
                              </m:ctrlPr>
                            </m:dPr>
                            <m:e>
                              <m:sSub>
                                <m:sSubPr>
                                  <m:ctrlPr>
                                    <w:rPr>
                                      <w:rFonts w:ascii="Cambria Math" w:hAnsi="Cambria Math"/>
                                      <w:i/>
                                      <w:noProof/>
                                      <w:sz w:val="26"/>
                                      <w:szCs w:val="26"/>
                                    </w:rPr>
                                  </m:ctrlPr>
                                </m:sSubPr>
                                <m:e>
                                  <m:r>
                                    <w:rPr>
                                      <w:rFonts w:ascii="Cambria Math" w:hAnsi="Cambria Math"/>
                                      <w:noProof/>
                                      <w:sz w:val="26"/>
                                      <w:szCs w:val="26"/>
                                    </w:rPr>
                                    <m:t>P</m:t>
                                  </m:r>
                                </m:e>
                                <m:sub>
                                  <m:r>
                                    <w:rPr>
                                      <w:rFonts w:ascii="Cambria Math" w:hAnsi="Cambria Math"/>
                                      <w:noProof/>
                                      <w:sz w:val="26"/>
                                      <w:szCs w:val="26"/>
                                    </w:rPr>
                                    <m:t>ijt</m:t>
                                  </m:r>
                                </m:sub>
                              </m:sSub>
                            </m:e>
                          </m:d>
                          <m:r>
                            <m:rPr>
                              <m:scr m:val="script"/>
                            </m:rPr>
                            <w:rPr>
                              <w:rFonts w:ascii="Cambria Math" w:hAnsi="Cambria Math"/>
                              <w:noProof/>
                              <w:sz w:val="26"/>
                              <w:szCs w:val="26"/>
                            </w:rPr>
                            <m:t xml:space="preserve"> + e</m:t>
                          </m:r>
                        </m:e>
                      </m:d>
                    </m:e>
                  </m:d>
                  <m:r>
                    <w:rPr>
                      <w:rFonts w:ascii="Cambria Math" w:hAnsi="Cambria Math"/>
                      <w:noProof/>
                      <w:sz w:val="26"/>
                      <w:szCs w:val="26"/>
                    </w:rPr>
                    <m:t xml:space="preserve"> + .6633 * </m:t>
                  </m:r>
                  <m:r>
                    <w:rPr>
                      <w:rFonts w:ascii="Cambria Math" w:hAnsi="Cambria Math"/>
                      <w:noProof/>
                      <w:sz w:val="26"/>
                      <w:szCs w:val="26"/>
                    </w:rPr>
                    <m:t>Zone</m:t>
                  </m:r>
                  <m:r>
                    <w:rPr>
                      <w:rFonts w:ascii="Cambria Math" w:hAnsi="Cambria Math"/>
                      <w:noProof/>
                      <w:sz w:val="26"/>
                      <w:szCs w:val="26"/>
                    </w:rPr>
                    <m:t xml:space="preserve"> </m:t>
                  </m:r>
                  <m:r>
                    <w:rPr>
                      <w:rFonts w:ascii="Cambria Math" w:hAnsi="Cambria Math"/>
                      <w:noProof/>
                      <w:sz w:val="26"/>
                      <w:szCs w:val="26"/>
                    </w:rPr>
                    <m:t>J</m:t>
                  </m:r>
                  <m:r>
                    <w:rPr>
                      <w:rFonts w:ascii="Cambria Math" w:hAnsi="Cambria Math"/>
                      <w:noProof/>
                      <w:sz w:val="26"/>
                      <w:szCs w:val="26"/>
                    </w:rPr>
                    <m:t xml:space="preserve"> + 1.1607 * </m:t>
                  </m:r>
                  <m:r>
                    <w:rPr>
                      <w:rFonts w:ascii="Cambria Math" w:hAnsi="Cambria Math"/>
                      <w:noProof/>
                      <w:sz w:val="26"/>
                      <w:szCs w:val="26"/>
                    </w:rPr>
                    <m:t>Zone</m:t>
                  </m:r>
                  <m:r>
                    <w:rPr>
                      <w:rFonts w:ascii="Cambria Math" w:hAnsi="Cambria Math"/>
                      <w:noProof/>
                      <w:sz w:val="26"/>
                      <w:szCs w:val="26"/>
                    </w:rPr>
                    <m:t xml:space="preserve"> </m:t>
                  </m:r>
                  <m:r>
                    <w:rPr>
                      <w:rFonts w:ascii="Cambria Math" w:hAnsi="Cambria Math"/>
                      <w:noProof/>
                      <w:sz w:val="26"/>
                      <w:szCs w:val="26"/>
                    </w:rPr>
                    <m:t>K</m:t>
                  </m:r>
                </m:sup>
              </m:sSup>
            </m:e>
          </m:rad>
        </m:oMath>
      </m:oMathPara>
    </w:p>
    <w:p w:rsidR="00AF7719" w:rsidRDefault="00C46825">
      <w:pPr>
        <w:pStyle w:val="alphapara"/>
        <w:ind w:firstLine="0"/>
        <w:rPr>
          <w:sz w:val="23"/>
          <w:szCs w:val="23"/>
        </w:rPr>
      </w:pPr>
      <w:r>
        <w:t>where</w:t>
      </w:r>
      <w:r>
        <w:rPr>
          <w:color w:val="FF0000"/>
          <w:sz w:val="23"/>
          <w:szCs w:val="23"/>
        </w:rPr>
        <w:t xml:space="preserve">: </w:t>
      </w:r>
    </w:p>
    <w:p w:rsidR="00AF7719" w:rsidRDefault="00C46825">
      <w:pPr>
        <w:pStyle w:val="equationtext"/>
        <w:tabs>
          <w:tab w:val="clear" w:pos="1620"/>
          <w:tab w:val="left" w:pos="2520"/>
        </w:tabs>
        <w:ind w:left="2520" w:hanging="1800"/>
      </w:pPr>
      <w:r>
        <w:t>P</w:t>
      </w:r>
      <w:r>
        <w:rPr>
          <w:sz w:val="16"/>
          <w:szCs w:val="16"/>
        </w:rPr>
        <w:t xml:space="preserve">ijt </w:t>
      </w:r>
      <w:r>
        <w:rPr>
          <w:sz w:val="16"/>
          <w:szCs w:val="16"/>
        </w:rPr>
        <w:tab/>
      </w:r>
      <w:r>
        <w:t xml:space="preserve">= </w:t>
      </w:r>
      <w:r>
        <w:tab/>
        <w:t>market clearing price of a two-year TCC in the fina</w:t>
      </w:r>
      <w:r>
        <w:t xml:space="preserve">l round of the two-year Sub-Auction in which the TCC was purchased (or, in the case of a Fixed Price TCC, the final round of the two-year Sub-Auction of the Centralized TCC Auction in which the six-month Sub-Auction made transmission capacity available to </w:t>
      </w:r>
      <w:r>
        <w:t xml:space="preserve">support the sale of TCCs for the first Capability Period in which the applicable Fixed Price TCC would be valid) with the same POI and POW combination as the two-year TCC minus the market clearing price of a one-year TCC in the final round of the one-year </w:t>
      </w:r>
      <w:r>
        <w:t>Sub-Auction that directly followed the two-year Sub-Auction in which the TCC was purchased (or, in the case of a Fixed Price TCC, the two-year Sub-Auction of the Centralized TCC Auction in which the six-month Sub-Auction made transmission capacity availabl</w:t>
      </w:r>
      <w:r>
        <w:t>e to support the sale of TCCs for the first Capability Period in which the applicable Fixed Price TCC would be valid) with the same POI and POW combination as the two-year TCC</w:t>
      </w:r>
    </w:p>
    <w:p w:rsidR="00AF7719" w:rsidRDefault="00C46825">
      <w:pPr>
        <w:pStyle w:val="alphapara"/>
        <w:tabs>
          <w:tab w:val="left" w:pos="2160"/>
        </w:tabs>
        <w:spacing w:line="240" w:lineRule="auto"/>
        <w:ind w:left="2880" w:hanging="1440"/>
      </w:pPr>
    </w:p>
    <w:p w:rsidR="00AF7719" w:rsidRDefault="00C46825">
      <w:pPr>
        <w:pStyle w:val="alphapara"/>
      </w:pPr>
      <w:r>
        <w:t xml:space="preserve">(5) </w:t>
      </w:r>
      <w:r>
        <w:tab/>
        <w:t>upon completion of the final round of the six-month Sub-Auction for the fi</w:t>
      </w:r>
      <w:r>
        <w:t>nal six months of the first year of the two-year TCC until completion of the Balance-of-Period Auction immediately preceding the final six months of the first year of the two-year TCC, the sum of the first year and second year amounts, which will be calcul</w:t>
      </w:r>
      <w:r>
        <w:t xml:space="preserve">ated as follows: </w:t>
      </w:r>
    </w:p>
    <w:p w:rsidR="00AF7719" w:rsidRDefault="00C46825">
      <w:pPr>
        <w:pStyle w:val="alphapara"/>
        <w:ind w:firstLine="0"/>
      </w:pPr>
      <w:r>
        <w:t>First Year:</w:t>
      </w:r>
    </w:p>
    <w:p w:rsidR="00AF7719" w:rsidRDefault="00C46825">
      <w:pPr>
        <w:pStyle w:val="alphapara"/>
        <w:spacing w:after="240" w:line="240" w:lineRule="auto"/>
        <w:ind w:firstLine="0"/>
      </w:pPr>
      <w:r>
        <w:t>the amount calculated in accordance with the six-month TCC formula set forth in Section 26.4.2.4.1.5 below</w:t>
      </w:r>
    </w:p>
    <w:p w:rsidR="00AF7719" w:rsidRDefault="00C46825">
      <w:pPr>
        <w:pStyle w:val="alphapara"/>
        <w:ind w:firstLine="0"/>
      </w:pPr>
      <w:r>
        <w:t>where:</w:t>
      </w:r>
      <w:r>
        <w:rPr>
          <w:color w:val="FF0000"/>
        </w:rPr>
        <w:t xml:space="preserve"> </w:t>
      </w:r>
    </w:p>
    <w:p w:rsidR="00AF7719" w:rsidRDefault="00C46825">
      <w:pPr>
        <w:pStyle w:val="equationtext"/>
        <w:tabs>
          <w:tab w:val="clear" w:pos="1620"/>
          <w:tab w:val="left" w:pos="2520"/>
        </w:tabs>
        <w:spacing w:before="0" w:after="240"/>
        <w:ind w:left="2520" w:hanging="1800"/>
      </w:pPr>
      <w:r>
        <w:t>P</w:t>
      </w:r>
      <w:r>
        <w:rPr>
          <w:sz w:val="16"/>
          <w:szCs w:val="16"/>
        </w:rPr>
        <w:t>ijt</w:t>
      </w:r>
      <w:r>
        <w:t xml:space="preserve"> </w:t>
      </w:r>
      <w:r>
        <w:tab/>
        <w:t xml:space="preserve">= </w:t>
      </w:r>
      <w:r>
        <w:tab/>
      </w:r>
      <w:r>
        <w:t xml:space="preserve">market clearing price of a six-month TCC in the final round of the six-month Sub-Auction with the same POI and POW combination as the two-year TCC </w:t>
      </w:r>
    </w:p>
    <w:p w:rsidR="00AF7719" w:rsidRDefault="00C46825">
      <w:pPr>
        <w:pStyle w:val="alphapara"/>
        <w:ind w:firstLine="0"/>
      </w:pPr>
      <w:r>
        <w:t>Second Year:</w:t>
      </w:r>
    </w:p>
    <w:p w:rsidR="00AF7719" w:rsidRDefault="00C46825">
      <w:pPr>
        <w:pStyle w:val="alphapara"/>
        <w:spacing w:line="240" w:lineRule="auto"/>
        <w:ind w:firstLine="0"/>
        <w:rPr>
          <w:sz w:val="26"/>
          <w:szCs w:val="26"/>
        </w:rPr>
      </w:pPr>
      <m:oMathPara>
        <m:oMath>
          <m:r>
            <w:rPr>
              <w:rFonts w:ascii="Cambria Math" w:hAnsi="Cambria Math"/>
              <w:noProof/>
              <w:sz w:val="26"/>
              <w:szCs w:val="26"/>
            </w:rPr>
            <m:t>+1.909</m:t>
          </m:r>
          <m:rad>
            <m:radPr>
              <m:degHide m:val="1"/>
              <m:ctrlPr>
                <w:rPr>
                  <w:rFonts w:ascii="Cambria Math" w:hAnsi="Cambria Math"/>
                  <w:i/>
                  <w:noProof/>
                  <w:sz w:val="26"/>
                  <w:szCs w:val="26"/>
                </w:rPr>
              </m:ctrlPr>
            </m:radPr>
            <m:deg/>
            <m:e>
              <m:sSup>
                <m:sSupPr>
                  <m:ctrlPr>
                    <w:rPr>
                      <w:rFonts w:ascii="Cambria Math" w:hAnsi="Cambria Math"/>
                      <w:i/>
                      <w:noProof/>
                      <w:sz w:val="26"/>
                      <w:szCs w:val="26"/>
                    </w:rPr>
                  </m:ctrlPr>
                </m:sSupPr>
                <m:e>
                  <m:r>
                    <m:rPr>
                      <m:scr m:val="script"/>
                    </m:rPr>
                    <w:rPr>
                      <w:rFonts w:ascii="Cambria Math" w:hAnsi="Cambria Math"/>
                      <w:noProof/>
                      <w:sz w:val="26"/>
                      <w:szCs w:val="26"/>
                    </w:rPr>
                    <m:t>e</m:t>
                  </m:r>
                </m:e>
                <m:sup>
                  <m:r>
                    <w:rPr>
                      <w:rFonts w:ascii="Cambria Math" w:hAnsi="Cambria Math"/>
                      <w:noProof/>
                      <w:sz w:val="26"/>
                      <w:szCs w:val="26"/>
                    </w:rPr>
                    <m:t>10.9729 + .6514</m:t>
                  </m:r>
                  <m:d>
                    <m:dPr>
                      <m:ctrlPr>
                        <w:rPr>
                          <w:rFonts w:ascii="Cambria Math" w:hAnsi="Cambria Math"/>
                          <w:i/>
                          <w:noProof/>
                          <w:sz w:val="26"/>
                          <w:szCs w:val="26"/>
                        </w:rPr>
                      </m:ctrlPr>
                    </m:dPr>
                    <m:e>
                      <m:r>
                        <w:rPr>
                          <w:rFonts w:ascii="Cambria Math" w:hAnsi="Cambria Math"/>
                          <w:noProof/>
                          <w:sz w:val="26"/>
                          <w:szCs w:val="26"/>
                        </w:rPr>
                        <m:t>ln</m:t>
                      </m:r>
                      <m:d>
                        <m:dPr>
                          <m:ctrlPr>
                            <w:rPr>
                              <w:rFonts w:ascii="Cambria Math" w:hAnsi="Cambria Math"/>
                              <w:i/>
                              <w:noProof/>
                              <w:sz w:val="26"/>
                              <w:szCs w:val="26"/>
                            </w:rPr>
                          </m:ctrlPr>
                        </m:dPr>
                        <m:e>
                          <m:d>
                            <m:dPr>
                              <m:begChr m:val="|"/>
                              <m:endChr m:val="|"/>
                              <m:ctrlPr>
                                <w:rPr>
                                  <w:rFonts w:ascii="Cambria Math" w:hAnsi="Cambria Math"/>
                                  <w:i/>
                                  <w:noProof/>
                                  <w:sz w:val="26"/>
                                  <w:szCs w:val="26"/>
                                </w:rPr>
                              </m:ctrlPr>
                            </m:dPr>
                            <m:e>
                              <m:sSub>
                                <m:sSubPr>
                                  <m:ctrlPr>
                                    <w:rPr>
                                      <w:rFonts w:ascii="Cambria Math" w:hAnsi="Cambria Math"/>
                                      <w:i/>
                                      <w:noProof/>
                                      <w:sz w:val="26"/>
                                      <w:szCs w:val="26"/>
                                    </w:rPr>
                                  </m:ctrlPr>
                                </m:sSubPr>
                                <m:e>
                                  <m:r>
                                    <w:rPr>
                                      <w:rFonts w:ascii="Cambria Math" w:hAnsi="Cambria Math"/>
                                      <w:noProof/>
                                      <w:sz w:val="26"/>
                                      <w:szCs w:val="26"/>
                                    </w:rPr>
                                    <m:t>P</m:t>
                                  </m:r>
                                </m:e>
                                <m:sub>
                                  <m:r>
                                    <w:rPr>
                                      <w:rFonts w:ascii="Cambria Math" w:hAnsi="Cambria Math"/>
                                      <w:noProof/>
                                      <w:sz w:val="26"/>
                                      <w:szCs w:val="26"/>
                                    </w:rPr>
                                    <m:t>ijt</m:t>
                                  </m:r>
                                </m:sub>
                              </m:sSub>
                            </m:e>
                          </m:d>
                          <m:r>
                            <m:rPr>
                              <m:scr m:val="script"/>
                            </m:rPr>
                            <w:rPr>
                              <w:rFonts w:ascii="Cambria Math" w:hAnsi="Cambria Math"/>
                              <w:noProof/>
                              <w:sz w:val="26"/>
                              <w:szCs w:val="26"/>
                            </w:rPr>
                            <m:t xml:space="preserve"> + e</m:t>
                          </m:r>
                        </m:e>
                      </m:d>
                    </m:e>
                  </m:d>
                  <m:r>
                    <w:rPr>
                      <w:rFonts w:ascii="Cambria Math" w:hAnsi="Cambria Math"/>
                      <w:noProof/>
                      <w:sz w:val="26"/>
                      <w:szCs w:val="26"/>
                    </w:rPr>
                    <m:t xml:space="preserve"> + .6633 * </m:t>
                  </m:r>
                  <m:r>
                    <w:rPr>
                      <w:rFonts w:ascii="Cambria Math" w:hAnsi="Cambria Math"/>
                      <w:noProof/>
                      <w:sz w:val="26"/>
                      <w:szCs w:val="26"/>
                    </w:rPr>
                    <m:t>Zone</m:t>
                  </m:r>
                  <m:r>
                    <w:rPr>
                      <w:rFonts w:ascii="Cambria Math" w:hAnsi="Cambria Math"/>
                      <w:noProof/>
                      <w:sz w:val="26"/>
                      <w:szCs w:val="26"/>
                    </w:rPr>
                    <m:t xml:space="preserve"> </m:t>
                  </m:r>
                  <m:r>
                    <w:rPr>
                      <w:rFonts w:ascii="Cambria Math" w:hAnsi="Cambria Math"/>
                      <w:noProof/>
                      <w:sz w:val="26"/>
                      <w:szCs w:val="26"/>
                    </w:rPr>
                    <m:t>J</m:t>
                  </m:r>
                  <m:r>
                    <w:rPr>
                      <w:rFonts w:ascii="Cambria Math" w:hAnsi="Cambria Math"/>
                      <w:noProof/>
                      <w:sz w:val="26"/>
                      <w:szCs w:val="26"/>
                    </w:rPr>
                    <m:t xml:space="preserve"> + 1.1607 * </m:t>
                  </m:r>
                  <m:r>
                    <w:rPr>
                      <w:rFonts w:ascii="Cambria Math" w:hAnsi="Cambria Math"/>
                      <w:noProof/>
                      <w:sz w:val="26"/>
                      <w:szCs w:val="26"/>
                    </w:rPr>
                    <m:t>Zone</m:t>
                  </m:r>
                  <m:r>
                    <w:rPr>
                      <w:rFonts w:ascii="Cambria Math" w:hAnsi="Cambria Math"/>
                      <w:noProof/>
                      <w:sz w:val="26"/>
                      <w:szCs w:val="26"/>
                    </w:rPr>
                    <m:t xml:space="preserve"> </m:t>
                  </m:r>
                  <m:r>
                    <w:rPr>
                      <w:rFonts w:ascii="Cambria Math" w:hAnsi="Cambria Math"/>
                      <w:noProof/>
                      <w:sz w:val="26"/>
                      <w:szCs w:val="26"/>
                    </w:rPr>
                    <m:t>K</m:t>
                  </m:r>
                </m:sup>
              </m:sSup>
            </m:e>
          </m:rad>
        </m:oMath>
      </m:oMathPara>
    </w:p>
    <w:p w:rsidR="00AF7719" w:rsidRDefault="00C46825">
      <w:pPr>
        <w:pStyle w:val="alphapara"/>
        <w:spacing w:before="240"/>
        <w:ind w:firstLine="0"/>
      </w:pPr>
      <w:r>
        <w:t>where</w:t>
      </w:r>
      <w:r>
        <w:rPr>
          <w:color w:val="FF0000"/>
        </w:rPr>
        <w:t xml:space="preserve">: </w:t>
      </w:r>
    </w:p>
    <w:p w:rsidR="00AF7719" w:rsidRDefault="00C46825">
      <w:pPr>
        <w:pStyle w:val="equationtext"/>
        <w:tabs>
          <w:tab w:val="clear" w:pos="1620"/>
          <w:tab w:val="left" w:pos="2520"/>
        </w:tabs>
        <w:spacing w:before="0" w:after="240"/>
        <w:ind w:left="2520" w:hanging="1800"/>
      </w:pPr>
      <w:r>
        <w:t>P</w:t>
      </w:r>
      <w:r>
        <w:rPr>
          <w:sz w:val="16"/>
          <w:szCs w:val="16"/>
        </w:rPr>
        <w:t>ij</w:t>
      </w:r>
      <w:r>
        <w:rPr>
          <w:sz w:val="16"/>
          <w:szCs w:val="16"/>
        </w:rPr>
        <w:t xml:space="preserve">t </w:t>
      </w:r>
      <w:r>
        <w:rPr>
          <w:sz w:val="16"/>
          <w:szCs w:val="16"/>
        </w:rPr>
        <w:tab/>
      </w:r>
      <w:r>
        <w:t xml:space="preserve">= </w:t>
      </w:r>
      <w:r>
        <w:tab/>
        <w:t>market clearing price of a two-year TCC in the final round of the two-year Sub-Auction in which the TCC was purchased (or, in the case of a Fixed Price TCC, the final round of the two-year Sub-Auction of the Centralized TCC Auction in which the six-m</w:t>
      </w:r>
      <w:r>
        <w:t>onth Sub-Auction made transmission capacity available to support the sale of TCCs for the first Capability Period in which the applicable Fixed Price TCC would be valid) with the same POI and POW combination as the two-year TCC minus the market clearing pr</w:t>
      </w:r>
      <w:r>
        <w:t xml:space="preserve">ice of a one-year TCC in the final round of the one-year Sub-Auction that directly followed the two-year Sub-Auction in which the TCC was purchased (or, in the case of a Fixed Price TCC, the two-year Sub-Auction of the Centralized TCC Auction in which the </w:t>
      </w:r>
      <w:r>
        <w:t>six-month Sub-Auction made transmission capacity available to support the sale of TCCs for the first Capability Period in which the applicable Fixed Price TCC would be valid) with the same POI and POW combination as the two-year TCC</w:t>
      </w:r>
    </w:p>
    <w:p w:rsidR="00AF7719" w:rsidRDefault="00C46825">
      <w:pPr>
        <w:pStyle w:val="alphapara"/>
      </w:pPr>
      <w:r>
        <w:t xml:space="preserve">(6) </w:t>
      </w:r>
      <w:r>
        <w:tab/>
        <w:t>upon completion of</w:t>
      </w:r>
      <w:r>
        <w:t xml:space="preserve"> the Balance-of-Period Auction immediately preceding the final six months of the first year of the two-year TCC until ISO receipt of payment for the second year of the two-year TCC, the sum of the first year and second year amounts, which will be calculate</w:t>
      </w:r>
      <w:r>
        <w:t>d as follows:</w:t>
      </w:r>
    </w:p>
    <w:p w:rsidR="00AF7719" w:rsidRDefault="00C46825">
      <w:pPr>
        <w:pStyle w:val="alphapara"/>
        <w:ind w:firstLine="0"/>
      </w:pPr>
      <w:r>
        <w:t>First Year:</w:t>
      </w:r>
    </w:p>
    <w:p w:rsidR="00AF7719" w:rsidRDefault="00C46825">
      <w:pPr>
        <w:pStyle w:val="alphapara"/>
        <w:spacing w:after="240" w:line="240" w:lineRule="auto"/>
        <w:ind w:firstLine="0"/>
      </w:pPr>
      <w:r>
        <w:t>the amount calculated in accordance with the appropriate Balance-of-Period TCC Auction holding requirement formula set forth in Section 26.4.2.4.1.6 below</w:t>
      </w:r>
    </w:p>
    <w:p w:rsidR="00AF7719" w:rsidRDefault="00C46825">
      <w:pPr>
        <w:pStyle w:val="alphapara"/>
        <w:ind w:firstLine="0"/>
      </w:pPr>
      <w:r>
        <w:t>Second Year:</w:t>
      </w:r>
    </w:p>
    <w:p w:rsidR="00AF7719" w:rsidRDefault="00C46825">
      <w:pPr>
        <w:pStyle w:val="alphapara"/>
        <w:ind w:firstLine="0"/>
        <w:rPr>
          <w:sz w:val="26"/>
          <w:szCs w:val="26"/>
        </w:rPr>
      </w:pPr>
      <m:oMathPara>
        <m:oMath>
          <m:r>
            <w:rPr>
              <w:rFonts w:ascii="Cambria Math" w:hAnsi="Cambria Math"/>
              <w:noProof/>
              <w:sz w:val="26"/>
              <w:szCs w:val="26"/>
            </w:rPr>
            <m:t>+1.909</m:t>
          </m:r>
          <m:rad>
            <m:radPr>
              <m:degHide m:val="1"/>
              <m:ctrlPr>
                <w:rPr>
                  <w:rFonts w:ascii="Cambria Math" w:hAnsi="Cambria Math"/>
                  <w:i/>
                  <w:noProof/>
                  <w:sz w:val="26"/>
                  <w:szCs w:val="26"/>
                </w:rPr>
              </m:ctrlPr>
            </m:radPr>
            <m:deg/>
            <m:e>
              <m:sSup>
                <m:sSupPr>
                  <m:ctrlPr>
                    <w:rPr>
                      <w:rFonts w:ascii="Cambria Math" w:hAnsi="Cambria Math"/>
                      <w:i/>
                      <w:noProof/>
                      <w:sz w:val="26"/>
                      <w:szCs w:val="26"/>
                    </w:rPr>
                  </m:ctrlPr>
                </m:sSupPr>
                <m:e>
                  <m:r>
                    <m:rPr>
                      <m:scr m:val="script"/>
                    </m:rPr>
                    <w:rPr>
                      <w:rFonts w:ascii="Cambria Math" w:hAnsi="Cambria Math"/>
                      <w:noProof/>
                      <w:sz w:val="26"/>
                      <w:szCs w:val="26"/>
                    </w:rPr>
                    <m:t>e</m:t>
                  </m:r>
                </m:e>
                <m:sup>
                  <m:r>
                    <w:rPr>
                      <w:rFonts w:ascii="Cambria Math" w:hAnsi="Cambria Math"/>
                      <w:noProof/>
                      <w:sz w:val="26"/>
                      <w:szCs w:val="26"/>
                    </w:rPr>
                    <m:t>10.9729 + .6514</m:t>
                  </m:r>
                  <m:d>
                    <m:dPr>
                      <m:ctrlPr>
                        <w:rPr>
                          <w:rFonts w:ascii="Cambria Math" w:hAnsi="Cambria Math"/>
                          <w:i/>
                          <w:noProof/>
                          <w:sz w:val="26"/>
                          <w:szCs w:val="26"/>
                        </w:rPr>
                      </m:ctrlPr>
                    </m:dPr>
                    <m:e>
                      <m:r>
                        <w:rPr>
                          <w:rFonts w:ascii="Cambria Math" w:hAnsi="Cambria Math"/>
                          <w:noProof/>
                          <w:sz w:val="26"/>
                          <w:szCs w:val="26"/>
                        </w:rPr>
                        <m:t>ln</m:t>
                      </m:r>
                      <m:d>
                        <m:dPr>
                          <m:ctrlPr>
                            <w:rPr>
                              <w:rFonts w:ascii="Cambria Math" w:hAnsi="Cambria Math"/>
                              <w:i/>
                              <w:noProof/>
                              <w:sz w:val="26"/>
                              <w:szCs w:val="26"/>
                            </w:rPr>
                          </m:ctrlPr>
                        </m:dPr>
                        <m:e>
                          <m:d>
                            <m:dPr>
                              <m:begChr m:val="|"/>
                              <m:endChr m:val="|"/>
                              <m:ctrlPr>
                                <w:rPr>
                                  <w:rFonts w:ascii="Cambria Math" w:hAnsi="Cambria Math"/>
                                  <w:i/>
                                  <w:noProof/>
                                  <w:sz w:val="26"/>
                                  <w:szCs w:val="26"/>
                                </w:rPr>
                              </m:ctrlPr>
                            </m:dPr>
                            <m:e>
                              <m:sSub>
                                <m:sSubPr>
                                  <m:ctrlPr>
                                    <w:rPr>
                                      <w:rFonts w:ascii="Cambria Math" w:hAnsi="Cambria Math"/>
                                      <w:i/>
                                      <w:noProof/>
                                      <w:sz w:val="26"/>
                                      <w:szCs w:val="26"/>
                                    </w:rPr>
                                  </m:ctrlPr>
                                </m:sSubPr>
                                <m:e>
                                  <m:r>
                                    <w:rPr>
                                      <w:rFonts w:ascii="Cambria Math" w:hAnsi="Cambria Math"/>
                                      <w:noProof/>
                                      <w:sz w:val="26"/>
                                      <w:szCs w:val="26"/>
                                    </w:rPr>
                                    <m:t>P</m:t>
                                  </m:r>
                                </m:e>
                                <m:sub>
                                  <m:r>
                                    <w:rPr>
                                      <w:rFonts w:ascii="Cambria Math" w:hAnsi="Cambria Math"/>
                                      <w:noProof/>
                                      <w:sz w:val="26"/>
                                      <w:szCs w:val="26"/>
                                    </w:rPr>
                                    <m:t>ijt</m:t>
                                  </m:r>
                                </m:sub>
                              </m:sSub>
                            </m:e>
                          </m:d>
                          <m:r>
                            <m:rPr>
                              <m:scr m:val="script"/>
                            </m:rPr>
                            <w:rPr>
                              <w:rFonts w:ascii="Cambria Math" w:hAnsi="Cambria Math"/>
                              <w:noProof/>
                              <w:sz w:val="26"/>
                              <w:szCs w:val="26"/>
                            </w:rPr>
                            <m:t xml:space="preserve"> + e</m:t>
                          </m:r>
                        </m:e>
                      </m:d>
                    </m:e>
                  </m:d>
                  <m:r>
                    <w:rPr>
                      <w:rFonts w:ascii="Cambria Math" w:hAnsi="Cambria Math"/>
                      <w:noProof/>
                      <w:sz w:val="26"/>
                      <w:szCs w:val="26"/>
                    </w:rPr>
                    <m:t xml:space="preserve"> + .6633 * </m:t>
                  </m:r>
                  <m:r>
                    <w:rPr>
                      <w:rFonts w:ascii="Cambria Math" w:hAnsi="Cambria Math"/>
                      <w:noProof/>
                      <w:sz w:val="26"/>
                      <w:szCs w:val="26"/>
                    </w:rPr>
                    <m:t>Zone</m:t>
                  </m:r>
                  <m:r>
                    <w:rPr>
                      <w:rFonts w:ascii="Cambria Math" w:hAnsi="Cambria Math"/>
                      <w:noProof/>
                      <w:sz w:val="26"/>
                      <w:szCs w:val="26"/>
                    </w:rPr>
                    <m:t xml:space="preserve"> </m:t>
                  </m:r>
                  <m:r>
                    <w:rPr>
                      <w:rFonts w:ascii="Cambria Math" w:hAnsi="Cambria Math"/>
                      <w:noProof/>
                      <w:sz w:val="26"/>
                      <w:szCs w:val="26"/>
                    </w:rPr>
                    <m:t>J</m:t>
                  </m:r>
                  <m:r>
                    <w:rPr>
                      <w:rFonts w:ascii="Cambria Math" w:hAnsi="Cambria Math"/>
                      <w:noProof/>
                      <w:sz w:val="26"/>
                      <w:szCs w:val="26"/>
                    </w:rPr>
                    <m:t xml:space="preserve"> +</m:t>
                  </m:r>
                  <m:r>
                    <w:rPr>
                      <w:rFonts w:ascii="Cambria Math" w:hAnsi="Cambria Math"/>
                      <w:noProof/>
                      <w:sz w:val="26"/>
                      <w:szCs w:val="26"/>
                    </w:rPr>
                    <m:t xml:space="preserve"> 1.1607 * </m:t>
                  </m:r>
                  <m:r>
                    <w:rPr>
                      <w:rFonts w:ascii="Cambria Math" w:hAnsi="Cambria Math"/>
                      <w:noProof/>
                      <w:sz w:val="26"/>
                      <w:szCs w:val="26"/>
                    </w:rPr>
                    <m:t>Zone</m:t>
                  </m:r>
                  <m:r>
                    <w:rPr>
                      <w:rFonts w:ascii="Cambria Math" w:hAnsi="Cambria Math"/>
                      <w:noProof/>
                      <w:sz w:val="26"/>
                      <w:szCs w:val="26"/>
                    </w:rPr>
                    <m:t xml:space="preserve"> </m:t>
                  </m:r>
                  <m:r>
                    <w:rPr>
                      <w:rFonts w:ascii="Cambria Math" w:hAnsi="Cambria Math"/>
                      <w:noProof/>
                      <w:sz w:val="26"/>
                      <w:szCs w:val="26"/>
                    </w:rPr>
                    <m:t>K</m:t>
                  </m:r>
                </m:sup>
              </m:sSup>
            </m:e>
          </m:rad>
        </m:oMath>
      </m:oMathPara>
    </w:p>
    <w:p w:rsidR="00AF7719" w:rsidRDefault="00C46825">
      <w:pPr>
        <w:pStyle w:val="alphapara"/>
        <w:ind w:firstLine="0"/>
      </w:pPr>
      <w:r>
        <w:t>where:</w:t>
      </w:r>
    </w:p>
    <w:p w:rsidR="00AF7719" w:rsidRDefault="00C46825">
      <w:pPr>
        <w:pStyle w:val="equationtext"/>
        <w:tabs>
          <w:tab w:val="clear" w:pos="1620"/>
          <w:tab w:val="left" w:pos="2520"/>
        </w:tabs>
        <w:spacing w:before="0" w:after="240"/>
        <w:ind w:left="2520" w:hanging="1800"/>
      </w:pPr>
      <w:r>
        <w:t>P</w:t>
      </w:r>
      <w:r>
        <w:rPr>
          <w:sz w:val="16"/>
          <w:szCs w:val="16"/>
        </w:rPr>
        <w:t xml:space="preserve">ijt </w:t>
      </w:r>
      <w:r>
        <w:rPr>
          <w:sz w:val="16"/>
          <w:szCs w:val="16"/>
        </w:rPr>
        <w:tab/>
      </w:r>
      <w:r>
        <w:t xml:space="preserve">= </w:t>
      </w:r>
      <w:r>
        <w:tab/>
        <w:t>market clearing price of a two-year TCC in the final round of the two-year Sub-Auction in which the TCC was purchased (or, in the case of a Fixed Price TCC, the final round of the two-year Sub-Auction of the Centralize</w:t>
      </w:r>
      <w:r>
        <w:t xml:space="preserve">d TCC Auction in which the six-month Sub-Auction made transmission capacity available to support the sale of TCCs for the first Capability Period in which the applicable Fixed Price TCC would be valid) with the same POI and POW combination as the two-year </w:t>
      </w:r>
      <w:r>
        <w:t>TCC minus the market clearing price of a one-year TCC in the final round of the one-year Sub-Auction that directly followed the two-year Sub-Auction in which the TCC was purchased (or, in the case of a Fixed Price TCC, the two-year Sub-Auction of the Centr</w:t>
      </w:r>
      <w:r>
        <w:t>alized TCC Auction in which the six-month Sub-Auction made transmission capacity available to support the sale of TCCs for the first Capability Period in which the applicable Fixed Price TCC would be valid) with the same POI and POW combination as the two-</w:t>
      </w:r>
      <w:r>
        <w:t>year TCC</w:t>
      </w:r>
    </w:p>
    <w:p w:rsidR="00AF7719" w:rsidRDefault="00C46825">
      <w:pPr>
        <w:pStyle w:val="alphapara"/>
      </w:pPr>
      <w:r>
        <w:t>(7)</w:t>
      </w:r>
      <w:r>
        <w:tab/>
        <w:t>upon ISO receipt of payment for the second year of the two-year TCC until completion of the final round of the one-year Sub-Auction in the next Centralized TCC Auction, the sum of the first year and second year amounts, which will be calculate</w:t>
      </w:r>
      <w:r>
        <w:t>d as follows:</w:t>
      </w:r>
    </w:p>
    <w:p w:rsidR="00AF7719" w:rsidRDefault="00C46825">
      <w:pPr>
        <w:ind w:left="1440"/>
        <w:rPr>
          <w:u w:val="single"/>
        </w:rPr>
      </w:pPr>
      <w:r>
        <w:rPr>
          <w:u w:val="single"/>
        </w:rPr>
        <w:t>First Year</w:t>
      </w:r>
      <w:r>
        <w:t>:</w:t>
      </w:r>
    </w:p>
    <w:p w:rsidR="00AF7719" w:rsidRDefault="00C46825">
      <w:pPr>
        <w:pStyle w:val="equationtext"/>
        <w:tabs>
          <w:tab w:val="clear" w:pos="1620"/>
          <w:tab w:val="clear" w:pos="2160"/>
        </w:tabs>
        <w:spacing w:after="0"/>
        <w:ind w:left="1440" w:firstLine="0"/>
      </w:pPr>
      <w:r>
        <w:t>the amount calculated in accordance with the appropriate Balance-of-Period Auction holding requirement formula set forth in Section 26.4.2.4.1.6 below</w:t>
      </w:r>
    </w:p>
    <w:p w:rsidR="00AF7719" w:rsidRDefault="00C46825">
      <w:pPr>
        <w:pStyle w:val="equationtext"/>
        <w:tabs>
          <w:tab w:val="clear" w:pos="1620"/>
          <w:tab w:val="clear" w:pos="2160"/>
        </w:tabs>
        <w:spacing w:after="0"/>
        <w:ind w:left="1440" w:firstLine="0"/>
        <w:rPr>
          <w:u w:val="single"/>
        </w:rPr>
      </w:pPr>
      <w:r>
        <w:rPr>
          <w:u w:val="single"/>
        </w:rPr>
        <w:t>Second Year</w:t>
      </w:r>
      <w:r>
        <w:t>:</w:t>
      </w:r>
    </w:p>
    <w:p w:rsidR="00AF7719" w:rsidRDefault="00C46825">
      <w:pPr>
        <w:pStyle w:val="equationtext"/>
        <w:tabs>
          <w:tab w:val="clear" w:pos="1620"/>
          <w:tab w:val="clear" w:pos="2160"/>
          <w:tab w:val="left" w:pos="1800"/>
          <w:tab w:val="left" w:pos="2880"/>
        </w:tabs>
        <w:ind w:left="1440" w:firstLine="0"/>
      </w:pPr>
      <w:r>
        <w:t xml:space="preserve">the amount calculated in accordance with the one-year TCC formula </w:t>
      </w:r>
      <w:r>
        <w:t>set forth in Section 26.4.2.4.1.5 below</w:t>
      </w:r>
    </w:p>
    <w:p w:rsidR="00AF7719" w:rsidRDefault="00C46825">
      <w:pPr>
        <w:pStyle w:val="Bodypara"/>
        <w:ind w:left="1440" w:firstLine="0"/>
      </w:pPr>
      <w:r>
        <w:t>where:</w:t>
      </w:r>
    </w:p>
    <w:p w:rsidR="00AF7719" w:rsidRDefault="00C46825">
      <w:pPr>
        <w:pStyle w:val="equationtext"/>
        <w:tabs>
          <w:tab w:val="clear" w:pos="1620"/>
          <w:tab w:val="left" w:pos="2520"/>
        </w:tabs>
        <w:ind w:left="2520" w:hanging="1800"/>
      </w:pPr>
      <w:r>
        <w:t>P</w:t>
      </w:r>
      <w:r>
        <w:rPr>
          <w:vertAlign w:val="subscript"/>
        </w:rPr>
        <w:t>ijt</w:t>
      </w:r>
      <w:r>
        <w:tab/>
        <w:t>=</w:t>
      </w:r>
      <w:r>
        <w:tab/>
        <w:t>market clearing price of a one-year TCC in the final round of the one-year Sub-Auction in the prior equivalent Capability Period Centralized TCC Auction with the same POI and POW combination as</w:t>
      </w:r>
      <w:r>
        <w:t xml:space="preserve"> the two-year TCC</w:t>
      </w:r>
    </w:p>
    <w:p w:rsidR="00AF7719" w:rsidRDefault="00C46825">
      <w:pPr>
        <w:pStyle w:val="alphapara"/>
      </w:pPr>
      <w:r>
        <w:t>(8)</w:t>
      </w:r>
      <w:r>
        <w:tab/>
        <w:t xml:space="preserve">upon completion of the final round of the one-year Sub-Auction for the second year of the two-year TCC until completion of the Balance-of-Period Auction for the first month of the second year of the two-year TCC, the sum of the first </w:t>
      </w:r>
      <w:r>
        <w:t>year and second year amounts, which will be calculated as follows::</w:t>
      </w:r>
    </w:p>
    <w:p w:rsidR="00AF7719" w:rsidRDefault="00C46825">
      <w:pPr>
        <w:pStyle w:val="equationtext"/>
        <w:tabs>
          <w:tab w:val="clear" w:pos="1620"/>
          <w:tab w:val="clear" w:pos="2160"/>
        </w:tabs>
        <w:spacing w:before="0" w:after="0"/>
        <w:ind w:left="1440" w:firstLine="0"/>
      </w:pPr>
      <w:r>
        <w:rPr>
          <w:u w:val="single"/>
        </w:rPr>
        <w:t>First</w:t>
      </w:r>
      <w:r>
        <w:t xml:space="preserve"> Year: </w:t>
      </w:r>
    </w:p>
    <w:p w:rsidR="00AF7719" w:rsidRDefault="00C46825">
      <w:pPr>
        <w:pStyle w:val="equationtext"/>
        <w:tabs>
          <w:tab w:val="clear" w:pos="1620"/>
          <w:tab w:val="clear" w:pos="2160"/>
          <w:tab w:val="left" w:pos="1800"/>
          <w:tab w:val="left" w:pos="2880"/>
        </w:tabs>
        <w:ind w:left="1440" w:firstLine="0"/>
      </w:pPr>
      <w:r>
        <w:t xml:space="preserve">the amount calculated in accordance with the appropriate Balance-of-Period Auction holding requirement formula set forth in Section 26.4.2.4.1.6 below </w:t>
      </w:r>
    </w:p>
    <w:p w:rsidR="00AF7719" w:rsidRDefault="00C46825">
      <w:pPr>
        <w:pStyle w:val="equationtext"/>
        <w:tabs>
          <w:tab w:val="clear" w:pos="1620"/>
          <w:tab w:val="clear" w:pos="2160"/>
        </w:tabs>
        <w:spacing w:after="0"/>
        <w:ind w:left="1440" w:firstLine="0"/>
      </w:pPr>
      <w:r>
        <w:rPr>
          <w:u w:val="single"/>
        </w:rPr>
        <w:t>Second Year</w:t>
      </w:r>
      <w:r>
        <w:t xml:space="preserve">: </w:t>
      </w:r>
    </w:p>
    <w:p w:rsidR="00AF7719" w:rsidRDefault="00C46825">
      <w:pPr>
        <w:pStyle w:val="equationtext"/>
        <w:tabs>
          <w:tab w:val="clear" w:pos="1620"/>
        </w:tabs>
        <w:ind w:left="1440" w:firstLine="0"/>
      </w:pPr>
      <w:r>
        <w:t>the amoun</w:t>
      </w:r>
      <w:r>
        <w:t>t calculated in accordance with the one-year TCC formula set forth in Section 26.4.2.4.1.5 below</w:t>
      </w:r>
    </w:p>
    <w:p w:rsidR="00AF7719" w:rsidRDefault="00C46825">
      <w:pPr>
        <w:pStyle w:val="Bodypara"/>
        <w:ind w:left="2160" w:hanging="720"/>
      </w:pPr>
      <w:r>
        <w:t>where:</w:t>
      </w:r>
    </w:p>
    <w:p w:rsidR="00AF7719" w:rsidRDefault="00C46825">
      <w:pPr>
        <w:pStyle w:val="equationtext"/>
        <w:tabs>
          <w:tab w:val="clear" w:pos="1620"/>
          <w:tab w:val="left" w:pos="2520"/>
        </w:tabs>
        <w:ind w:left="2520" w:hanging="1800"/>
      </w:pPr>
      <w:r>
        <w:t>P</w:t>
      </w:r>
      <w:r>
        <w:rPr>
          <w:vertAlign w:val="subscript"/>
        </w:rPr>
        <w:t>ijt</w:t>
      </w:r>
      <w:r>
        <w:tab/>
        <w:t>=</w:t>
      </w:r>
      <w:r>
        <w:tab/>
        <w:t>market clearing price of a one-year TCC in the final round of the most recently completed one-year Sub</w:t>
      </w:r>
      <w:r>
        <w:rPr>
          <w:strike/>
        </w:rPr>
        <w:t xml:space="preserve"> </w:t>
      </w:r>
      <w:r>
        <w:t>Auction with the same POI and POW combinat</w:t>
      </w:r>
      <w:r>
        <w:t>ion as the two-year TCC</w:t>
      </w:r>
    </w:p>
    <w:p w:rsidR="00AF7719" w:rsidRDefault="00C46825">
      <w:pPr>
        <w:pStyle w:val="alphapara"/>
        <w:rPr>
          <w:bCs/>
        </w:rPr>
      </w:pPr>
      <w:bookmarkStart w:id="15" w:name="_Toc263691839"/>
      <w:r>
        <w:rPr>
          <w:bCs/>
        </w:rPr>
        <w:t>(9)</w:t>
      </w:r>
      <w:r>
        <w:rPr>
          <w:bCs/>
        </w:rPr>
        <w:tab/>
      </w:r>
      <w:bookmarkStart w:id="16" w:name="OLE_LINK3"/>
      <w:r>
        <w:rPr>
          <w:bCs/>
        </w:rPr>
        <w:t>upon completion of the Balance-of-Period Auction for the first month of the second year of the two-year TCC until completion of the final round of the</w:t>
      </w:r>
      <w:r>
        <w:t xml:space="preserve"> </w:t>
      </w:r>
      <w:r>
        <w:rPr>
          <w:bCs/>
        </w:rPr>
        <w:t>six-month Sub-Auction in the next Centralized TCC Auction, the sum of the fir</w:t>
      </w:r>
      <w:r>
        <w:rPr>
          <w:bCs/>
        </w:rPr>
        <w:t>st year and second year amounts, which will be calculated as follows:</w:t>
      </w:r>
    </w:p>
    <w:p w:rsidR="00AF7719" w:rsidRDefault="00C46825">
      <w:pPr>
        <w:pStyle w:val="equationtext"/>
        <w:tabs>
          <w:tab w:val="clear" w:pos="1620"/>
          <w:tab w:val="clear" w:pos="2160"/>
        </w:tabs>
        <w:spacing w:before="0" w:after="0"/>
        <w:ind w:left="1440" w:firstLine="0"/>
        <w:rPr>
          <w:bCs/>
        </w:rPr>
      </w:pPr>
      <w:r>
        <w:rPr>
          <w:bCs/>
        </w:rPr>
        <w:t xml:space="preserve">First </w:t>
      </w:r>
      <w:r>
        <w:rPr>
          <w:u w:val="single"/>
        </w:rPr>
        <w:t>Year</w:t>
      </w:r>
      <w:r>
        <w:rPr>
          <w:bCs/>
        </w:rPr>
        <w:t>:</w:t>
      </w:r>
    </w:p>
    <w:p w:rsidR="00AF7719" w:rsidRDefault="00C46825">
      <w:pPr>
        <w:pStyle w:val="equationtext"/>
        <w:tabs>
          <w:tab w:val="clear" w:pos="1620"/>
        </w:tabs>
        <w:spacing w:before="240" w:after="240"/>
        <w:ind w:left="1440" w:firstLine="0"/>
        <w:rPr>
          <w:bCs/>
        </w:rPr>
      </w:pPr>
      <w:r>
        <w:rPr>
          <w:bCs/>
        </w:rPr>
        <w:t xml:space="preserve">the amount </w:t>
      </w:r>
      <w:r>
        <w:t>calculated</w:t>
      </w:r>
      <w:r>
        <w:rPr>
          <w:bCs/>
        </w:rPr>
        <w:t xml:space="preserve"> in accordance with the appropriate Balance-of-Period Auction holding requirement formula set forth in Section 26.4.2.4.1.6 below</w:t>
      </w:r>
    </w:p>
    <w:p w:rsidR="00AF7719" w:rsidRDefault="00C46825">
      <w:pPr>
        <w:pStyle w:val="equationtext"/>
        <w:tabs>
          <w:tab w:val="clear" w:pos="1620"/>
          <w:tab w:val="clear" w:pos="2160"/>
        </w:tabs>
        <w:spacing w:before="0" w:after="0"/>
        <w:ind w:left="1440" w:firstLine="0"/>
        <w:rPr>
          <w:bCs/>
        </w:rPr>
      </w:pPr>
      <w:r>
        <w:rPr>
          <w:bCs/>
        </w:rPr>
        <w:t>Second Year:</w:t>
      </w:r>
    </w:p>
    <w:p w:rsidR="00AF7719" w:rsidRDefault="00C46825">
      <w:pPr>
        <w:pStyle w:val="equationtext"/>
        <w:tabs>
          <w:tab w:val="clear" w:pos="1620"/>
        </w:tabs>
        <w:spacing w:before="240" w:after="240"/>
        <w:ind w:left="1440" w:firstLine="0"/>
        <w:rPr>
          <w:bCs/>
        </w:rPr>
      </w:pPr>
      <w:r>
        <w:rPr>
          <w:bCs/>
        </w:rPr>
        <w:t>the amount</w:t>
      </w:r>
      <w:r>
        <w:rPr>
          <w:bCs/>
        </w:rPr>
        <w:t xml:space="preserve"> calculated in accordance with the appropriate Balance-of-Period Auction holding requirement formula set forth in Section 26.4.2.4.1.6 below</w:t>
      </w:r>
    </w:p>
    <w:p w:rsidR="00AF7719" w:rsidRDefault="00C46825">
      <w:pPr>
        <w:pStyle w:val="alphapara"/>
        <w:rPr>
          <w:bCs/>
        </w:rPr>
      </w:pPr>
      <w:r>
        <w:rPr>
          <w:bCs/>
        </w:rPr>
        <w:t xml:space="preserve">(10) </w:t>
      </w:r>
      <w:r>
        <w:rPr>
          <w:bCs/>
        </w:rPr>
        <w:tab/>
        <w:t xml:space="preserve">upon completion of the final round of the six-month Sub-Auction for the final six months of the two-year TCC </w:t>
      </w:r>
      <w:r>
        <w:rPr>
          <w:bCs/>
        </w:rPr>
        <w:t>until completion of the Balance-of-Period Auction immediately preceding the final six months of the two-year TCC:</w:t>
      </w:r>
    </w:p>
    <w:p w:rsidR="00AF7719" w:rsidRDefault="00C46825">
      <w:pPr>
        <w:pStyle w:val="subhead"/>
        <w:spacing w:before="0"/>
        <w:ind w:left="1440"/>
        <w:rPr>
          <w:b w:val="0"/>
        </w:rPr>
      </w:pPr>
      <w:r>
        <w:rPr>
          <w:b w:val="0"/>
        </w:rPr>
        <w:t>the amount calculated in accordance with the six-month TCC formula set forth in Section 26.4.2.4.1.5  below</w:t>
      </w:r>
    </w:p>
    <w:p w:rsidR="00AF7719" w:rsidRDefault="00C46825">
      <w:pPr>
        <w:pStyle w:val="Bodypara"/>
        <w:ind w:left="720" w:firstLine="0"/>
      </w:pPr>
      <w:r>
        <w:tab/>
        <w:t>where:</w:t>
      </w:r>
    </w:p>
    <w:p w:rsidR="00AF7719" w:rsidRDefault="00C46825">
      <w:pPr>
        <w:pStyle w:val="equationtext"/>
        <w:tabs>
          <w:tab w:val="clear" w:pos="1620"/>
          <w:tab w:val="left" w:pos="2520"/>
        </w:tabs>
        <w:ind w:left="2520" w:hanging="1800"/>
      </w:pPr>
      <w:r>
        <w:t>P</w:t>
      </w:r>
      <w:r>
        <w:rPr>
          <w:vertAlign w:val="subscript"/>
        </w:rPr>
        <w:t>ijt</w:t>
      </w:r>
      <w:r>
        <w:tab/>
        <w:t>=</w:t>
      </w:r>
      <w:r>
        <w:tab/>
        <w:t xml:space="preserve">market clearing </w:t>
      </w:r>
      <w:r>
        <w:t>price of a six-month TCC in the final round of the most recently completed six-month Sub-Auction with the same POI and POW combination as the two-year TCC</w:t>
      </w:r>
    </w:p>
    <w:bookmarkEnd w:id="16"/>
    <w:p w:rsidR="00AF7719" w:rsidRDefault="00C46825">
      <w:pPr>
        <w:pStyle w:val="alphapara"/>
        <w:rPr>
          <w:bCs/>
        </w:rPr>
      </w:pPr>
      <w:r>
        <w:rPr>
          <w:bCs/>
        </w:rPr>
        <w:t>(11)</w:t>
      </w:r>
      <w:r>
        <w:rPr>
          <w:bCs/>
        </w:rPr>
        <w:tab/>
        <w:t xml:space="preserve">upon completion of the Balance-of-Period Auction for the first month of the final six months of </w:t>
      </w:r>
      <w:r>
        <w:rPr>
          <w:bCs/>
        </w:rPr>
        <w:t>a two-year TCC:</w:t>
      </w:r>
    </w:p>
    <w:p w:rsidR="00AF7719" w:rsidRDefault="00C46825">
      <w:pPr>
        <w:pStyle w:val="subhead"/>
        <w:ind w:left="1440"/>
        <w:rPr>
          <w:b w:val="0"/>
        </w:rPr>
      </w:pPr>
      <w:r>
        <w:rPr>
          <w:b w:val="0"/>
        </w:rPr>
        <w:t>the amount calculated in accordance with the Balance-of-Period TCC formulas set forth in Section 26.4.2.4.1.5 below</w:t>
      </w:r>
    </w:p>
    <w:p w:rsidR="00AF7719" w:rsidRDefault="00C46825">
      <w:pPr>
        <w:pStyle w:val="Bodypara"/>
        <w:ind w:left="1440" w:hanging="720"/>
      </w:pPr>
      <w:r>
        <w:tab/>
      </w:r>
    </w:p>
    <w:p w:rsidR="00AF7719" w:rsidRDefault="00C46825">
      <w:pPr>
        <w:pStyle w:val="Heading4"/>
      </w:pPr>
      <w:r>
        <w:t>26.4.2.4.1.2</w:t>
      </w:r>
      <w:r>
        <w:tab/>
        <w:t>One-Year TCCs:</w:t>
      </w:r>
    </w:p>
    <w:bookmarkEnd w:id="15"/>
    <w:p w:rsidR="00AF7719" w:rsidRDefault="00C46825">
      <w:pPr>
        <w:pStyle w:val="alphapara"/>
        <w:rPr>
          <w:bCs/>
        </w:rPr>
      </w:pPr>
      <w:r>
        <w:rPr>
          <w:bCs/>
        </w:rPr>
        <w:t>(1)</w:t>
      </w:r>
      <w:r>
        <w:rPr>
          <w:bCs/>
        </w:rPr>
        <w:tab/>
        <w:t>upon initial award of a one-year TCC (including a Fixed Price TCC with a one-year duration</w:t>
      </w:r>
      <w:r>
        <w:rPr>
          <w:bCs/>
        </w:rPr>
        <w:t>) until completion of the final round of the current one-year Sub-Auction:</w:t>
      </w:r>
    </w:p>
    <w:p w:rsidR="00AF7719" w:rsidRDefault="00C46825">
      <w:pPr>
        <w:pStyle w:val="subhead"/>
        <w:keepNext w:val="0"/>
        <w:widowControl w:val="0"/>
        <w:spacing w:before="120" w:after="120"/>
        <w:ind w:left="1440"/>
        <w:rPr>
          <w:b w:val="0"/>
        </w:rPr>
      </w:pPr>
      <w:r>
        <w:rPr>
          <w:b w:val="0"/>
        </w:rPr>
        <w:t>the amount calculated in accordance with the one-year TCC formula set forth in Section 26.4.2.4.1.5 below</w:t>
      </w:r>
    </w:p>
    <w:p w:rsidR="00AF7719" w:rsidRDefault="00C46825">
      <w:pPr>
        <w:pStyle w:val="alphapara"/>
        <w:rPr>
          <w:bCs/>
        </w:rPr>
      </w:pPr>
      <w:r>
        <w:rPr>
          <w:bCs/>
        </w:rPr>
        <w:t>(2)</w:t>
      </w:r>
      <w:r>
        <w:rPr>
          <w:bCs/>
        </w:rPr>
        <w:tab/>
        <w:t xml:space="preserve">upon completion of the final round of the current one-year Sub-Auction </w:t>
      </w:r>
      <w:r>
        <w:rPr>
          <w:bCs/>
        </w:rPr>
        <w:t>until completion of the Balance-of-Period Auction for the first month of the one-year TCC:</w:t>
      </w:r>
    </w:p>
    <w:p w:rsidR="00AF7719" w:rsidRDefault="00C46825">
      <w:pPr>
        <w:pStyle w:val="subhead"/>
        <w:keepNext w:val="0"/>
        <w:widowControl w:val="0"/>
        <w:spacing w:before="120" w:after="120"/>
        <w:ind w:left="1440"/>
        <w:rPr>
          <w:b w:val="0"/>
        </w:rPr>
      </w:pPr>
      <w:r>
        <w:rPr>
          <w:b w:val="0"/>
        </w:rPr>
        <w:t>the amount calculated in accordance with the one-year TCC formula set forth in Section 26.4.2.4.1.5 below</w:t>
      </w:r>
    </w:p>
    <w:p w:rsidR="00AF7719" w:rsidRDefault="00C46825">
      <w:pPr>
        <w:pStyle w:val="Bodypara"/>
        <w:spacing w:line="240" w:lineRule="auto"/>
        <w:ind w:left="1440" w:firstLine="0"/>
      </w:pPr>
    </w:p>
    <w:p w:rsidR="00AF7719" w:rsidRDefault="00C46825">
      <w:pPr>
        <w:pStyle w:val="Bodypara"/>
        <w:ind w:left="1440" w:firstLine="0"/>
      </w:pPr>
      <w:r>
        <w:t>where:</w:t>
      </w:r>
    </w:p>
    <w:p w:rsidR="00AF7719" w:rsidRDefault="00C46825">
      <w:pPr>
        <w:pStyle w:val="equationtext"/>
        <w:tabs>
          <w:tab w:val="clear" w:pos="1620"/>
          <w:tab w:val="left" w:pos="2520"/>
        </w:tabs>
        <w:ind w:left="2520" w:hanging="1800"/>
      </w:pPr>
      <w:r>
        <w:t>P</w:t>
      </w:r>
      <w:r>
        <w:rPr>
          <w:vertAlign w:val="subscript"/>
        </w:rPr>
        <w:t>ijt</w:t>
      </w:r>
      <w:r>
        <w:tab/>
        <w:t>=</w:t>
      </w:r>
      <w:r>
        <w:tab/>
        <w:t>market clearing price of a one-year TCC in t</w:t>
      </w:r>
      <w:r>
        <w:t>he final round of the current one-year Sub-Auction with the same POI and POW combination as the one-year TCC</w:t>
      </w:r>
    </w:p>
    <w:p w:rsidR="00AF7719" w:rsidRDefault="00C46825">
      <w:pPr>
        <w:pStyle w:val="alphapara"/>
        <w:rPr>
          <w:bCs/>
        </w:rPr>
      </w:pPr>
      <w:r>
        <w:rPr>
          <w:bCs/>
        </w:rPr>
        <w:t>(3)</w:t>
      </w:r>
      <w:r>
        <w:rPr>
          <w:bCs/>
        </w:rPr>
        <w:tab/>
        <w:t>upon completion of the Balance-of-Period Auction for the first month of the one-year TCC until completion of the final round of the six month S</w:t>
      </w:r>
      <w:r>
        <w:rPr>
          <w:bCs/>
        </w:rPr>
        <w:t>ub-Auction in the next Centralized TCC Auction:</w:t>
      </w:r>
    </w:p>
    <w:p w:rsidR="00AF7719" w:rsidRDefault="00C46825">
      <w:pPr>
        <w:pStyle w:val="subhead"/>
        <w:keepNext w:val="0"/>
        <w:widowControl w:val="0"/>
        <w:spacing w:before="0"/>
        <w:ind w:left="1440"/>
        <w:rPr>
          <w:b w:val="0"/>
        </w:rPr>
      </w:pPr>
      <w:r>
        <w:rPr>
          <w:b w:val="0"/>
        </w:rPr>
        <w:t>the amount calculated in accordance with the appropriate Balance-of-Period Auction holding requirement formula set forth in Section 26.4.2.4.1.6 below</w:t>
      </w:r>
    </w:p>
    <w:p w:rsidR="00AF7719" w:rsidRDefault="00C46825">
      <w:pPr>
        <w:pStyle w:val="alphapara"/>
        <w:rPr>
          <w:b/>
          <w:bCs/>
        </w:rPr>
      </w:pPr>
      <w:r>
        <w:rPr>
          <w:bCs/>
        </w:rPr>
        <w:t xml:space="preserve">(4) </w:t>
      </w:r>
      <w:r>
        <w:rPr>
          <w:bCs/>
        </w:rPr>
        <w:tab/>
        <w:t xml:space="preserve">upon completion of the final round of the six-month </w:t>
      </w:r>
      <w:r>
        <w:rPr>
          <w:bCs/>
        </w:rPr>
        <w:t>Sub-Auction for the final six months of a one-year TCC until completion of the Balance-of-Period Auction immediately preceding the final six months of a one-year TCC:</w:t>
      </w:r>
    </w:p>
    <w:p w:rsidR="00AF7719" w:rsidRDefault="00C46825">
      <w:pPr>
        <w:pStyle w:val="subhead"/>
        <w:spacing w:before="0"/>
        <w:ind w:left="1440"/>
        <w:rPr>
          <w:b w:val="0"/>
        </w:rPr>
      </w:pPr>
      <w:r>
        <w:rPr>
          <w:b w:val="0"/>
        </w:rPr>
        <w:t>the amount calculated in accordance with the six-month TCC formula set forth in Section 2</w:t>
      </w:r>
      <w:r>
        <w:rPr>
          <w:b w:val="0"/>
        </w:rPr>
        <w:t>6.4.2.4.1.5 below</w:t>
      </w:r>
    </w:p>
    <w:p w:rsidR="00AF7719" w:rsidRDefault="00C46825">
      <w:pPr>
        <w:pStyle w:val="Bodypara"/>
        <w:widowControl w:val="0"/>
        <w:ind w:left="720" w:firstLine="0"/>
      </w:pPr>
      <w:r>
        <w:tab/>
        <w:t>where:</w:t>
      </w:r>
    </w:p>
    <w:p w:rsidR="00AF7719" w:rsidRDefault="00C46825">
      <w:pPr>
        <w:pStyle w:val="equationtext"/>
        <w:tabs>
          <w:tab w:val="clear" w:pos="1620"/>
          <w:tab w:val="left" w:pos="2520"/>
        </w:tabs>
        <w:ind w:left="2520" w:hanging="1800"/>
      </w:pPr>
      <w:r>
        <w:t>P</w:t>
      </w:r>
      <w:r>
        <w:rPr>
          <w:vertAlign w:val="subscript"/>
        </w:rPr>
        <w:t>ijt</w:t>
      </w:r>
      <w:r>
        <w:tab/>
        <w:t>=</w:t>
      </w:r>
      <w:r>
        <w:tab/>
        <w:t>market clearing price of a six-month TCC in the final round of the most recently completed six-month Sub-Auction with the same POI and POW combination as the one-year TCC</w:t>
      </w:r>
    </w:p>
    <w:p w:rsidR="00AF7719" w:rsidRDefault="00C46825">
      <w:pPr>
        <w:pStyle w:val="alphapara"/>
        <w:rPr>
          <w:bCs/>
        </w:rPr>
      </w:pPr>
      <w:r>
        <w:rPr>
          <w:bCs/>
        </w:rPr>
        <w:t>(5)</w:t>
      </w:r>
      <w:r>
        <w:rPr>
          <w:bCs/>
        </w:rPr>
        <w:tab/>
        <w:t>upon completion of the Balance-of-Period Auction</w:t>
      </w:r>
      <w:r>
        <w:rPr>
          <w:bCs/>
        </w:rPr>
        <w:t xml:space="preserve"> for the first month of the final six months of a one-year TCC:</w:t>
      </w:r>
    </w:p>
    <w:p w:rsidR="00AF7719" w:rsidRDefault="00C46825">
      <w:pPr>
        <w:pStyle w:val="subhead"/>
        <w:spacing w:before="0"/>
        <w:ind w:left="1440"/>
        <w:rPr>
          <w:b w:val="0"/>
        </w:rPr>
      </w:pPr>
      <w:r>
        <w:rPr>
          <w:b w:val="0"/>
        </w:rPr>
        <w:t>the amount calculated in accordance with the appropriate Balance-of-Period Auction holding requirement formula set forth in Section 26.4.2.4.1.6 below</w:t>
      </w:r>
    </w:p>
    <w:p w:rsidR="00AF7719" w:rsidRDefault="00C46825">
      <w:pPr>
        <w:pStyle w:val="Heading4"/>
      </w:pPr>
      <w:r>
        <w:t>26.4.2.4.1.3</w:t>
      </w:r>
      <w:r>
        <w:tab/>
        <w:t>Six-Month TCCs:</w:t>
      </w:r>
    </w:p>
    <w:p w:rsidR="00AF7719" w:rsidRDefault="00C46825">
      <w:pPr>
        <w:pStyle w:val="alphapara"/>
        <w:rPr>
          <w:bCs/>
        </w:rPr>
      </w:pPr>
      <w:r>
        <w:rPr>
          <w:bCs/>
        </w:rPr>
        <w:t>(1)</w:t>
      </w:r>
      <w:r>
        <w:rPr>
          <w:bCs/>
        </w:rPr>
        <w:tab/>
        <w:t>upon ini</w:t>
      </w:r>
      <w:r>
        <w:rPr>
          <w:bCs/>
        </w:rPr>
        <w:t>tial award of a six-month TCC until completion of the final round of the current six-month Sub-Auction:</w:t>
      </w:r>
    </w:p>
    <w:p w:rsidR="00AF7719" w:rsidRDefault="00C46825">
      <w:pPr>
        <w:pStyle w:val="subhead"/>
        <w:spacing w:before="0"/>
        <w:ind w:left="1440"/>
        <w:rPr>
          <w:b w:val="0"/>
        </w:rPr>
      </w:pPr>
      <w:r>
        <w:rPr>
          <w:b w:val="0"/>
        </w:rPr>
        <w:t>the amount calculated in accordance with the six-month TCC formula set forth in Section 26.4.2.4.1.5 below</w:t>
      </w:r>
    </w:p>
    <w:p w:rsidR="00AF7719" w:rsidRDefault="00C46825">
      <w:pPr>
        <w:pStyle w:val="alphapara"/>
        <w:rPr>
          <w:bCs/>
        </w:rPr>
      </w:pPr>
      <w:r>
        <w:rPr>
          <w:bCs/>
        </w:rPr>
        <w:t>(2)</w:t>
      </w:r>
      <w:r>
        <w:rPr>
          <w:bCs/>
        </w:rPr>
        <w:tab/>
        <w:t>upon completion of the final round of the</w:t>
      </w:r>
      <w:r>
        <w:rPr>
          <w:bCs/>
        </w:rPr>
        <w:t xml:space="preserve"> current six-month Sub-Auction until completion of the Balance-of-Period Auction for the first month of a six-month TCC:</w:t>
      </w:r>
    </w:p>
    <w:p w:rsidR="00AF7719" w:rsidRDefault="00C46825">
      <w:pPr>
        <w:pStyle w:val="subhead"/>
        <w:keepLines/>
        <w:spacing w:before="0"/>
        <w:ind w:left="1440"/>
        <w:rPr>
          <w:b w:val="0"/>
        </w:rPr>
      </w:pPr>
      <w:r>
        <w:rPr>
          <w:b w:val="0"/>
        </w:rPr>
        <w:t>the amount calculated in accordance with the six-month TCC formula set forth in Section 26.4.2.4.1.5 below</w:t>
      </w:r>
    </w:p>
    <w:p w:rsidR="00AF7719" w:rsidRDefault="00C46825">
      <w:pPr>
        <w:pStyle w:val="Bodypara"/>
        <w:widowControl w:val="0"/>
        <w:ind w:left="720" w:firstLine="0"/>
      </w:pPr>
      <w:r>
        <w:tab/>
        <w:t>where:</w:t>
      </w:r>
    </w:p>
    <w:p w:rsidR="00AF7719" w:rsidRDefault="00C46825">
      <w:pPr>
        <w:pStyle w:val="equationtext"/>
        <w:tabs>
          <w:tab w:val="clear" w:pos="1620"/>
          <w:tab w:val="left" w:pos="2520"/>
        </w:tabs>
        <w:ind w:left="2520" w:hanging="1800"/>
      </w:pPr>
      <w:r>
        <w:t>P</w:t>
      </w:r>
      <w:r>
        <w:rPr>
          <w:vertAlign w:val="subscript"/>
        </w:rPr>
        <w:t>ijt</w:t>
      </w:r>
      <w:r>
        <w:tab/>
        <w:t>=</w:t>
      </w:r>
      <w:r>
        <w:tab/>
        <w:t>market cleari</w:t>
      </w:r>
      <w:r>
        <w:t>ng price of a six-month TCC in the final round of the current six-month Sub-Auction with the same POI and POW combination as the one-year TCC</w:t>
      </w:r>
    </w:p>
    <w:p w:rsidR="00AF7719" w:rsidRDefault="00C46825">
      <w:pPr>
        <w:pStyle w:val="Bodypara"/>
        <w:widowControl w:val="0"/>
        <w:tabs>
          <w:tab w:val="left" w:pos="2160"/>
        </w:tabs>
        <w:spacing w:line="240" w:lineRule="auto"/>
        <w:ind w:left="2880" w:hanging="1440"/>
      </w:pPr>
    </w:p>
    <w:p w:rsidR="00AF7719" w:rsidRDefault="00C46825">
      <w:pPr>
        <w:pStyle w:val="alphapara"/>
        <w:rPr>
          <w:bCs/>
        </w:rPr>
      </w:pPr>
      <w:r>
        <w:rPr>
          <w:bCs/>
        </w:rPr>
        <w:t>(3)</w:t>
      </w:r>
      <w:r>
        <w:rPr>
          <w:bCs/>
        </w:rPr>
        <w:tab/>
        <w:t>upon completion of the Balance-of-Period Auction for the first month of a six-month TCC:</w:t>
      </w:r>
    </w:p>
    <w:p w:rsidR="00AF7719" w:rsidRDefault="00C46825">
      <w:pPr>
        <w:pStyle w:val="subhead"/>
        <w:keepNext w:val="0"/>
      </w:pPr>
      <w:r>
        <w:rPr>
          <w:b w:val="0"/>
        </w:rPr>
        <w:t>the amount calculate</w:t>
      </w:r>
      <w:r>
        <w:rPr>
          <w:b w:val="0"/>
        </w:rPr>
        <w:t>d in accordance with the Balance-of-Period Auction formula set forth in Section 26.4.2.4.1.6.1 below</w:t>
      </w:r>
      <w:r>
        <w:tab/>
      </w:r>
    </w:p>
    <w:p w:rsidR="00AF7719" w:rsidRDefault="00C46825">
      <w:pPr>
        <w:pStyle w:val="Heading4"/>
      </w:pPr>
      <w:r>
        <w:t>26.4.2.4.1.4</w:t>
      </w:r>
      <w:r>
        <w:tab/>
        <w:t>One-Month TCCs:</w:t>
      </w:r>
    </w:p>
    <w:p w:rsidR="00AF7719" w:rsidRDefault="00C46825">
      <w:pPr>
        <w:pStyle w:val="subhead"/>
        <w:keepNext w:val="0"/>
        <w:ind w:left="1440"/>
        <w:rPr>
          <w:b w:val="0"/>
        </w:rPr>
      </w:pPr>
      <w:r>
        <w:rPr>
          <w:b w:val="0"/>
        </w:rPr>
        <w:t>upon initial award of a one-month TCC:</w:t>
      </w:r>
    </w:p>
    <w:p w:rsidR="00AF7719" w:rsidRDefault="00C46825">
      <w:pPr>
        <w:pStyle w:val="subhead"/>
        <w:keepNext w:val="0"/>
        <w:spacing w:before="0" w:after="0"/>
        <w:ind w:left="1440"/>
        <w:rPr>
          <w:vertAlign w:val="subscript"/>
        </w:rPr>
      </w:pPr>
      <w:r>
        <w:rPr>
          <w:b w:val="0"/>
        </w:rPr>
        <w:t>the amount calculated in accordance with the Balance-of-Period TCC Auction holding req</w:t>
      </w:r>
      <w:r>
        <w:rPr>
          <w:b w:val="0"/>
        </w:rPr>
        <w:t>uirement formula set forth in Section 26.4.2.4.1.6.1 below</w:t>
      </w:r>
      <w:r>
        <w:rPr>
          <w:vertAlign w:val="subscript"/>
        </w:rPr>
        <w:tab/>
      </w:r>
    </w:p>
    <w:p w:rsidR="00AF7719" w:rsidRDefault="00C46825">
      <w:pPr>
        <w:pStyle w:val="Heading4"/>
      </w:pPr>
      <w:r>
        <w:t>26.4.2.4.1.5</w:t>
      </w:r>
      <w:r>
        <w:tab/>
        <w:t>Centralized TCC Auction – Holding Requirement Formulas:</w:t>
      </w:r>
    </w:p>
    <w:p w:rsidR="00AF7719" w:rsidRDefault="00C46825">
      <w:pPr>
        <w:pStyle w:val="subhead"/>
        <w:spacing w:before="120" w:after="120"/>
      </w:pPr>
      <w:r>
        <w:t>for one-year TCCs, representing a 5% probability curve:</w:t>
      </w:r>
    </w:p>
    <w:p w:rsidR="00AF7719" w:rsidRDefault="00C46825">
      <w:pPr>
        <w:pStyle w:val="subhead"/>
        <w:spacing w:before="120" w:after="120"/>
        <w:rPr>
          <w:b w:val="0"/>
          <w:vertAlign w:val="subscript"/>
        </w:rPr>
      </w:pPr>
    </w:p>
    <w:p w:rsidR="00AF7719" w:rsidRDefault="00C46825">
      <w:pPr>
        <w:pStyle w:val="subhead"/>
        <w:spacing w:before="120" w:after="120"/>
        <w:ind w:left="0"/>
        <w:rPr>
          <w:b w:val="0"/>
          <w:sz w:val="26"/>
          <w:szCs w:val="26"/>
        </w:rPr>
      </w:pPr>
      <m:oMathPara>
        <m:oMath>
          <m:r>
            <m:rPr>
              <m:sty m:val="bi"/>
            </m:rPr>
            <w:rPr>
              <w:rFonts w:ascii="Cambria Math" w:hAnsi="Cambria Math"/>
              <w:sz w:val="26"/>
              <w:szCs w:val="26"/>
            </w:rPr>
            <m:t>+</m:t>
          </m:r>
          <m:r>
            <m:rPr>
              <m:sty m:val="bi"/>
            </m:rPr>
            <w:rPr>
              <w:rFonts w:ascii="Cambria Math" w:hAnsi="Cambria Math"/>
              <w:sz w:val="26"/>
              <w:szCs w:val="26"/>
            </w:rPr>
            <m:t>1</m:t>
          </m:r>
          <m:r>
            <m:rPr>
              <m:sty m:val="bi"/>
            </m:rPr>
            <w:rPr>
              <w:rFonts w:ascii="Cambria Math" w:hAnsi="Cambria Math"/>
              <w:sz w:val="26"/>
              <w:szCs w:val="26"/>
            </w:rPr>
            <m:t>.</m:t>
          </m:r>
          <m:r>
            <m:rPr>
              <m:sty m:val="bi"/>
            </m:rPr>
            <w:rPr>
              <w:rFonts w:ascii="Cambria Math" w:hAnsi="Cambria Math"/>
              <w:sz w:val="26"/>
              <w:szCs w:val="26"/>
            </w:rPr>
            <m:t>909</m:t>
          </m:r>
          <m:rad>
            <m:radPr>
              <m:degHide m:val="1"/>
              <m:ctrlPr>
                <w:rPr>
                  <w:rFonts w:ascii="Cambria Math" w:hAnsi="Cambria Math"/>
                  <w:b w:val="0"/>
                  <w:i/>
                  <w:sz w:val="26"/>
                  <w:szCs w:val="26"/>
                </w:rPr>
              </m:ctrlPr>
            </m:radPr>
            <m:deg/>
            <m:e>
              <m:sSup>
                <m:sSupPr>
                  <m:ctrlPr>
                    <w:rPr>
                      <w:rFonts w:ascii="Cambria Math" w:hAnsi="Cambria Math"/>
                      <w:b w:val="0"/>
                      <w:i/>
                      <w:sz w:val="26"/>
                      <w:szCs w:val="26"/>
                    </w:rPr>
                  </m:ctrlPr>
                </m:sSupPr>
                <m:e>
                  <m:r>
                    <m:rPr>
                      <m:scr m:val="script"/>
                      <m:sty m:val="bi"/>
                    </m:rPr>
                    <w:rPr>
                      <w:rFonts w:ascii="Cambria Math" w:hAnsi="Cambria Math"/>
                      <w:sz w:val="26"/>
                      <w:szCs w:val="26"/>
                    </w:rPr>
                    <m:t>e</m:t>
                  </m:r>
                </m:e>
                <m:sup>
                  <m:r>
                    <m:rPr>
                      <m:sty m:val="bi"/>
                    </m:rPr>
                    <w:rPr>
                      <w:rFonts w:ascii="Cambria Math" w:hAnsi="Cambria Math"/>
                      <w:sz w:val="26"/>
                      <w:szCs w:val="26"/>
                    </w:rPr>
                    <m:t>10</m:t>
                  </m:r>
                  <m:r>
                    <m:rPr>
                      <m:sty m:val="bi"/>
                    </m:rPr>
                    <w:rPr>
                      <w:rFonts w:ascii="Cambria Math" w:hAnsi="Cambria Math"/>
                      <w:sz w:val="26"/>
                      <w:szCs w:val="26"/>
                    </w:rPr>
                    <m:t>.</m:t>
                  </m:r>
                  <m:r>
                    <m:rPr>
                      <m:sty m:val="bi"/>
                    </m:rPr>
                    <w:rPr>
                      <w:rFonts w:ascii="Cambria Math" w:hAnsi="Cambria Math"/>
                      <w:sz w:val="26"/>
                      <w:szCs w:val="26"/>
                    </w:rPr>
                    <m:t>9729</m:t>
                  </m:r>
                  <m:r>
                    <m:rPr>
                      <m:sty m:val="bi"/>
                    </m:rPr>
                    <w:rPr>
                      <w:rFonts w:ascii="Cambria Math" w:hAnsi="Cambria Math"/>
                      <w:sz w:val="26"/>
                      <w:szCs w:val="26"/>
                    </w:rPr>
                    <m:t xml:space="preserve"> + .</m:t>
                  </m:r>
                  <m:r>
                    <m:rPr>
                      <m:sty m:val="bi"/>
                    </m:rPr>
                    <w:rPr>
                      <w:rFonts w:ascii="Cambria Math" w:hAnsi="Cambria Math"/>
                      <w:sz w:val="26"/>
                      <w:szCs w:val="26"/>
                    </w:rPr>
                    <m:t>6514</m:t>
                  </m:r>
                  <m:d>
                    <m:dPr>
                      <m:ctrlPr>
                        <w:rPr>
                          <w:rFonts w:ascii="Cambria Math" w:hAnsi="Cambria Math"/>
                          <w:b w:val="0"/>
                          <w:i/>
                          <w:sz w:val="26"/>
                          <w:szCs w:val="26"/>
                        </w:rPr>
                      </m:ctrlPr>
                    </m:dPr>
                    <m:e>
                      <m:r>
                        <m:rPr>
                          <m:sty m:val="bi"/>
                        </m:rPr>
                        <w:rPr>
                          <w:rFonts w:ascii="Cambria Math" w:hAnsi="Cambria Math"/>
                          <w:sz w:val="26"/>
                          <w:szCs w:val="26"/>
                        </w:rPr>
                        <m:t>ln</m:t>
                      </m:r>
                      <m:d>
                        <m:dPr>
                          <m:ctrlPr>
                            <w:rPr>
                              <w:rFonts w:ascii="Cambria Math" w:hAnsi="Cambria Math"/>
                              <w:b w:val="0"/>
                              <w:i/>
                              <w:sz w:val="26"/>
                              <w:szCs w:val="26"/>
                            </w:rPr>
                          </m:ctrlPr>
                        </m:dPr>
                        <m:e>
                          <m:d>
                            <m:dPr>
                              <m:begChr m:val="|"/>
                              <m:endChr m:val="|"/>
                              <m:ctrlPr>
                                <w:rPr>
                                  <w:rFonts w:ascii="Cambria Math" w:hAnsi="Cambria Math"/>
                                  <w:b w:val="0"/>
                                  <w:i/>
                                  <w:sz w:val="26"/>
                                  <w:szCs w:val="26"/>
                                </w:rPr>
                              </m:ctrlPr>
                            </m:dPr>
                            <m:e>
                              <m:sSub>
                                <m:sSubPr>
                                  <m:ctrlPr>
                                    <w:rPr>
                                      <w:rFonts w:ascii="Cambria Math" w:hAnsi="Cambria Math"/>
                                      <w:b w:val="0"/>
                                      <w:i/>
                                      <w:sz w:val="26"/>
                                      <w:szCs w:val="26"/>
                                    </w:rPr>
                                  </m:ctrlPr>
                                </m:sSubPr>
                                <m:e>
                                  <m:r>
                                    <m:rPr>
                                      <m:sty m:val="bi"/>
                                    </m:rPr>
                                    <w:rPr>
                                      <w:rFonts w:ascii="Cambria Math" w:hAnsi="Cambria Math"/>
                                      <w:sz w:val="26"/>
                                      <w:szCs w:val="26"/>
                                    </w:rPr>
                                    <m:t>P</m:t>
                                  </m:r>
                                </m:e>
                                <m:sub>
                                  <m:r>
                                    <m:rPr>
                                      <m:sty m:val="bi"/>
                                    </m:rPr>
                                    <w:rPr>
                                      <w:rFonts w:ascii="Cambria Math" w:hAnsi="Cambria Math"/>
                                      <w:sz w:val="26"/>
                                      <w:szCs w:val="26"/>
                                    </w:rPr>
                                    <m:t>ijt</m:t>
                                  </m:r>
                                </m:sub>
                              </m:sSub>
                            </m:e>
                          </m:d>
                          <m:r>
                            <m:rPr>
                              <m:sty m:val="bi"/>
                            </m:rPr>
                            <w:rPr>
                              <w:rFonts w:ascii="Cambria Math" w:hAnsi="Cambria Math"/>
                              <w:sz w:val="26"/>
                              <w:szCs w:val="26"/>
                            </w:rPr>
                            <m:t xml:space="preserve"> + </m:t>
                          </m:r>
                          <m:r>
                            <m:rPr>
                              <m:scr m:val="script"/>
                              <m:sty m:val="bi"/>
                            </m:rPr>
                            <w:rPr>
                              <w:rFonts w:ascii="Cambria Math" w:hAnsi="Cambria Math"/>
                              <w:sz w:val="26"/>
                              <w:szCs w:val="26"/>
                            </w:rPr>
                            <m:t>e</m:t>
                          </m:r>
                        </m:e>
                      </m:d>
                    </m:e>
                  </m:d>
                  <m:r>
                    <m:rPr>
                      <m:sty m:val="bi"/>
                    </m:rPr>
                    <w:rPr>
                      <w:rFonts w:ascii="Cambria Math" w:hAnsi="Cambria Math"/>
                      <w:sz w:val="26"/>
                      <w:szCs w:val="26"/>
                    </w:rPr>
                    <m:t xml:space="preserve"> + .</m:t>
                  </m:r>
                  <m:r>
                    <m:rPr>
                      <m:sty m:val="bi"/>
                    </m:rPr>
                    <w:rPr>
                      <w:rFonts w:ascii="Cambria Math" w:hAnsi="Cambria Math"/>
                      <w:sz w:val="26"/>
                      <w:szCs w:val="26"/>
                    </w:rPr>
                    <m:t>6633</m:t>
                  </m:r>
                  <m:r>
                    <m:rPr>
                      <m:sty m:val="bi"/>
                    </m:rPr>
                    <w:rPr>
                      <w:rFonts w:ascii="Cambria Math" w:hAnsi="Cambria Math"/>
                      <w:sz w:val="26"/>
                      <w:szCs w:val="26"/>
                    </w:rPr>
                    <m:t xml:space="preserve"> * </m:t>
                  </m:r>
                  <m:r>
                    <m:rPr>
                      <m:sty m:val="bi"/>
                    </m:rPr>
                    <w:rPr>
                      <w:rFonts w:ascii="Cambria Math" w:hAnsi="Cambria Math"/>
                      <w:sz w:val="26"/>
                      <w:szCs w:val="26"/>
                    </w:rPr>
                    <m:t>Zone</m:t>
                  </m:r>
                  <m:r>
                    <m:rPr>
                      <m:sty m:val="bi"/>
                    </m:rPr>
                    <w:rPr>
                      <w:rFonts w:ascii="Cambria Math" w:hAnsi="Cambria Math"/>
                      <w:sz w:val="26"/>
                      <w:szCs w:val="26"/>
                    </w:rPr>
                    <m:t xml:space="preserve"> </m:t>
                  </m:r>
                  <m:r>
                    <m:rPr>
                      <m:sty m:val="bi"/>
                    </m:rPr>
                    <w:rPr>
                      <w:rFonts w:ascii="Cambria Math" w:hAnsi="Cambria Math"/>
                      <w:sz w:val="26"/>
                      <w:szCs w:val="26"/>
                    </w:rPr>
                    <m:t>J</m:t>
                  </m:r>
                  <m:r>
                    <m:rPr>
                      <m:sty m:val="bi"/>
                    </m:rPr>
                    <w:rPr>
                      <w:rFonts w:ascii="Cambria Math" w:hAnsi="Cambria Math"/>
                      <w:sz w:val="26"/>
                      <w:szCs w:val="26"/>
                    </w:rPr>
                    <m:t xml:space="preserve"> + </m:t>
                  </m:r>
                  <m:r>
                    <m:rPr>
                      <m:sty m:val="bi"/>
                    </m:rPr>
                    <w:rPr>
                      <w:rFonts w:ascii="Cambria Math" w:hAnsi="Cambria Math"/>
                      <w:sz w:val="26"/>
                      <w:szCs w:val="26"/>
                    </w:rPr>
                    <m:t>1</m:t>
                  </m:r>
                  <m:r>
                    <m:rPr>
                      <m:sty m:val="bi"/>
                    </m:rPr>
                    <w:rPr>
                      <w:rFonts w:ascii="Cambria Math" w:hAnsi="Cambria Math"/>
                      <w:sz w:val="26"/>
                      <w:szCs w:val="26"/>
                    </w:rPr>
                    <m:t>.</m:t>
                  </m:r>
                  <m:r>
                    <m:rPr>
                      <m:sty m:val="bi"/>
                    </m:rPr>
                    <w:rPr>
                      <w:rFonts w:ascii="Cambria Math" w:hAnsi="Cambria Math"/>
                      <w:sz w:val="26"/>
                      <w:szCs w:val="26"/>
                    </w:rPr>
                    <m:t>1607</m:t>
                  </m:r>
                  <m:r>
                    <m:rPr>
                      <m:sty m:val="bi"/>
                    </m:rPr>
                    <w:rPr>
                      <w:rFonts w:ascii="Cambria Math" w:hAnsi="Cambria Math"/>
                      <w:sz w:val="26"/>
                      <w:szCs w:val="26"/>
                    </w:rPr>
                    <m:t xml:space="preserve"> * </m:t>
                  </m:r>
                  <m:r>
                    <m:rPr>
                      <m:sty m:val="bi"/>
                    </m:rPr>
                    <w:rPr>
                      <w:rFonts w:ascii="Cambria Math" w:hAnsi="Cambria Math"/>
                      <w:sz w:val="26"/>
                      <w:szCs w:val="26"/>
                    </w:rPr>
                    <m:t>Zone</m:t>
                  </m:r>
                  <m:r>
                    <m:rPr>
                      <m:sty m:val="bi"/>
                    </m:rPr>
                    <w:rPr>
                      <w:rFonts w:ascii="Cambria Math" w:hAnsi="Cambria Math"/>
                      <w:sz w:val="26"/>
                      <w:szCs w:val="26"/>
                    </w:rPr>
                    <m:t xml:space="preserve"> </m:t>
                  </m:r>
                  <m:r>
                    <m:rPr>
                      <m:sty m:val="bi"/>
                    </m:rPr>
                    <w:rPr>
                      <w:rFonts w:ascii="Cambria Math" w:hAnsi="Cambria Math"/>
                      <w:sz w:val="26"/>
                      <w:szCs w:val="26"/>
                    </w:rPr>
                    <m:t>K</m:t>
                  </m:r>
                </m:sup>
              </m:sSup>
            </m:e>
          </m:rad>
          <m:r>
            <m:rPr>
              <m:sty m:val="bi"/>
            </m:rPr>
            <w:rPr>
              <w:rFonts w:ascii="Cambria Math" w:hAnsi="Cambria Math"/>
              <w:sz w:val="26"/>
              <w:szCs w:val="26"/>
            </w:rPr>
            <m:t>-</m:t>
          </m:r>
          <m:r>
            <m:rPr>
              <m:sty m:val="bi"/>
            </m:rPr>
            <w:rPr>
              <w:rFonts w:ascii="Cambria Math" w:hAnsi="Cambria Math"/>
              <w:sz w:val="26"/>
              <w:szCs w:val="26"/>
            </w:rPr>
            <m:t>1</m:t>
          </m:r>
          <m:r>
            <m:rPr>
              <m:sty m:val="bi"/>
            </m:rPr>
            <w:rPr>
              <w:rFonts w:ascii="Cambria Math" w:hAnsi="Cambria Math"/>
              <w:sz w:val="26"/>
              <w:szCs w:val="26"/>
            </w:rPr>
            <m:t xml:space="preserve"> </m:t>
          </m:r>
          <m:sSub>
            <m:sSubPr>
              <m:ctrlPr>
                <w:rPr>
                  <w:rFonts w:ascii="Cambria Math" w:hAnsi="Cambria Math"/>
                  <w:b w:val="0"/>
                  <w:i/>
                  <w:sz w:val="26"/>
                  <w:szCs w:val="26"/>
                </w:rPr>
              </m:ctrlPr>
            </m:sSubPr>
            <m:e>
              <m:r>
                <m:rPr>
                  <m:sty m:val="bi"/>
                </m:rPr>
                <w:rPr>
                  <w:rFonts w:ascii="Cambria Math" w:hAnsi="Cambria Math"/>
                  <w:sz w:val="26"/>
                  <w:szCs w:val="26"/>
                </w:rPr>
                <m:t>P</m:t>
              </m:r>
            </m:e>
            <m:sub>
              <m:r>
                <m:rPr>
                  <m:sty m:val="bi"/>
                </m:rPr>
                <w:rPr>
                  <w:rFonts w:ascii="Cambria Math" w:hAnsi="Cambria Math"/>
                  <w:sz w:val="26"/>
                  <w:szCs w:val="26"/>
                </w:rPr>
                <m:t>ijt</m:t>
              </m:r>
            </m:sub>
          </m:sSub>
        </m:oMath>
      </m:oMathPara>
    </w:p>
    <w:p w:rsidR="00AF7719" w:rsidRDefault="00C46825">
      <w:pPr>
        <w:pStyle w:val="subhead"/>
        <w:spacing w:before="120" w:after="120"/>
        <w:ind w:left="1260"/>
      </w:pPr>
    </w:p>
    <w:p w:rsidR="00AF7719" w:rsidRDefault="00C46825">
      <w:pPr>
        <w:keepNext/>
        <w:ind w:left="720"/>
        <w:rPr>
          <w:b/>
        </w:rPr>
      </w:pPr>
      <w:r>
        <w:rPr>
          <w:b/>
        </w:rPr>
        <w:t>for six-month TCCs, representing a 3% probability curve:</w:t>
      </w:r>
    </w:p>
    <w:p w:rsidR="00AF7719" w:rsidRDefault="00C46825">
      <w:pPr>
        <w:rPr>
          <w:vertAlign w:val="subscript"/>
        </w:rPr>
      </w:pPr>
    </w:p>
    <w:p w:rsidR="00AF7719" w:rsidRDefault="00C46825">
      <w:pPr>
        <w:ind w:left="2880"/>
      </w:pPr>
    </w:p>
    <w:p w:rsidR="00AF7719" w:rsidRDefault="00C46825">
      <w:pPr>
        <w:rPr>
          <w:sz w:val="26"/>
          <w:szCs w:val="26"/>
        </w:rPr>
      </w:pPr>
      <m:oMathPara>
        <m:oMath>
          <m:r>
            <w:rPr>
              <w:rFonts w:ascii="Cambria Math" w:hAnsi="Cambria Math"/>
              <w:sz w:val="26"/>
              <w:szCs w:val="26"/>
            </w:rPr>
            <m:t>+2.565</m:t>
          </m:r>
          <m:rad>
            <m:radPr>
              <m:degHide m:val="1"/>
              <m:ctrlPr>
                <w:rPr>
                  <w:rFonts w:ascii="Cambria Math" w:hAnsi="Cambria Math"/>
                  <w:i/>
                  <w:sz w:val="26"/>
                  <w:szCs w:val="26"/>
                </w:rPr>
              </m:ctrlPr>
            </m:radPr>
            <m:deg/>
            <m:e>
              <m:sSup>
                <m:sSupPr>
                  <m:ctrlPr>
                    <w:rPr>
                      <w:rFonts w:ascii="Cambria Math" w:hAnsi="Cambria Math"/>
                      <w:i/>
                      <w:sz w:val="26"/>
                      <w:szCs w:val="26"/>
                    </w:rPr>
                  </m:ctrlPr>
                </m:sSupPr>
                <m:e>
                  <m:r>
                    <m:rPr>
                      <m:scr m:val="script"/>
                    </m:rPr>
                    <w:rPr>
                      <w:rFonts w:ascii="Cambria Math" w:hAnsi="Cambria Math"/>
                      <w:sz w:val="26"/>
                      <w:szCs w:val="26"/>
                    </w:rPr>
                    <m:t>e</m:t>
                  </m:r>
                </m:e>
                <m:sup>
                  <m:r>
                    <w:rPr>
                      <w:rFonts w:ascii="Cambria Math" w:hAnsi="Cambria Math"/>
                      <w:sz w:val="26"/>
                      <w:szCs w:val="26"/>
                    </w:rPr>
                    <m:t>11.6866 + .4749</m:t>
                  </m:r>
                  <m:d>
                    <m:dPr>
                      <m:ctrlPr>
                        <w:rPr>
                          <w:rFonts w:ascii="Cambria Math" w:hAnsi="Cambria Math"/>
                          <w:i/>
                          <w:sz w:val="26"/>
                          <w:szCs w:val="26"/>
                        </w:rPr>
                      </m:ctrlPr>
                    </m:dPr>
                    <m:e>
                      <m:r>
                        <w:rPr>
                          <w:rFonts w:ascii="Cambria Math" w:hAnsi="Cambria Math"/>
                          <w:sz w:val="26"/>
                          <w:szCs w:val="26"/>
                        </w:rPr>
                        <m:t>ln</m:t>
                      </m:r>
                      <m:d>
                        <m:dPr>
                          <m:ctrlPr>
                            <w:rPr>
                              <w:rFonts w:ascii="Cambria Math" w:hAnsi="Cambria Math"/>
                              <w:i/>
                              <w:sz w:val="26"/>
                              <w:szCs w:val="26"/>
                            </w:rPr>
                          </m:ctrlPr>
                        </m:dPr>
                        <m:e>
                          <m:d>
                            <m:dPr>
                              <m:begChr m:val="|"/>
                              <m:endChr m:val="|"/>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ijt</m:t>
                                  </m:r>
                                </m:sub>
                              </m:sSub>
                            </m:e>
                          </m:d>
                          <m:r>
                            <m:rPr>
                              <m:scr m:val="script"/>
                            </m:rPr>
                            <w:rPr>
                              <w:rFonts w:ascii="Cambria Math" w:hAnsi="Cambria Math"/>
                              <w:sz w:val="26"/>
                              <w:szCs w:val="26"/>
                            </w:rPr>
                            <m:t xml:space="preserve"> + e</m:t>
                          </m:r>
                        </m:e>
                      </m:d>
                    </m:e>
                  </m:d>
                  <m:r>
                    <w:rPr>
                      <w:rFonts w:ascii="Cambria Math" w:hAnsi="Cambria Math"/>
                      <w:sz w:val="26"/>
                      <w:szCs w:val="26"/>
                    </w:rPr>
                    <m:t xml:space="preserve"> + .4856 * </m:t>
                  </m:r>
                  <m:r>
                    <w:rPr>
                      <w:rFonts w:ascii="Cambria Math" w:hAnsi="Cambria Math"/>
                      <w:sz w:val="26"/>
                      <w:szCs w:val="26"/>
                    </w:rPr>
                    <m:t>Zone</m:t>
                  </m:r>
                  <m:r>
                    <w:rPr>
                      <w:rFonts w:ascii="Cambria Math" w:hAnsi="Cambria Math"/>
                      <w:sz w:val="26"/>
                      <w:szCs w:val="26"/>
                    </w:rPr>
                    <m:t xml:space="preserve"> </m:t>
                  </m:r>
                  <m:r>
                    <w:rPr>
                      <w:rFonts w:ascii="Cambria Math" w:hAnsi="Cambria Math"/>
                      <w:sz w:val="26"/>
                      <w:szCs w:val="26"/>
                    </w:rPr>
                    <m:t>J</m:t>
                  </m:r>
                  <m:r>
                    <w:rPr>
                      <w:rFonts w:ascii="Cambria Math" w:hAnsi="Cambria Math"/>
                      <w:sz w:val="26"/>
                      <w:szCs w:val="26"/>
                    </w:rPr>
                    <m:t xml:space="preserve"> + .8498*</m:t>
                  </m:r>
                  <m:r>
                    <w:rPr>
                      <w:rFonts w:ascii="Cambria Math" w:hAnsi="Cambria Math"/>
                      <w:sz w:val="26"/>
                      <w:szCs w:val="26"/>
                    </w:rPr>
                    <m:t>Zone</m:t>
                  </m:r>
                  <m:r>
                    <w:rPr>
                      <w:rFonts w:ascii="Cambria Math" w:hAnsi="Cambria Math"/>
                      <w:sz w:val="26"/>
                      <w:szCs w:val="26"/>
                    </w:rPr>
                    <m:t xml:space="preserve"> </m:t>
                  </m:r>
                  <m:r>
                    <w:rPr>
                      <w:rFonts w:ascii="Cambria Math" w:hAnsi="Cambria Math"/>
                      <w:sz w:val="26"/>
                      <w:szCs w:val="26"/>
                    </w:rPr>
                    <m:t>K</m:t>
                  </m:r>
                  <m:r>
                    <w:rPr>
                      <w:rFonts w:ascii="Cambria Math" w:hAnsi="Cambria Math"/>
                      <w:sz w:val="26"/>
                      <w:szCs w:val="26"/>
                    </w:rPr>
                    <m:t xml:space="preserve"> - .0373 </m:t>
                  </m:r>
                  <m:r>
                    <w:rPr>
                      <w:rFonts w:ascii="Cambria Math" w:hAnsi="Cambria Math"/>
                      <w:sz w:val="26"/>
                      <w:szCs w:val="26"/>
                    </w:rPr>
                    <m:t>Summer</m:t>
                  </m:r>
                </m:sup>
              </m:sSup>
            </m:e>
          </m:rad>
          <m:r>
            <m:rPr>
              <m:sty m:val="bi"/>
            </m:rPr>
            <w:rPr>
              <w:rFonts w:ascii="Cambria Math" w:hAnsi="Cambria Math"/>
              <w:sz w:val="26"/>
              <w:szCs w:val="26"/>
            </w:rPr>
            <m:t>-</m:t>
          </m:r>
          <m:r>
            <w:rPr>
              <w:rFonts w:ascii="Cambria Math" w:hAnsi="Cambria Math"/>
              <w:sz w:val="26"/>
              <w:szCs w:val="26"/>
            </w:rPr>
            <m:t>1</m:t>
          </m:r>
          <m:r>
            <m:rPr>
              <m:sty m:val="bi"/>
            </m:rPr>
            <w:rPr>
              <w:rFonts w:ascii="Cambria Math" w:hAnsi="Cambria Math"/>
              <w:sz w:val="26"/>
              <w:szCs w:val="26"/>
            </w:rPr>
            <m:t xml:space="preserve"> </m:t>
          </m:r>
          <m:sSub>
            <m:sSubPr>
              <m:ctrlPr>
                <w:rPr>
                  <w:rFonts w:ascii="Cambria Math" w:hAnsi="Cambria Math"/>
                  <w:i/>
                  <w:sz w:val="26"/>
                  <w:szCs w:val="26"/>
                </w:rPr>
              </m:ctrlPr>
            </m:sSubPr>
            <m:e>
              <m:r>
                <w:rPr>
                  <w:rFonts w:ascii="Cambria Math" w:hAnsi="Cambria Math"/>
                  <w:sz w:val="26"/>
                  <w:szCs w:val="26"/>
                </w:rPr>
                <m:t>P</m:t>
              </m:r>
            </m:e>
            <m:sub>
              <m:r>
                <m:rPr>
                  <m:sty m:val="bi"/>
                </m:rPr>
                <w:rPr>
                  <w:rFonts w:ascii="Cambria Math" w:hAnsi="Cambria Math"/>
                  <w:sz w:val="26"/>
                  <w:szCs w:val="26"/>
                </w:rPr>
                <m:t>ijt</m:t>
              </m:r>
            </m:sub>
          </m:sSub>
        </m:oMath>
      </m:oMathPara>
    </w:p>
    <w:p w:rsidR="00AF7719" w:rsidRDefault="00C46825"/>
    <w:p w:rsidR="00AF7719" w:rsidRDefault="00C46825"/>
    <w:p w:rsidR="00AF7719" w:rsidRDefault="00C46825">
      <w:pPr>
        <w:pStyle w:val="Bodypara"/>
      </w:pPr>
      <w:bookmarkStart w:id="17" w:name="OLE_LINK4"/>
      <w:bookmarkStart w:id="18" w:name="OLE_LINK5"/>
      <w:r>
        <w:t>where:</w:t>
      </w:r>
    </w:p>
    <w:p w:rsidR="00AF7719" w:rsidRDefault="00C46825">
      <w:pPr>
        <w:pStyle w:val="equationtext"/>
      </w:pPr>
      <w:r>
        <w:t>P</w:t>
      </w:r>
      <w:r>
        <w:rPr>
          <w:vertAlign w:val="subscript"/>
        </w:rPr>
        <w:t>ijt</w:t>
      </w:r>
      <w:r>
        <w:tab/>
        <w:t>=</w:t>
      </w:r>
      <w:r>
        <w:tab/>
        <w:t>market clearing</w:t>
      </w:r>
      <w:r>
        <w:t xml:space="preserve"> price of i to j TCC in round t of the auction in which the TCC was purchased (or, in the case of a Fixed Price TCC, the auction in which the six-month Sub-Auction made transmission capacity available to support the sale of TCCs for the first Capability Pe</w:t>
      </w:r>
      <w:r>
        <w:t>riod in which the applicable Fixed Price TCC would be valid);</w:t>
      </w:r>
    </w:p>
    <w:p w:rsidR="00AF7719" w:rsidRDefault="00C46825">
      <w:pPr>
        <w:pStyle w:val="equationtext"/>
      </w:pPr>
      <w:r>
        <w:t>Zone J</w:t>
      </w:r>
      <w:r>
        <w:tab/>
        <w:t>=</w:t>
      </w:r>
      <w:r>
        <w:tab/>
        <w:t>1 if TCC sources or sinks but not both in Zone J, zero otherwise;</w:t>
      </w:r>
    </w:p>
    <w:p w:rsidR="00AF7719" w:rsidRDefault="00C46825">
      <w:pPr>
        <w:pStyle w:val="equationtext"/>
      </w:pPr>
      <w:r>
        <w:t xml:space="preserve">Zone K </w:t>
      </w:r>
      <w:r>
        <w:tab/>
        <w:t>=</w:t>
      </w:r>
      <w:r>
        <w:tab/>
        <w:t>1 if TCC sources or sinks but not both in Zone K and does not source or sink in Zone J, 0 otherwise;</w:t>
      </w:r>
    </w:p>
    <w:p w:rsidR="00AF7719" w:rsidRDefault="00C46825">
      <w:pPr>
        <w:pStyle w:val="equationtext"/>
      </w:pPr>
      <w:r>
        <w:t xml:space="preserve">Summer </w:t>
      </w:r>
      <w:r>
        <w:tab/>
      </w:r>
      <w:r>
        <w:t>=</w:t>
      </w:r>
      <w:r>
        <w:tab/>
        <w:t>1 for six-month TCCs sold in the spring auction, 0 otherwise; and</w:t>
      </w:r>
    </w:p>
    <w:p w:rsidR="00AF7719" w:rsidRDefault="00C46825">
      <w:pPr>
        <w:tabs>
          <w:tab w:val="left" w:pos="1440"/>
          <w:tab w:val="left" w:pos="7020"/>
          <w:tab w:val="right" w:pos="9360"/>
        </w:tabs>
      </w:pPr>
    </w:p>
    <w:bookmarkEnd w:id="17"/>
    <w:bookmarkEnd w:id="18"/>
    <w:p w:rsidR="00AF7719" w:rsidRDefault="00C46825">
      <w:pPr>
        <w:tabs>
          <w:tab w:val="left" w:pos="3600"/>
          <w:tab w:val="left" w:pos="4230"/>
          <w:tab w:val="left" w:pos="5760"/>
          <w:tab w:val="left" w:pos="6390"/>
        </w:tabs>
        <w:ind w:left="4320"/>
      </w:pPr>
    </w:p>
    <w:p w:rsidR="00AF7719" w:rsidRDefault="00C46825">
      <w:pPr>
        <w:pStyle w:val="Bodypara"/>
      </w:pPr>
      <w:r>
        <w:t>Further, when calculating “Pijt” in Section 26.4.2.4.1, in the event there is no market clearing price for a two-year, one-year, or six-month TCC in the appropriate prior Capability Peri</w:t>
      </w:r>
      <w:r>
        <w:t>od Centralized TCC Auction with the same POI and POW combination as the awarded two-year, one-year, or six-month TCC, as appropriate, then the market clearing price shall equal a proxy price, assigned by the ISO, for a TCC with like characteristics.</w:t>
      </w:r>
    </w:p>
    <w:p w:rsidR="00AF7719" w:rsidRDefault="00C46825">
      <w:pPr>
        <w:pStyle w:val="Bodypara"/>
      </w:pPr>
      <w:r>
        <w:t>Furthe</w:t>
      </w:r>
      <w:r>
        <w:t xml:space="preserve">r, the NYISO may adjust any of the Zone K multipliers in Section </w:t>
      </w:r>
      <w:r>
        <w:rPr>
          <w:bCs/>
        </w:rPr>
        <w:t>26.4.2.4.1</w:t>
      </w:r>
      <w:r>
        <w:t xml:space="preserve"> if, for TCCs of the same duration, the percentage ratio between collateral and congestion rents for Zone K TCCs deviates from the percentage ratio for Zone J TCCs by more than ten </w:t>
      </w:r>
      <w:r>
        <w:t>percent (10.0%).</w:t>
      </w:r>
    </w:p>
    <w:p w:rsidR="00AF7719" w:rsidRDefault="00C46825">
      <w:pPr>
        <w:pStyle w:val="Heading4"/>
      </w:pPr>
      <w:r>
        <w:t xml:space="preserve">26.4.2.4.1.6 </w:t>
      </w:r>
      <w:r>
        <w:tab/>
        <w:t>Balance-of-Period Auction – Holding Requirement Formulas:</w:t>
      </w:r>
    </w:p>
    <w:p w:rsidR="00AF7719" w:rsidRDefault="00C46825">
      <w:pPr>
        <w:pStyle w:val="Bodypara"/>
      </w:pPr>
      <w:r>
        <w:t>During the Balance-of-Period Auction, a TCC awarded in the Centralized TCC Auction (or the remaining segments of a TCC awarded in a prior Centralized TCC Auction) or a</w:t>
      </w:r>
      <w:r>
        <w:t xml:space="preserve"> Fixed Price TCC valid during the period covered by the Balance-of-Period Auction is segmented, as appropriate, into (i) a monthly segment, corresponding to the months within the current Capability Period encompassed by the remaining duration of the TCC, (</w:t>
      </w:r>
      <w:r>
        <w:t>ii) a future six-month segment, corresponding to months within the next Capability Period encompassed by the remaining duration of the TCC, and (iii) a one-year segment, corresponding to all months after the Capability Period associated with the future six</w:t>
      </w:r>
      <w:r>
        <w:t>-month segment encompassed by the remaining duration of the TCC, such that the sum of segments (i), (ii), and (iii) covers the entire remaining duration of the TCC. The credit holding requirement for the monthly segments and the future six-month segment ar</w:t>
      </w:r>
      <w:r>
        <w:t>e calculated in accordance with the formulas below.  The credit holding requirement for the one-year segment is calculated in accordance with formulas for determining the credit holding requirement for the second year of a two-year TCC as described in Sect</w:t>
      </w:r>
      <w:r>
        <w:t>ion 26.4.2.4.1.1 above; provided, however, that in the case of a Historic Fixed Price TCC for which less than twelve months are assigned to the one-year segment, the applicable Sub-Auctions from which the market-clearing price (P</w:t>
      </w:r>
      <w:r>
        <w:rPr>
          <w:vertAlign w:val="subscript"/>
        </w:rPr>
        <w:t>ijt</w:t>
      </w:r>
      <w:r>
        <w:t xml:space="preserve">) used for the formulas </w:t>
      </w:r>
      <w:r>
        <w:t>described in Section 26.4.2.4.1.1 shall be the most recently completed two-year Sub-Auction prior to the effective date of that Historic Fixed Price TCC and the one-year Sub-Auction that immediately followed such two-year Sub-Auction.  The credit holding r</w:t>
      </w:r>
      <w:r>
        <w:t>equirement calculated for each segment shall be determined based on the number of months that are assigned to each segment for the remaining duration of a given TCC.</w:t>
      </w:r>
    </w:p>
    <w:p w:rsidR="00AF7719" w:rsidRDefault="00C46825">
      <w:pPr>
        <w:pStyle w:val="Heading4"/>
      </w:pPr>
      <w:r>
        <w:t xml:space="preserve">26.4.2.4.1.6.1 </w:t>
      </w:r>
      <w:r>
        <w:tab/>
        <w:t>Monthly Segment</w:t>
      </w:r>
    </w:p>
    <w:p w:rsidR="00AF7719" w:rsidRDefault="00C46825">
      <w:pPr>
        <w:pStyle w:val="Default"/>
        <w:spacing w:after="240"/>
        <w:ind w:left="360"/>
        <w:rPr>
          <w:color w:val="auto"/>
        </w:rPr>
      </w:pPr>
      <w:r>
        <w:rPr>
          <w:b/>
          <w:bCs/>
          <w:color w:val="auto"/>
        </w:rPr>
        <w:t>Month</w:t>
      </w:r>
      <w:r>
        <w:rPr>
          <w:b/>
          <w:color w:val="auto"/>
        </w:rPr>
        <w:t xml:space="preserve">ly </w:t>
      </w:r>
      <w:r>
        <w:rPr>
          <w:b/>
          <w:bCs/>
          <w:color w:val="auto"/>
        </w:rPr>
        <w:t xml:space="preserve">Segment </w:t>
      </w:r>
      <w:r>
        <w:rPr>
          <w:b/>
          <w:color w:val="auto"/>
        </w:rPr>
        <w:t>(</w:t>
      </w:r>
      <w:r>
        <w:rPr>
          <w:b/>
          <w:bCs/>
          <w:color w:val="auto"/>
        </w:rPr>
        <w:t>$</w:t>
      </w:r>
      <w:r>
        <w:rPr>
          <w:b/>
          <w:color w:val="auto"/>
        </w:rPr>
        <w:t>)</w:t>
      </w:r>
      <w:r>
        <w:rPr>
          <w:color w:val="auto"/>
        </w:rPr>
        <w:t xml:space="preserve"> = [(Monthly Margin ($) ×Monthly Index Ratio×Monthly Factor) −TCC Price ($)]×MWs </w:t>
      </w:r>
    </w:p>
    <w:p w:rsidR="00AF7719" w:rsidRDefault="00C46825">
      <w:pPr>
        <w:pStyle w:val="Default"/>
        <w:spacing w:after="240"/>
        <w:ind w:left="720"/>
        <w:rPr>
          <w:color w:val="auto"/>
        </w:rPr>
      </w:pPr>
      <w:r>
        <w:rPr>
          <w:i/>
          <w:iCs/>
          <w:color w:val="auto"/>
        </w:rPr>
        <w:t xml:space="preserve">where: </w:t>
      </w:r>
    </w:p>
    <w:p w:rsidR="00AF7719" w:rsidRDefault="00C46825">
      <w:pPr>
        <w:pStyle w:val="Default"/>
        <w:spacing w:after="240"/>
        <w:ind w:left="720"/>
        <w:rPr>
          <w:color w:val="auto"/>
        </w:rPr>
      </w:pPr>
      <w:r>
        <w:rPr>
          <w:b/>
          <w:bCs/>
          <w:color w:val="auto"/>
        </w:rPr>
        <w:t xml:space="preserve">Monthly Margin </w:t>
      </w:r>
      <w:r>
        <w:rPr>
          <w:color w:val="auto"/>
        </w:rPr>
        <w:t xml:space="preserve">is calculated based on a methodology approved by Market Participants and posted to the ISO’s website </w:t>
      </w:r>
    </w:p>
    <w:p w:rsidR="00AF7719" w:rsidRDefault="00C46825">
      <w:pPr>
        <w:pStyle w:val="Default"/>
        <w:spacing w:after="240"/>
        <w:ind w:left="720"/>
        <w:rPr>
          <w:color w:val="auto"/>
        </w:rPr>
      </w:pPr>
      <w:r>
        <w:rPr>
          <w:b/>
          <w:bCs/>
          <w:color w:val="auto"/>
        </w:rPr>
        <w:t xml:space="preserve">Monthly Index Ratio </w:t>
      </w:r>
      <w:r>
        <w:rPr>
          <w:color w:val="auto"/>
        </w:rPr>
        <w:t>as determined from time to ti</w:t>
      </w:r>
      <w:r>
        <w:rPr>
          <w:color w:val="auto"/>
        </w:rPr>
        <w:t xml:space="preserve">me by the ISO based on historical data and a methodology approved by Market Participants and posted to the ISO’s website </w:t>
      </w:r>
    </w:p>
    <w:p w:rsidR="00AF7719" w:rsidRDefault="00C46825">
      <w:pPr>
        <w:pStyle w:val="Default"/>
        <w:spacing w:after="240"/>
        <w:ind w:left="720"/>
        <w:rPr>
          <w:color w:val="auto"/>
        </w:rPr>
      </w:pPr>
      <w:r>
        <w:rPr>
          <w:b/>
          <w:bCs/>
          <w:color w:val="auto"/>
        </w:rPr>
        <w:t xml:space="preserve">Monthly Factor </w:t>
      </w:r>
      <w:r>
        <w:rPr>
          <w:color w:val="auto"/>
        </w:rPr>
        <w:t>as determined from time to time by the ISO based on historical data and a methodology approved by Market Participants a</w:t>
      </w:r>
      <w:r>
        <w:rPr>
          <w:color w:val="auto"/>
        </w:rPr>
        <w:t xml:space="preserve">nd posted to the ISO’s website </w:t>
      </w:r>
    </w:p>
    <w:p w:rsidR="00AF7719" w:rsidRDefault="00C46825">
      <w:pPr>
        <w:pStyle w:val="Default"/>
        <w:spacing w:after="240"/>
        <w:ind w:left="720"/>
        <w:rPr>
          <w:color w:val="auto"/>
        </w:rPr>
      </w:pPr>
      <w:r>
        <w:rPr>
          <w:b/>
          <w:bCs/>
          <w:color w:val="auto"/>
        </w:rPr>
        <w:t xml:space="preserve">TCC Price </w:t>
      </w:r>
      <w:r>
        <w:rPr>
          <w:color w:val="auto"/>
        </w:rPr>
        <w:t xml:space="preserve">is the market clearing price for the respective Capability Period month in the most recent Balance-of-Period Auction </w:t>
      </w:r>
    </w:p>
    <w:p w:rsidR="00AF7719" w:rsidRDefault="00C46825">
      <w:pPr>
        <w:pStyle w:val="Default"/>
        <w:spacing w:after="240"/>
        <w:ind w:left="720"/>
        <w:rPr>
          <w:color w:val="auto"/>
        </w:rPr>
      </w:pPr>
      <w:r>
        <w:rPr>
          <w:b/>
          <w:bCs/>
          <w:color w:val="auto"/>
        </w:rPr>
        <w:t xml:space="preserve">MWs </w:t>
      </w:r>
      <w:r>
        <w:rPr>
          <w:color w:val="auto"/>
        </w:rPr>
        <w:t>is the number of awarded TCC MWs</w:t>
      </w:r>
    </w:p>
    <w:p w:rsidR="00AF7719" w:rsidRDefault="00C46825">
      <w:pPr>
        <w:pStyle w:val="Heading4"/>
      </w:pPr>
      <w:r>
        <w:rPr>
          <w:bCs/>
        </w:rPr>
        <w:t xml:space="preserve">26.4.2.4.1.6.2 </w:t>
      </w:r>
      <w:r>
        <w:t>Future</w:t>
      </w:r>
      <w:r>
        <w:rPr>
          <w:bCs/>
        </w:rPr>
        <w:t xml:space="preserve"> Six-Month Segment </w:t>
      </w:r>
    </w:p>
    <w:p w:rsidR="00AF7719" w:rsidRDefault="00C46825">
      <w:pPr>
        <w:pStyle w:val="Default"/>
        <w:spacing w:after="240"/>
        <w:ind w:left="360"/>
        <w:rPr>
          <w:color w:val="auto"/>
        </w:rPr>
      </w:pPr>
      <w:r>
        <w:rPr>
          <w:b/>
          <w:color w:val="auto"/>
        </w:rPr>
        <w:t xml:space="preserve">Future </w:t>
      </w:r>
      <w:r>
        <w:rPr>
          <w:b/>
          <w:bCs/>
          <w:color w:val="auto"/>
        </w:rPr>
        <w:t>Six-Month S</w:t>
      </w:r>
      <w:r>
        <w:rPr>
          <w:b/>
          <w:bCs/>
          <w:color w:val="auto"/>
        </w:rPr>
        <w:t xml:space="preserve">egment ($) </w:t>
      </w:r>
      <w:r>
        <w:rPr>
          <w:color w:val="auto"/>
        </w:rPr>
        <w:t xml:space="preserve">= (Six-Month Margin ($)−TCC Price ($))×MWs </w:t>
      </w:r>
    </w:p>
    <w:p w:rsidR="00AF7719" w:rsidRDefault="00C46825">
      <w:pPr>
        <w:pStyle w:val="Default"/>
        <w:spacing w:after="240"/>
        <w:ind w:left="720"/>
        <w:rPr>
          <w:i/>
          <w:iCs/>
          <w:color w:val="auto"/>
        </w:rPr>
      </w:pPr>
      <w:r>
        <w:rPr>
          <w:i/>
          <w:iCs/>
          <w:color w:val="auto"/>
        </w:rPr>
        <w:t xml:space="preserve">where: </w:t>
      </w:r>
    </w:p>
    <w:p w:rsidR="00AF7719" w:rsidRDefault="00C46825">
      <w:pPr>
        <w:pStyle w:val="Default"/>
        <w:spacing w:after="240"/>
        <w:ind w:left="720"/>
        <w:rPr>
          <w:color w:val="auto"/>
        </w:rPr>
      </w:pPr>
      <w:r>
        <w:rPr>
          <w:b/>
          <w:bCs/>
          <w:color w:val="auto"/>
        </w:rPr>
        <w:t xml:space="preserve">Six-Month Margin </w:t>
      </w:r>
      <w:r>
        <w:rPr>
          <w:color w:val="auto"/>
        </w:rPr>
        <w:t xml:space="preserve">is calculated based on a methodology approved by Market Participants and posted on the ISO’s website </w:t>
      </w:r>
    </w:p>
    <w:p w:rsidR="00AF7719" w:rsidRDefault="00C46825">
      <w:pPr>
        <w:pStyle w:val="Default"/>
        <w:spacing w:after="240"/>
        <w:ind w:left="720"/>
        <w:rPr>
          <w:color w:val="auto"/>
        </w:rPr>
      </w:pPr>
      <w:r>
        <w:rPr>
          <w:b/>
          <w:bCs/>
          <w:color w:val="auto"/>
        </w:rPr>
        <w:t xml:space="preserve">TCC Price </w:t>
      </w:r>
      <w:r>
        <w:rPr>
          <w:color w:val="auto"/>
        </w:rPr>
        <w:t>is the market clearing price, using the same POI/POW combination</w:t>
      </w:r>
      <w:r>
        <w:rPr>
          <w:color w:val="auto"/>
        </w:rPr>
        <w:t xml:space="preserve">, resulting from the </w:t>
      </w:r>
    </w:p>
    <w:p w:rsidR="00AF7719" w:rsidRDefault="00C46825">
      <w:pPr>
        <w:pStyle w:val="Default"/>
        <w:spacing w:after="240"/>
        <w:ind w:left="1080"/>
        <w:rPr>
          <w:color w:val="auto"/>
        </w:rPr>
      </w:pPr>
      <w:r>
        <w:rPr>
          <w:color w:val="auto"/>
        </w:rPr>
        <w:t xml:space="preserve">(1) Market clearing price from the final round of the most recent one-year TCC Sub-Auction, less the </w:t>
      </w:r>
    </w:p>
    <w:p w:rsidR="00AF7719" w:rsidRDefault="00C46825">
      <w:pPr>
        <w:pStyle w:val="Default"/>
        <w:spacing w:after="240"/>
        <w:ind w:left="1080"/>
        <w:rPr>
          <w:color w:val="auto"/>
        </w:rPr>
      </w:pPr>
      <w:r>
        <w:rPr>
          <w:color w:val="auto"/>
        </w:rPr>
        <w:t xml:space="preserve">(2) Market clearing price from the second round of the most recent six-month TCC Sub-Auction </w:t>
      </w:r>
    </w:p>
    <w:p w:rsidR="00AF7719" w:rsidRDefault="00C46825">
      <w:pPr>
        <w:pStyle w:val="Default"/>
        <w:spacing w:after="240"/>
        <w:ind w:left="720"/>
        <w:rPr>
          <w:color w:val="auto"/>
        </w:rPr>
      </w:pPr>
      <w:r>
        <w:rPr>
          <w:b/>
          <w:bCs/>
          <w:color w:val="auto"/>
        </w:rPr>
        <w:t xml:space="preserve">MWs </w:t>
      </w:r>
      <w:r>
        <w:rPr>
          <w:color w:val="auto"/>
        </w:rPr>
        <w:t>is the number of awarded TCC MWs</w:t>
      </w:r>
    </w:p>
    <w:p w:rsidR="00AF7719" w:rsidRDefault="00C46825">
      <w:pPr>
        <w:pStyle w:val="Heading4"/>
      </w:pPr>
      <w:r>
        <w:t>2</w:t>
      </w:r>
      <w:r>
        <w:t>6.4.2.4.2</w:t>
      </w:r>
      <w:r>
        <w:tab/>
        <w:t xml:space="preserve">Mark-to-Market Calculation </w:t>
      </w:r>
    </w:p>
    <w:p w:rsidR="00AF7719" w:rsidRDefault="00C46825">
      <w:pPr>
        <w:pStyle w:val="Bodypara"/>
        <w:rPr>
          <w:bCs/>
        </w:rPr>
      </w:pPr>
      <w:r>
        <w:t xml:space="preserve">The projected amount of the Primary Holder’s payment obligation to the NYISO, if any, considering the net mark-to-market value of </w:t>
      </w:r>
      <w:r>
        <w:rPr>
          <w:bCs/>
        </w:rPr>
        <w:t xml:space="preserve">all TCCs in the Primary Holder’s portfolio, as defined for these purposes, according to </w:t>
      </w:r>
      <w:r>
        <w:rPr>
          <w:bCs/>
        </w:rPr>
        <w:t>the formula below:</w:t>
      </w:r>
    </w:p>
    <w:p w:rsidR="00AF7719" w:rsidRDefault="00C46825">
      <w:pPr>
        <w:pStyle w:val="alphapara"/>
        <w:spacing w:line="240" w:lineRule="auto"/>
        <w:ind w:left="720" w:firstLine="0"/>
        <w:jc w:val="center"/>
        <w:rPr>
          <w:bCs/>
        </w:rPr>
      </w:pPr>
    </w:p>
    <w:p w:rsidR="00AF7719" w:rsidRDefault="00C46825">
      <w:pPr>
        <w:pStyle w:val="alphapara"/>
        <w:spacing w:line="240" w:lineRule="auto"/>
        <w:ind w:left="720" w:firstLine="0"/>
        <w:jc w:val="center"/>
        <w:rPr>
          <w:bCs/>
        </w:rPr>
      </w:pPr>
    </w:p>
    <w:p w:rsidR="00AF7719" w:rsidRDefault="00C46825">
      <w:pPr>
        <w:pStyle w:val="alphapara"/>
        <w:spacing w:line="240" w:lineRule="auto"/>
        <w:ind w:left="720" w:firstLine="0"/>
        <w:jc w:val="center"/>
        <w:rPr>
          <w:bCs/>
        </w:rPr>
      </w:pPr>
      <m:oMath>
        <m:nary>
          <m:naryPr>
            <m:chr m:val="∑"/>
            <m:limLoc m:val="undOvr"/>
            <m:supHide m:val="1"/>
            <m:ctrlPr>
              <w:rPr>
                <w:rFonts w:ascii="Cambria Math" w:hAnsi="Cambria Math"/>
                <w:bCs/>
                <w:i/>
                <w:sz w:val="26"/>
                <w:szCs w:val="26"/>
              </w:rPr>
            </m:ctrlPr>
          </m:naryPr>
          <m:sub>
            <m:r>
              <w:rPr>
                <w:rFonts w:ascii="Cambria Math" w:hAnsi="Cambria Math"/>
                <w:sz w:val="26"/>
                <w:szCs w:val="26"/>
              </w:rPr>
              <m:t>nϵN</m:t>
            </m:r>
          </m:sub>
          <m:sup/>
          <m:e>
            <m:d>
              <m:dPr>
                <m:begChr m:val="{"/>
                <m:endChr m:val="}"/>
                <m:ctrlPr>
                  <w:rPr>
                    <w:rFonts w:ascii="Cambria Math" w:hAnsi="Cambria Math"/>
                    <w:bCs/>
                    <w:i/>
                    <w:sz w:val="26"/>
                    <w:szCs w:val="26"/>
                  </w:rPr>
                </m:ctrlPr>
              </m:dPr>
              <m:e>
                <m:f>
                  <m:fPr>
                    <m:ctrlPr>
                      <w:rPr>
                        <w:rFonts w:ascii="Cambria Math" w:hAnsi="Cambria Math"/>
                        <w:bCs/>
                        <w:i/>
                        <w:sz w:val="26"/>
                        <w:szCs w:val="26"/>
                      </w:rPr>
                    </m:ctrlPr>
                  </m:fPr>
                  <m:num>
                    <m:sSub>
                      <m:sSubPr>
                        <m:ctrlPr>
                          <w:rPr>
                            <w:rFonts w:ascii="Cambria Math" w:hAnsi="Cambria Math"/>
                            <w:bCs/>
                            <w:i/>
                            <w:sz w:val="26"/>
                            <w:szCs w:val="26"/>
                          </w:rPr>
                        </m:ctrlPr>
                      </m:sSubPr>
                      <m:e>
                        <m:r>
                          <w:rPr>
                            <w:rFonts w:ascii="Cambria Math" w:hAnsi="Cambria Math"/>
                            <w:sz w:val="26"/>
                            <w:szCs w:val="26"/>
                          </w:rPr>
                          <m:t>NAP</m:t>
                        </m:r>
                        <m:ctrlPr>
                          <w:rPr>
                            <w:rFonts w:ascii="Cambria Math" w:hAnsi="Cambria Math"/>
                            <w:i/>
                            <w:sz w:val="26"/>
                            <w:szCs w:val="26"/>
                          </w:rPr>
                        </m:ctrlPr>
                      </m:e>
                      <m:sub>
                        <m:r>
                          <w:rPr>
                            <w:rFonts w:ascii="Cambria Math" w:hAnsi="Cambria Math"/>
                            <w:sz w:val="26"/>
                            <w:szCs w:val="26"/>
                          </w:rPr>
                          <m:t>n</m:t>
                        </m:r>
                        <m:ctrlPr>
                          <w:rPr>
                            <w:rFonts w:ascii="Cambria Math" w:hAnsi="Cambria Math"/>
                            <w:i/>
                            <w:sz w:val="26"/>
                            <w:szCs w:val="26"/>
                          </w:rPr>
                        </m:ctrlPr>
                      </m:sub>
                    </m:sSub>
                    <m:ctrlPr>
                      <w:rPr>
                        <w:rFonts w:ascii="Cambria Math" w:hAnsi="Cambria Math"/>
                        <w:i/>
                        <w:sz w:val="26"/>
                        <w:szCs w:val="26"/>
                      </w:rPr>
                    </m:ctrlPr>
                  </m:num>
                  <m:den>
                    <m:r>
                      <w:rPr>
                        <w:rFonts w:ascii="Cambria Math" w:hAnsi="Cambria Math"/>
                        <w:sz w:val="26"/>
                        <w:szCs w:val="26"/>
                      </w:rPr>
                      <m:t>90</m:t>
                    </m:r>
                    <m:ctrlPr>
                      <w:rPr>
                        <w:rFonts w:ascii="Cambria Math" w:hAnsi="Cambria Math"/>
                        <w:i/>
                        <w:sz w:val="26"/>
                        <w:szCs w:val="26"/>
                      </w:rPr>
                    </m:ctrlPr>
                  </m:den>
                </m:f>
                <m:r>
                  <w:rPr>
                    <w:rFonts w:ascii="Cambria Math" w:hAnsi="Cambria Math"/>
                    <w:sz w:val="26"/>
                    <w:szCs w:val="26"/>
                  </w:rPr>
                  <m:t xml:space="preserve"> * </m:t>
                </m:r>
                <m:sSub>
                  <m:sSubPr>
                    <m:ctrlPr>
                      <w:rPr>
                        <w:rFonts w:ascii="Cambria Math" w:hAnsi="Cambria Math"/>
                        <w:bCs/>
                        <w:i/>
                        <w:sz w:val="26"/>
                        <w:szCs w:val="26"/>
                      </w:rPr>
                    </m:ctrlPr>
                  </m:sSubPr>
                  <m:e>
                    <m:r>
                      <w:rPr>
                        <w:rFonts w:ascii="Cambria Math" w:hAnsi="Cambria Math"/>
                        <w:sz w:val="26"/>
                        <w:szCs w:val="26"/>
                      </w:rPr>
                      <m:t>RD</m:t>
                    </m:r>
                    <m:ctrlPr>
                      <w:rPr>
                        <w:rFonts w:ascii="Cambria Math" w:hAnsi="Cambria Math"/>
                        <w:i/>
                        <w:sz w:val="26"/>
                        <w:szCs w:val="26"/>
                      </w:rPr>
                    </m:ctrlPr>
                  </m:e>
                  <m:sub>
                    <m:r>
                      <w:rPr>
                        <w:rFonts w:ascii="Cambria Math" w:hAnsi="Cambria Math"/>
                        <w:sz w:val="26"/>
                        <w:szCs w:val="26"/>
                      </w:rPr>
                      <m:t>n</m:t>
                    </m:r>
                    <m:ctrlPr>
                      <w:rPr>
                        <w:rFonts w:ascii="Cambria Math" w:hAnsi="Cambria Math"/>
                        <w:i/>
                        <w:sz w:val="26"/>
                        <w:szCs w:val="26"/>
                      </w:rPr>
                    </m:ctrlPr>
                  </m:sub>
                </m:sSub>
              </m:e>
            </m:d>
            <m:r>
              <w:rPr>
                <w:rFonts w:ascii="Cambria Math" w:hAnsi="Cambria Math"/>
                <w:sz w:val="26"/>
                <w:szCs w:val="26"/>
              </w:rPr>
              <m:t xml:space="preserve"> </m:t>
            </m:r>
          </m:e>
        </m:nary>
        <m:r>
          <w:rPr>
            <w:rFonts w:ascii="Cambria Math" w:hAnsi="Cambria Math"/>
            <w:sz w:val="26"/>
            <w:szCs w:val="26"/>
          </w:rPr>
          <m:t xml:space="preserve">+ </m:t>
        </m:r>
        <m:nary>
          <m:naryPr>
            <m:chr m:val="∑"/>
            <m:limLoc m:val="undOvr"/>
            <m:supHide m:val="1"/>
            <m:ctrlPr>
              <w:rPr>
                <w:rFonts w:ascii="Cambria Math" w:hAnsi="Cambria Math"/>
                <w:bCs/>
                <w:i/>
                <w:sz w:val="26"/>
                <w:szCs w:val="26"/>
              </w:rPr>
            </m:ctrlPr>
          </m:naryPr>
          <m:sub>
            <m:r>
              <w:rPr>
                <w:rFonts w:ascii="Cambria Math" w:hAnsi="Cambria Math"/>
                <w:sz w:val="26"/>
                <w:szCs w:val="26"/>
              </w:rPr>
              <m:t>nϵN</m:t>
            </m:r>
          </m:sub>
          <m:sup/>
          <m:e>
            <m:sSub>
              <m:sSubPr>
                <m:ctrlPr>
                  <w:rPr>
                    <w:rFonts w:ascii="Cambria Math" w:hAnsi="Cambria Math"/>
                    <w:bCs/>
                    <w:i/>
                    <w:sz w:val="26"/>
                    <w:szCs w:val="26"/>
                  </w:rPr>
                </m:ctrlPr>
              </m:sSubPr>
              <m:e>
                <m:r>
                  <w:rPr>
                    <w:rFonts w:ascii="Cambria Math" w:hAnsi="Cambria Math"/>
                    <w:sz w:val="26"/>
                    <w:szCs w:val="26"/>
                  </w:rPr>
                  <m:t>ACR</m:t>
                </m:r>
                <m:ctrlPr>
                  <w:rPr>
                    <w:rFonts w:ascii="Cambria Math" w:hAnsi="Cambria Math"/>
                    <w:i/>
                    <w:sz w:val="26"/>
                    <w:szCs w:val="26"/>
                  </w:rPr>
                </m:ctrlPr>
              </m:e>
              <m:sub>
                <m:r>
                  <w:rPr>
                    <w:rFonts w:ascii="Cambria Math" w:hAnsi="Cambria Math"/>
                    <w:sz w:val="26"/>
                    <w:szCs w:val="26"/>
                  </w:rPr>
                  <m:t>n</m:t>
                </m:r>
              </m:sub>
            </m:sSub>
          </m:e>
        </m:nary>
      </m:oMath>
      <w:r>
        <w:rPr>
          <w:noProof/>
        </w:rPr>
        <mc:AlternateContent>
          <mc:Choice Requires="wps">
            <w:drawing>
              <wp:anchor distT="0" distB="0" distL="114298" distR="114298" simplePos="0" relativeHeight="251658240" behindDoc="0" locked="0" layoutInCell="1" allowOverlap="1">
                <wp:simplePos x="0" y="0"/>
                <wp:positionH relativeFrom="column">
                  <wp:posOffset>-1</wp:posOffset>
                </wp:positionH>
                <wp:positionV relativeFrom="paragraph">
                  <wp:posOffset>-1</wp:posOffset>
                </wp:positionV>
                <wp:extent cx="0" cy="0"/>
                <wp:effectExtent l="0" t="0" r="0" b="0"/>
                <wp:wrapNone/>
                <wp:docPr id="1"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white">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xmlns:w15="http://schemas.microsoft.com/office/word/2012/wordml">
            <w:pict>
              <v:rect id="Rectangle 129" o:spid="_x0000_s1025" style="height:0;margin-left:0;margin-top:0;mso-height-percent:0;mso-height-relative:page;mso-width-percent:0;mso-width-relative:page;mso-wrap-distance-bottom:0pt;mso-wrap-distance-left:9pt;mso-wrap-distance-right:9pt;mso-wrap-distance-top:0pt;mso-wrap-style:square;position:absolute;v-text-anchor:top;visibility:visible;width:0;z-index:251659264" o:bwmode="white" filled="f" stroked="f"/>
            </w:pict>
          </mc:Fallback>
        </mc:AlternateContent>
      </w:r>
    </w:p>
    <w:p w:rsidR="00AF7719" w:rsidRDefault="00C46825">
      <w:pPr>
        <w:pStyle w:val="Bodypara"/>
      </w:pPr>
      <w:r>
        <w:t xml:space="preserve">where: </w:t>
      </w:r>
    </w:p>
    <w:p w:rsidR="00AF7719" w:rsidRDefault="00C46825">
      <w:pPr>
        <w:pStyle w:val="equationtext"/>
      </w:pPr>
      <w:r>
        <w:t xml:space="preserve">NAP </w:t>
      </w:r>
      <w:r>
        <w:tab/>
        <w:t xml:space="preserve">= </w:t>
      </w:r>
      <w:r>
        <w:tab/>
        <w:t>the net amount of Congestion Rents between the POI and POW composing each TCC</w:t>
      </w:r>
      <w:r>
        <w:rPr>
          <w:vertAlign w:val="subscript"/>
        </w:rPr>
        <w:t>n</w:t>
      </w:r>
      <w:r>
        <w:t xml:space="preserve"> during the previous ninety days</w:t>
      </w:r>
    </w:p>
    <w:p w:rsidR="00AF7719" w:rsidRDefault="00C46825"/>
    <w:p w:rsidR="00AF7719" w:rsidRDefault="00C46825">
      <w:pPr>
        <w:pStyle w:val="equationtext"/>
        <w:rPr>
          <w:bCs/>
        </w:rPr>
      </w:pPr>
      <w:r>
        <w:rPr>
          <w:bCs/>
        </w:rPr>
        <w:t xml:space="preserve">RD </w:t>
      </w:r>
      <w:r>
        <w:rPr>
          <w:bCs/>
        </w:rPr>
        <w:tab/>
        <w:t xml:space="preserve">= </w:t>
      </w:r>
      <w:r>
        <w:rPr>
          <w:bCs/>
        </w:rPr>
        <w:tab/>
        <w:t xml:space="preserve">the </w:t>
      </w:r>
      <w:r>
        <w:t>remaining</w:t>
      </w:r>
      <w:r>
        <w:rPr>
          <w:bCs/>
        </w:rPr>
        <w:t xml:space="preserve"> number of days in the life of TCC</w:t>
      </w:r>
      <w:r>
        <w:rPr>
          <w:bCs/>
          <w:vertAlign w:val="subscript"/>
        </w:rPr>
        <w:t>n</w:t>
      </w:r>
      <w:r>
        <w:rPr>
          <w:bCs/>
        </w:rPr>
        <w:t xml:space="preserve">; </w:t>
      </w:r>
      <w:r>
        <w:rPr>
          <w:bCs/>
          <w:i/>
          <w:iCs/>
        </w:rPr>
        <w:t>provided, however,</w:t>
      </w:r>
      <w:r>
        <w:rPr>
          <w:bCs/>
        </w:rPr>
        <w:t xml:space="preserve"> that in the case of Grandfathered TCCs, RD shall equal the remaining number of days in the life of the longest duration TCC sold in an ISO-administered auction then outstanding; </w:t>
      </w:r>
    </w:p>
    <w:p w:rsidR="00AF7719" w:rsidRDefault="00C46825">
      <w:pPr>
        <w:pStyle w:val="equationtext"/>
      </w:pPr>
      <w:r>
        <w:t xml:space="preserve">N </w:t>
      </w:r>
      <w:r>
        <w:tab/>
        <w:t>=</w:t>
      </w:r>
      <w:r>
        <w:tab/>
        <w:t>the set of TCCs held by the Primary Holder; and</w:t>
      </w:r>
    </w:p>
    <w:p w:rsidR="00AF7719" w:rsidRDefault="00C46825">
      <w:pPr>
        <w:pStyle w:val="equationtext"/>
      </w:pPr>
      <w:r>
        <w:t>ACR</w:t>
      </w:r>
      <w:r>
        <w:tab/>
        <w:t>=</w:t>
      </w:r>
      <w:r>
        <w:tab/>
        <w:t>the net amount owed to the ISO for Congestion Rents between the POI and POW composing each TCC</w:t>
      </w:r>
      <w:r>
        <w:rPr>
          <w:vertAlign w:val="subscript"/>
        </w:rPr>
        <w:t>n</w:t>
      </w:r>
      <w:r>
        <w:t>.</w:t>
      </w:r>
    </w:p>
    <w:p w:rsidR="00AF7719" w:rsidRDefault="00C46825">
      <w:pPr>
        <w:pStyle w:val="Heading4"/>
        <w:rPr>
          <w:bCs/>
        </w:rPr>
      </w:pPr>
      <w:bookmarkStart w:id="19" w:name="_Toc263691840"/>
      <w:r>
        <w:t>26.4.2.5</w:t>
      </w:r>
      <w:r>
        <w:tab/>
        <w:t>WTSC Component</w:t>
      </w:r>
      <w:bookmarkEnd w:id="19"/>
      <w:r>
        <w:rPr>
          <w:bCs/>
        </w:rPr>
        <w:t xml:space="preserve"> </w:t>
      </w:r>
    </w:p>
    <w:p w:rsidR="00AF7719" w:rsidRDefault="00C46825">
      <w:pPr>
        <w:pStyle w:val="Bodypara"/>
      </w:pPr>
      <w:r>
        <w:t>The WTSC Component shall be equal to the greater of either:</w:t>
      </w:r>
      <w:r>
        <w:rPr>
          <w:i/>
          <w:iCs/>
        </w:rPr>
        <w:t xml:space="preserve"> </w:t>
      </w:r>
      <w:r>
        <w:t xml:space="preserve">  </w:t>
      </w:r>
    </w:p>
    <w:p w:rsidR="00AF7719" w:rsidRDefault="00C46825">
      <w:pPr>
        <w:jc w:val="both"/>
      </w:pPr>
      <w:r>
        <w:t xml:space="preserve">   </w:t>
      </w:r>
    </w:p>
    <w:p w:rsidR="00AF7719" w:rsidRDefault="00C46825">
      <w:pPr>
        <w:pStyle w:val="Bodypara"/>
        <w:ind w:firstLine="0"/>
        <w:jc w:val="center"/>
        <w:rPr>
          <w:bCs/>
        </w:rPr>
      </w:pPr>
      <m:oMath>
        <m:f>
          <m:fPr>
            <m:ctrlPr>
              <w:rPr>
                <w:rFonts w:ascii="Cambria Math" w:hAnsi="Cambria Math"/>
                <w:bCs/>
                <w:i/>
                <w:sz w:val="30"/>
                <w:szCs w:val="30"/>
              </w:rPr>
            </m:ctrlPr>
          </m:fPr>
          <m:num>
            <m:eqArr>
              <m:eqArrPr>
                <m:ctrlPr>
                  <w:rPr>
                    <w:rFonts w:ascii="Cambria Math" w:hAnsi="Cambria Math"/>
                    <w:bCs/>
                    <w:i/>
                    <w:sz w:val="30"/>
                    <w:szCs w:val="30"/>
                  </w:rPr>
                </m:ctrlPr>
              </m:eqArrPr>
              <m:e>
                <m:r>
                  <w:rPr>
                    <w:rFonts w:ascii="Cambria Math" w:hAnsi="Cambria Math"/>
                    <w:sz w:val="30"/>
                    <w:szCs w:val="30"/>
                  </w:rPr>
                  <m:t>Greatest</m:t>
                </m:r>
                <m:r>
                  <w:rPr>
                    <w:rFonts w:ascii="Cambria Math" w:hAnsi="Cambria Math"/>
                    <w:sz w:val="30"/>
                    <w:szCs w:val="30"/>
                  </w:rPr>
                  <m:t xml:space="preserve"> </m:t>
                </m:r>
                <m:r>
                  <w:rPr>
                    <w:rFonts w:ascii="Cambria Math" w:hAnsi="Cambria Math"/>
                    <w:sz w:val="30"/>
                    <w:szCs w:val="30"/>
                  </w:rPr>
                  <m:t>Amount</m:t>
                </m:r>
                <m:r>
                  <w:rPr>
                    <w:rFonts w:ascii="Cambria Math" w:hAnsi="Cambria Math"/>
                    <w:sz w:val="30"/>
                    <w:szCs w:val="30"/>
                  </w:rPr>
                  <m:t xml:space="preserve"> </m:t>
                </m:r>
                <m:r>
                  <w:rPr>
                    <w:rFonts w:ascii="Cambria Math" w:hAnsi="Cambria Math"/>
                    <w:sz w:val="30"/>
                    <w:szCs w:val="30"/>
                  </w:rPr>
                  <m:t>Owed</m:t>
                </m:r>
                <m:r>
                  <w:rPr>
                    <w:rFonts w:ascii="Cambria Math" w:hAnsi="Cambria Math"/>
                    <w:sz w:val="30"/>
                    <w:szCs w:val="30"/>
                  </w:rPr>
                  <m:t xml:space="preserve"> </m:t>
                </m:r>
                <m:r>
                  <w:rPr>
                    <w:rFonts w:ascii="Cambria Math" w:hAnsi="Cambria Math"/>
                    <w:sz w:val="30"/>
                    <w:szCs w:val="30"/>
                  </w:rPr>
                  <m:t>for</m:t>
                </m:r>
                <m:r>
                  <w:rPr>
                    <w:rFonts w:ascii="Cambria Math" w:hAnsi="Cambria Math"/>
                    <w:sz w:val="30"/>
                    <w:szCs w:val="30"/>
                  </w:rPr>
                  <m:t xml:space="preserve"> </m:t>
                </m:r>
                <m:r>
                  <w:rPr>
                    <w:rFonts w:ascii="Cambria Math" w:hAnsi="Cambria Math"/>
                    <w:sz w:val="30"/>
                    <w:szCs w:val="30"/>
                  </w:rPr>
                  <m:t>WTSC</m:t>
                </m:r>
                <m:r>
                  <w:rPr>
                    <w:rFonts w:ascii="Cambria Math" w:hAnsi="Cambria Math"/>
                    <w:sz w:val="30"/>
                    <w:szCs w:val="30"/>
                  </w:rPr>
                  <m:t xml:space="preserve"> </m:t>
                </m:r>
                <m:r>
                  <w:rPr>
                    <w:rFonts w:ascii="Cambria Math" w:hAnsi="Cambria Math"/>
                    <w:sz w:val="30"/>
                    <w:szCs w:val="30"/>
                  </w:rPr>
                  <m:t>Durin</m:t>
                </m:r>
                <m:r>
                  <w:rPr>
                    <w:rFonts w:ascii="Cambria Math" w:hAnsi="Cambria Math"/>
                    <w:sz w:val="30"/>
                    <w:szCs w:val="30"/>
                  </w:rPr>
                  <m:t>g</m:t>
                </m:r>
                <m:r>
                  <w:rPr>
                    <w:rFonts w:ascii="Cambria Math" w:hAnsi="Cambria Math"/>
                    <w:sz w:val="30"/>
                    <w:szCs w:val="30"/>
                  </w:rPr>
                  <m:t xml:space="preserve"> </m:t>
                </m:r>
                <m:r>
                  <w:rPr>
                    <w:rFonts w:ascii="Cambria Math" w:hAnsi="Cambria Math"/>
                    <w:sz w:val="30"/>
                    <w:szCs w:val="30"/>
                  </w:rPr>
                  <m:t>Any</m:t>
                </m:r>
              </m:e>
              <m:e>
                <m:r>
                  <w:rPr>
                    <w:rFonts w:ascii="Cambria Math" w:hAnsi="Cambria Math"/>
                    <w:sz w:val="30"/>
                    <w:szCs w:val="30"/>
                  </w:rPr>
                  <m:t>Single</m:t>
                </m:r>
                <m:r>
                  <w:rPr>
                    <w:rFonts w:ascii="Cambria Math" w:hAnsi="Cambria Math"/>
                    <w:sz w:val="30"/>
                    <w:szCs w:val="30"/>
                  </w:rPr>
                  <m:t xml:space="preserve"> </m:t>
                </m:r>
                <m:r>
                  <w:rPr>
                    <w:rFonts w:ascii="Cambria Math" w:hAnsi="Cambria Math"/>
                    <w:sz w:val="30"/>
                    <w:szCs w:val="30"/>
                  </w:rPr>
                  <m:t>Mont</m:t>
                </m:r>
                <m:r>
                  <w:rPr>
                    <w:rFonts w:ascii="Cambria Math" w:hAnsi="Cambria Math"/>
                    <w:sz w:val="30"/>
                    <w:szCs w:val="30"/>
                  </w:rPr>
                  <m:t>h</m:t>
                </m:r>
                <m:r>
                  <w:rPr>
                    <w:rFonts w:ascii="Cambria Math" w:hAnsi="Cambria Math"/>
                    <w:sz w:val="30"/>
                    <w:szCs w:val="30"/>
                  </w:rPr>
                  <m:t xml:space="preserve"> </m:t>
                </m:r>
                <m:r>
                  <w:rPr>
                    <w:rFonts w:ascii="Cambria Math" w:hAnsi="Cambria Math"/>
                    <w:sz w:val="30"/>
                    <w:szCs w:val="30"/>
                  </w:rPr>
                  <m:t>in</m:t>
                </m:r>
                <m:r>
                  <w:rPr>
                    <w:rFonts w:ascii="Cambria Math" w:hAnsi="Cambria Math"/>
                    <w:sz w:val="30"/>
                    <w:szCs w:val="30"/>
                  </w:rPr>
                  <m:t xml:space="preserve"> </m:t>
                </m:r>
                <m:r>
                  <w:rPr>
                    <w:rFonts w:ascii="Cambria Math" w:hAnsi="Cambria Math"/>
                    <w:sz w:val="30"/>
                    <w:szCs w:val="30"/>
                  </w:rPr>
                  <m:t>t</m:t>
                </m:r>
                <m:r>
                  <w:rPr>
                    <w:rFonts w:ascii="Cambria Math" w:hAnsi="Cambria Math"/>
                    <w:sz w:val="30"/>
                    <w:szCs w:val="30"/>
                  </w:rPr>
                  <m:t>h</m:t>
                </m:r>
                <m:r>
                  <w:rPr>
                    <w:rFonts w:ascii="Cambria Math" w:hAnsi="Cambria Math"/>
                    <w:sz w:val="30"/>
                    <w:szCs w:val="30"/>
                  </w:rPr>
                  <m:t>e</m:t>
                </m:r>
                <m:r>
                  <w:rPr>
                    <w:rFonts w:ascii="Cambria Math" w:hAnsi="Cambria Math"/>
                    <w:sz w:val="30"/>
                    <w:szCs w:val="30"/>
                  </w:rPr>
                  <m:t xml:space="preserve"> </m:t>
                </m:r>
                <m:r>
                  <w:rPr>
                    <w:rFonts w:ascii="Cambria Math" w:hAnsi="Cambria Math"/>
                    <w:sz w:val="30"/>
                    <w:szCs w:val="30"/>
                  </w:rPr>
                  <m:t>Prior</m:t>
                </m:r>
                <m:r>
                  <w:rPr>
                    <w:rFonts w:ascii="Cambria Math" w:hAnsi="Cambria Math"/>
                    <w:sz w:val="30"/>
                    <w:szCs w:val="30"/>
                  </w:rPr>
                  <m:t xml:space="preserve"> </m:t>
                </m:r>
                <m:r>
                  <w:rPr>
                    <w:rFonts w:ascii="Cambria Math" w:hAnsi="Cambria Math"/>
                    <w:sz w:val="30"/>
                    <w:szCs w:val="30"/>
                  </w:rPr>
                  <m:t>Equivalent</m:t>
                </m:r>
                <m:r>
                  <w:rPr>
                    <w:rFonts w:ascii="Cambria Math" w:hAnsi="Cambria Math"/>
                    <w:sz w:val="30"/>
                    <w:szCs w:val="30"/>
                  </w:rPr>
                  <m:t xml:space="preserve"> </m:t>
                </m:r>
                <m:r>
                  <w:rPr>
                    <w:rFonts w:ascii="Cambria Math" w:hAnsi="Cambria Math"/>
                    <w:sz w:val="30"/>
                    <w:szCs w:val="30"/>
                  </w:rPr>
                  <m:t>Capability</m:t>
                </m:r>
                <m:r>
                  <w:rPr>
                    <w:rFonts w:ascii="Cambria Math" w:hAnsi="Cambria Math"/>
                    <w:sz w:val="30"/>
                    <w:szCs w:val="30"/>
                  </w:rPr>
                  <m:t xml:space="preserve"> </m:t>
                </m:r>
                <m:r>
                  <w:rPr>
                    <w:rFonts w:ascii="Cambria Math" w:hAnsi="Cambria Math"/>
                    <w:sz w:val="30"/>
                    <w:szCs w:val="30"/>
                  </w:rPr>
                  <m:t>Period</m:t>
                </m:r>
              </m:e>
            </m:eqArr>
          </m:num>
          <m:den>
            <m:r>
              <w:rPr>
                <w:rFonts w:ascii="Cambria Math" w:hAnsi="Cambria Math"/>
                <w:sz w:val="30"/>
                <w:szCs w:val="30"/>
              </w:rPr>
              <m:t>Days</m:t>
            </m:r>
            <m:r>
              <w:rPr>
                <w:rFonts w:ascii="Cambria Math" w:hAnsi="Cambria Math"/>
                <w:sz w:val="30"/>
                <w:szCs w:val="30"/>
              </w:rPr>
              <m:t xml:space="preserve"> </m:t>
            </m:r>
            <m:r>
              <w:rPr>
                <w:rFonts w:ascii="Cambria Math" w:hAnsi="Cambria Math"/>
                <w:sz w:val="30"/>
                <w:szCs w:val="30"/>
              </w:rPr>
              <m:t>in</m:t>
            </m:r>
            <m:r>
              <w:rPr>
                <w:rFonts w:ascii="Cambria Math" w:hAnsi="Cambria Math"/>
                <w:sz w:val="30"/>
                <w:szCs w:val="30"/>
              </w:rPr>
              <m:t xml:space="preserve"> </m:t>
            </m:r>
            <m:r>
              <w:rPr>
                <w:rFonts w:ascii="Cambria Math" w:hAnsi="Cambria Math"/>
                <w:sz w:val="30"/>
                <w:szCs w:val="30"/>
              </w:rPr>
              <m:t>Mont</m:t>
            </m:r>
            <m:r>
              <w:rPr>
                <w:rFonts w:ascii="Cambria Math" w:hAnsi="Cambria Math"/>
                <w:sz w:val="30"/>
                <w:szCs w:val="30"/>
              </w:rPr>
              <m:t>h</m:t>
            </m:r>
          </m:den>
        </m:f>
      </m:oMath>
      <w:r>
        <w:rPr>
          <w:bCs/>
          <w:sz w:val="32"/>
        </w:rPr>
        <w:t xml:space="preserve"> </w:t>
      </w:r>
      <w:r>
        <w:rPr>
          <w:bCs/>
        </w:rPr>
        <w:t>* 50</w:t>
      </w:r>
    </w:p>
    <w:p w:rsidR="00AF7719" w:rsidRDefault="00C46825">
      <w:pPr>
        <w:ind w:left="2880"/>
        <w:jc w:val="both"/>
      </w:pPr>
    </w:p>
    <w:p w:rsidR="00AF7719" w:rsidRDefault="00C46825">
      <w:pPr>
        <w:pStyle w:val="Bodypara"/>
      </w:pPr>
      <w:r>
        <w:t>- or –</w:t>
      </w:r>
    </w:p>
    <w:p w:rsidR="00AF7719" w:rsidRDefault="00C46825">
      <w:pPr>
        <w:pStyle w:val="Bodypara"/>
        <w:jc w:val="center"/>
        <w:rPr>
          <w:bCs/>
        </w:rPr>
      </w:pPr>
      <m:oMath>
        <m:f>
          <m:fPr>
            <m:ctrlPr>
              <w:rPr>
                <w:rFonts w:ascii="Cambria Math" w:hAnsi="Cambria Math"/>
                <w:bCs/>
                <w:i/>
                <w:sz w:val="30"/>
                <w:szCs w:val="30"/>
              </w:rPr>
            </m:ctrlPr>
          </m:fPr>
          <m:num>
            <m:eqArr>
              <m:eqArrPr>
                <m:ctrlPr>
                  <w:rPr>
                    <w:rFonts w:ascii="Cambria Math" w:hAnsi="Cambria Math"/>
                    <w:bCs/>
                    <w:i/>
                    <w:sz w:val="30"/>
                    <w:szCs w:val="30"/>
                  </w:rPr>
                </m:ctrlPr>
              </m:eqArrPr>
              <m:e>
                <m:r>
                  <w:rPr>
                    <w:rFonts w:ascii="Cambria Math" w:hAnsi="Cambria Math"/>
                    <w:sz w:val="30"/>
                    <w:szCs w:val="30"/>
                  </w:rPr>
                  <m:t>Total</m:t>
                </m:r>
                <m:r>
                  <w:rPr>
                    <w:rFonts w:ascii="Cambria Math" w:hAnsi="Cambria Math"/>
                    <w:sz w:val="30"/>
                    <w:szCs w:val="30"/>
                  </w:rPr>
                  <m:t xml:space="preserve"> </m:t>
                </m:r>
                <m:r>
                  <w:rPr>
                    <w:rFonts w:ascii="Cambria Math" w:hAnsi="Cambria Math"/>
                    <w:sz w:val="30"/>
                    <w:szCs w:val="30"/>
                  </w:rPr>
                  <m:t>C</m:t>
                </m:r>
                <m:r>
                  <w:rPr>
                    <w:rFonts w:ascii="Cambria Math" w:hAnsi="Cambria Math"/>
                    <w:sz w:val="30"/>
                    <w:szCs w:val="30"/>
                  </w:rPr>
                  <m:t>h</m:t>
                </m:r>
                <m:r>
                  <w:rPr>
                    <w:rFonts w:ascii="Cambria Math" w:hAnsi="Cambria Math"/>
                    <w:sz w:val="30"/>
                    <w:szCs w:val="30"/>
                  </w:rPr>
                  <m:t>arges</m:t>
                </m:r>
                <m:r>
                  <w:rPr>
                    <w:rFonts w:ascii="Cambria Math" w:hAnsi="Cambria Math"/>
                    <w:sz w:val="30"/>
                    <w:szCs w:val="30"/>
                  </w:rPr>
                  <m:t xml:space="preserve"> </m:t>
                </m:r>
                <m:r>
                  <w:rPr>
                    <w:rFonts w:ascii="Cambria Math" w:hAnsi="Cambria Math"/>
                    <w:sz w:val="30"/>
                    <w:szCs w:val="30"/>
                  </w:rPr>
                  <m:t>Incurred</m:t>
                </m:r>
                <m:r>
                  <w:rPr>
                    <w:rFonts w:ascii="Cambria Math" w:hAnsi="Cambria Math"/>
                    <w:sz w:val="30"/>
                    <w:szCs w:val="30"/>
                  </w:rPr>
                  <m:t xml:space="preserve"> </m:t>
                </m:r>
                <m:r>
                  <w:rPr>
                    <w:rFonts w:ascii="Cambria Math" w:hAnsi="Cambria Math"/>
                    <w:sz w:val="30"/>
                    <w:szCs w:val="30"/>
                  </w:rPr>
                  <m:t>for</m:t>
                </m:r>
                <m:r>
                  <w:rPr>
                    <w:rFonts w:ascii="Cambria Math" w:hAnsi="Cambria Math"/>
                    <w:sz w:val="30"/>
                    <w:szCs w:val="30"/>
                  </w:rPr>
                  <m:t xml:space="preserve"> </m:t>
                </m:r>
                <m:r>
                  <w:rPr>
                    <w:rFonts w:ascii="Cambria Math" w:hAnsi="Cambria Math"/>
                    <w:sz w:val="30"/>
                    <w:szCs w:val="30"/>
                  </w:rPr>
                  <m:t>WTSC</m:t>
                </m:r>
                <m:r>
                  <w:rPr>
                    <w:rFonts w:ascii="Cambria Math" w:hAnsi="Cambria Math"/>
                    <w:sz w:val="30"/>
                    <w:szCs w:val="30"/>
                  </w:rPr>
                  <m:t xml:space="preserve"> </m:t>
                </m:r>
                <m:r>
                  <w:rPr>
                    <w:rFonts w:ascii="Cambria Math" w:hAnsi="Cambria Math"/>
                    <w:sz w:val="30"/>
                    <w:szCs w:val="30"/>
                  </w:rPr>
                  <m:t>Based</m:t>
                </m:r>
                <m:r>
                  <w:rPr>
                    <w:rFonts w:ascii="Cambria Math" w:hAnsi="Cambria Math"/>
                    <w:sz w:val="30"/>
                    <w:szCs w:val="30"/>
                  </w:rPr>
                  <m:t xml:space="preserve"> </m:t>
                </m:r>
                <m:r>
                  <w:rPr>
                    <w:rFonts w:ascii="Cambria Math" w:hAnsi="Cambria Math"/>
                    <w:sz w:val="30"/>
                    <w:szCs w:val="30"/>
                  </w:rPr>
                  <m:t>Upon</m:t>
                </m:r>
                <m:r>
                  <w:rPr>
                    <w:rFonts w:ascii="Cambria Math" w:hAnsi="Cambria Math"/>
                    <w:sz w:val="30"/>
                    <w:szCs w:val="30"/>
                  </w:rPr>
                  <m:t xml:space="preserve"> </m:t>
                </m:r>
                <m:r>
                  <w:rPr>
                    <w:rFonts w:ascii="Cambria Math" w:hAnsi="Cambria Math"/>
                    <w:sz w:val="30"/>
                    <w:szCs w:val="30"/>
                  </w:rPr>
                  <m:t>t</m:t>
                </m:r>
                <m:r>
                  <w:rPr>
                    <w:rFonts w:ascii="Cambria Math" w:hAnsi="Cambria Math"/>
                    <w:sz w:val="30"/>
                    <w:szCs w:val="30"/>
                  </w:rPr>
                  <m:t>h</m:t>
                </m:r>
                <m:r>
                  <w:rPr>
                    <w:rFonts w:ascii="Cambria Math" w:hAnsi="Cambria Math"/>
                    <w:sz w:val="30"/>
                    <w:szCs w:val="30"/>
                  </w:rPr>
                  <m:t>e</m:t>
                </m:r>
                <m:r>
                  <w:rPr>
                    <w:rFonts w:ascii="Cambria Math" w:hAnsi="Cambria Math"/>
                    <w:sz w:val="30"/>
                    <w:szCs w:val="30"/>
                  </w:rPr>
                  <m:t xml:space="preserve"> </m:t>
                </m:r>
                <m:r>
                  <w:rPr>
                    <w:rFonts w:ascii="Cambria Math" w:hAnsi="Cambria Math"/>
                    <w:sz w:val="30"/>
                    <w:szCs w:val="30"/>
                  </w:rPr>
                  <m:t>Most</m:t>
                </m:r>
              </m:e>
              <m:e>
                <m:r>
                  <w:rPr>
                    <w:rFonts w:ascii="Cambria Math" w:hAnsi="Cambria Math"/>
                    <w:sz w:val="30"/>
                    <w:szCs w:val="30"/>
                  </w:rPr>
                  <m:t>Recent</m:t>
                </m:r>
                <m:r>
                  <w:rPr>
                    <w:rFonts w:ascii="Cambria Math" w:hAnsi="Cambria Math"/>
                    <w:sz w:val="30"/>
                    <w:szCs w:val="30"/>
                  </w:rPr>
                  <m:t xml:space="preserve"> </m:t>
                </m:r>
                <m:r>
                  <w:rPr>
                    <w:rFonts w:ascii="Cambria Math" w:hAnsi="Cambria Math"/>
                    <w:sz w:val="30"/>
                    <w:szCs w:val="30"/>
                  </w:rPr>
                  <m:t>Mon</m:t>
                </m:r>
                <m:r>
                  <w:rPr>
                    <w:rFonts w:ascii="Cambria Math" w:hAnsi="Cambria Math"/>
                    <w:sz w:val="30"/>
                    <w:szCs w:val="30"/>
                  </w:rPr>
                  <m:t>t</m:t>
                </m:r>
                <m:r>
                  <w:rPr>
                    <w:rFonts w:ascii="Cambria Math" w:hAnsi="Cambria Math"/>
                    <w:sz w:val="30"/>
                    <w:szCs w:val="30"/>
                  </w:rPr>
                  <m:t>h</m:t>
                </m:r>
                <m:r>
                  <w:rPr>
                    <w:rFonts w:ascii="Cambria Math" w:hAnsi="Cambria Math"/>
                    <w:sz w:val="30"/>
                    <w:szCs w:val="30"/>
                  </w:rPr>
                  <m:t>ly</m:t>
                </m:r>
                <m:r>
                  <w:rPr>
                    <w:rFonts w:ascii="Cambria Math" w:hAnsi="Cambria Math"/>
                    <w:sz w:val="30"/>
                    <w:szCs w:val="30"/>
                  </w:rPr>
                  <m:t xml:space="preserve"> </m:t>
                </m:r>
                <m:r>
                  <w:rPr>
                    <w:rFonts w:ascii="Cambria Math" w:hAnsi="Cambria Math"/>
                    <w:sz w:val="30"/>
                    <w:szCs w:val="30"/>
                  </w:rPr>
                  <m:t>Data</m:t>
                </m:r>
                <m:r>
                  <w:rPr>
                    <w:rFonts w:ascii="Cambria Math" w:hAnsi="Cambria Math"/>
                    <w:sz w:val="30"/>
                    <w:szCs w:val="30"/>
                  </w:rPr>
                  <m:t xml:space="preserve"> </m:t>
                </m:r>
                <m:r>
                  <w:rPr>
                    <w:rFonts w:ascii="Cambria Math" w:hAnsi="Cambria Math"/>
                    <w:sz w:val="30"/>
                    <w:szCs w:val="30"/>
                  </w:rPr>
                  <m:t>Provided</m:t>
                </m:r>
                <m:r>
                  <w:rPr>
                    <w:rFonts w:ascii="Cambria Math" w:hAnsi="Cambria Math"/>
                    <w:sz w:val="30"/>
                    <w:szCs w:val="30"/>
                  </w:rPr>
                  <m:t xml:space="preserve"> </m:t>
                </m:r>
                <m:r>
                  <w:rPr>
                    <w:rFonts w:ascii="Cambria Math" w:hAnsi="Cambria Math"/>
                    <w:sz w:val="30"/>
                    <w:szCs w:val="30"/>
                  </w:rPr>
                  <m:t>by</m:t>
                </m:r>
                <m:r>
                  <w:rPr>
                    <w:rFonts w:ascii="Cambria Math" w:hAnsi="Cambria Math"/>
                    <w:sz w:val="30"/>
                    <w:szCs w:val="30"/>
                  </w:rPr>
                  <m:t xml:space="preserve"> </m:t>
                </m:r>
                <m:r>
                  <w:rPr>
                    <w:rFonts w:ascii="Cambria Math" w:hAnsi="Cambria Math"/>
                    <w:sz w:val="30"/>
                    <w:szCs w:val="30"/>
                  </w:rPr>
                  <m:t>t</m:t>
                </m:r>
                <m:r>
                  <w:rPr>
                    <w:rFonts w:ascii="Cambria Math" w:hAnsi="Cambria Math"/>
                    <w:sz w:val="30"/>
                    <w:szCs w:val="30"/>
                  </w:rPr>
                  <m:t>h</m:t>
                </m:r>
                <m:r>
                  <w:rPr>
                    <w:rFonts w:ascii="Cambria Math" w:hAnsi="Cambria Math"/>
                    <w:sz w:val="30"/>
                    <w:szCs w:val="30"/>
                  </w:rPr>
                  <m:t>e</m:t>
                </m:r>
                <m:r>
                  <w:rPr>
                    <w:rFonts w:ascii="Cambria Math" w:hAnsi="Cambria Math"/>
                    <w:sz w:val="30"/>
                    <w:szCs w:val="30"/>
                  </w:rPr>
                  <m:t xml:space="preserve"> </m:t>
                </m:r>
                <m:r>
                  <w:rPr>
                    <w:rFonts w:ascii="Cambria Math" w:hAnsi="Cambria Math"/>
                    <w:sz w:val="30"/>
                    <w:szCs w:val="30"/>
                  </w:rPr>
                  <m:t>Transmission</m:t>
                </m:r>
                <m:r>
                  <w:rPr>
                    <w:rFonts w:ascii="Cambria Math" w:hAnsi="Cambria Math"/>
                    <w:sz w:val="30"/>
                    <w:szCs w:val="30"/>
                  </w:rPr>
                  <m:t xml:space="preserve"> </m:t>
                </m:r>
                <m:r>
                  <w:rPr>
                    <w:rFonts w:ascii="Cambria Math" w:hAnsi="Cambria Math"/>
                    <w:sz w:val="30"/>
                    <w:szCs w:val="30"/>
                  </w:rPr>
                  <m:t>Owner</m:t>
                </m:r>
              </m:e>
            </m:eqArr>
          </m:num>
          <m:den>
            <m:r>
              <w:rPr>
                <w:rFonts w:ascii="Cambria Math" w:hAnsi="Cambria Math"/>
                <w:sz w:val="30"/>
                <w:szCs w:val="30"/>
              </w:rPr>
              <m:t>Days</m:t>
            </m:r>
            <m:r>
              <w:rPr>
                <w:rFonts w:ascii="Cambria Math" w:hAnsi="Cambria Math"/>
                <w:sz w:val="30"/>
                <w:szCs w:val="30"/>
              </w:rPr>
              <m:t xml:space="preserve"> </m:t>
            </m:r>
            <m:r>
              <w:rPr>
                <w:rFonts w:ascii="Cambria Math" w:hAnsi="Cambria Math"/>
                <w:sz w:val="30"/>
                <w:szCs w:val="30"/>
              </w:rPr>
              <m:t>in</m:t>
            </m:r>
            <m:r>
              <w:rPr>
                <w:rFonts w:ascii="Cambria Math" w:hAnsi="Cambria Math"/>
                <w:sz w:val="30"/>
                <w:szCs w:val="30"/>
              </w:rPr>
              <m:t xml:space="preserve"> </m:t>
            </m:r>
            <m:r>
              <w:rPr>
                <w:rFonts w:ascii="Cambria Math" w:hAnsi="Cambria Math"/>
                <w:sz w:val="30"/>
                <w:szCs w:val="30"/>
              </w:rPr>
              <m:t>Mont</m:t>
            </m:r>
            <m:r>
              <w:rPr>
                <w:rFonts w:ascii="Cambria Math" w:hAnsi="Cambria Math"/>
                <w:sz w:val="30"/>
                <w:szCs w:val="30"/>
              </w:rPr>
              <m:t>h</m:t>
            </m:r>
          </m:den>
        </m:f>
      </m:oMath>
      <w:r>
        <w:rPr>
          <w:bCs/>
          <w:sz w:val="32"/>
        </w:rPr>
        <w:t xml:space="preserve"> </w:t>
      </w:r>
      <w:r>
        <w:rPr>
          <w:bCs/>
        </w:rPr>
        <w:t>* 50</w:t>
      </w:r>
    </w:p>
    <w:p w:rsidR="00AF7719" w:rsidRDefault="00C46825">
      <w:pPr>
        <w:ind w:left="2880"/>
      </w:pPr>
      <w:r>
        <w:t xml:space="preserve">   </w:t>
      </w:r>
    </w:p>
    <w:p w:rsidR="00AF7719" w:rsidRDefault="00C46825">
      <w:pPr>
        <w:pStyle w:val="Heading4"/>
      </w:pPr>
      <w:bookmarkStart w:id="20" w:name="_Toc263691841"/>
      <w:r>
        <w:t>26.4.2.6</w:t>
      </w:r>
      <w:r>
        <w:tab/>
        <w:t>Virtual Transaction Component</w:t>
      </w:r>
      <w:bookmarkEnd w:id="20"/>
      <w:r>
        <w:t xml:space="preserve">  </w:t>
      </w:r>
    </w:p>
    <w:p w:rsidR="00AF7719" w:rsidRDefault="00C46825">
      <w:pPr>
        <w:pStyle w:val="Bodypara"/>
      </w:pPr>
      <w:r>
        <w:t>The Virtual Transaction Component shall be equal to the sum of the Customer’s (i) Virtual Supply credit</w:t>
      </w:r>
      <w:r>
        <w:t xml:space="preserve"> requirement (“VSCR”) for all outstanding Virtual Supply Bids, plus (ii) Virtual Load credit requirement (“VLCR”) for all outstanding Virtual Load Bids, plus (iii) net amount owed to the ISO for settled Virtual Transactions.</w:t>
      </w:r>
    </w:p>
    <w:p w:rsidR="00AF7719" w:rsidRDefault="00C46825">
      <w:pPr>
        <w:pStyle w:val="Bodypara"/>
      </w:pPr>
      <w:r>
        <w:t>Where:</w:t>
      </w:r>
    </w:p>
    <w:p w:rsidR="00AF7719" w:rsidRDefault="00C46825">
      <w:pPr>
        <w:pStyle w:val="equationtext"/>
      </w:pPr>
      <w:r>
        <w:t>VSCR</w:t>
      </w:r>
      <w:r>
        <w:tab/>
        <w:t>=</w:t>
      </w:r>
      <w:r>
        <w:tab/>
      </w:r>
      <m:oMath>
        <m:nary>
          <m:naryPr>
            <m:chr m:val="∑"/>
            <m:limLoc m:val="undOvr"/>
            <m:subHide m:val="1"/>
            <m:supHide m:val="1"/>
            <m:ctrlPr>
              <w:rPr>
                <w:rFonts w:ascii="Cambria Math" w:hAnsi="Cambria Math"/>
                <w:i/>
              </w:rPr>
            </m:ctrlPr>
          </m:naryPr>
          <m:sub/>
          <m:sup/>
          <m:e>
            <m:d>
              <m:dPr>
                <m:ctrlPr>
                  <w:rPr>
                    <w:rFonts w:ascii="Cambria Math" w:hAnsi="Cambria Math"/>
                    <w:i/>
                  </w:rPr>
                </m:ctrlPr>
              </m:dPr>
              <m:e>
                <m:sSub>
                  <m:sSubPr>
                    <m:ctrlPr>
                      <w:rPr>
                        <w:rFonts w:ascii="Cambria Math" w:hAnsi="Cambria Math"/>
                        <w:i/>
                      </w:rPr>
                    </m:ctrlPr>
                  </m:sSubPr>
                  <m:e>
                    <m:r>
                      <w:rPr>
                        <w:rFonts w:ascii="Cambria Math" w:hAnsi="Cambria Math"/>
                      </w:rPr>
                      <m:t>VSG</m:t>
                    </m:r>
                  </m:e>
                  <m:sub>
                    <m:r>
                      <w:rPr>
                        <w:rFonts w:ascii="Cambria Math" w:hAnsi="Cambria Math"/>
                      </w:rPr>
                      <m:t>MW</m:t>
                    </m:r>
                    <m:r>
                      <w:rPr>
                        <w:rFonts w:ascii="Cambria Math" w:hAnsi="Cambria Math"/>
                      </w:rPr>
                      <m:t>h</m:t>
                    </m:r>
                  </m:sub>
                </m:sSub>
                <m:r>
                  <w:rPr>
                    <w:rFonts w:ascii="Cambria Math" w:hAnsi="Cambria Math"/>
                  </w:rPr>
                  <m:t xml:space="preserve">* </m:t>
                </m:r>
                <m:sSub>
                  <m:sSubPr>
                    <m:ctrlPr>
                      <w:rPr>
                        <w:rFonts w:ascii="Cambria Math" w:hAnsi="Cambria Math"/>
                        <w:i/>
                      </w:rPr>
                    </m:ctrlPr>
                  </m:sSubPr>
                  <m:e>
                    <m:r>
                      <w:rPr>
                        <w:rFonts w:ascii="Cambria Math" w:hAnsi="Cambria Math"/>
                      </w:rPr>
                      <m:t>VS</m:t>
                    </m:r>
                    <m:r>
                      <w:rPr>
                        <w:rFonts w:ascii="Cambria Math" w:hAnsi="Cambria Math"/>
                      </w:rPr>
                      <m:t>G</m:t>
                    </m:r>
                  </m:e>
                  <m:sub>
                    <m:r>
                      <w:rPr>
                        <w:rFonts w:ascii="Cambria Math" w:hAnsi="Cambria Math"/>
                      </w:rPr>
                      <m:t>CS</m:t>
                    </m:r>
                  </m:sub>
                </m:sSub>
              </m:e>
            </m:d>
          </m:e>
        </m:nary>
      </m:oMath>
      <w:r>
        <w:t xml:space="preserve">  </w:t>
      </w:r>
    </w:p>
    <w:p w:rsidR="00AF7719" w:rsidRDefault="00C46825">
      <w:pPr>
        <w:pStyle w:val="equationtext"/>
      </w:pPr>
      <w:r>
        <w:t>VLCR</w:t>
      </w:r>
      <w:r>
        <w:tab/>
        <w:t>=</w:t>
      </w:r>
      <w:r>
        <w:tab/>
      </w:r>
      <m:oMath>
        <m:nary>
          <m:naryPr>
            <m:chr m:val="∑"/>
            <m:limLoc m:val="undOvr"/>
            <m:subHide m:val="1"/>
            <m:supHide m:val="1"/>
            <m:ctrlPr>
              <w:rPr>
                <w:rFonts w:ascii="Cambria Math" w:hAnsi="Cambria Math"/>
                <w:i/>
              </w:rPr>
            </m:ctrlPr>
          </m:naryPr>
          <m:sub/>
          <m:sup/>
          <m:e>
            <m:d>
              <m:dPr>
                <m:ctrlPr>
                  <w:rPr>
                    <w:rFonts w:ascii="Cambria Math" w:hAnsi="Cambria Math"/>
                    <w:i/>
                  </w:rPr>
                </m:ctrlPr>
              </m:dPr>
              <m:e>
                <m:sSub>
                  <m:sSubPr>
                    <m:ctrlPr>
                      <w:rPr>
                        <w:rFonts w:ascii="Cambria Math" w:hAnsi="Cambria Math"/>
                        <w:i/>
                      </w:rPr>
                    </m:ctrlPr>
                  </m:sSubPr>
                  <m:e>
                    <m:r>
                      <w:rPr>
                        <w:rFonts w:ascii="Cambria Math" w:hAnsi="Cambria Math"/>
                      </w:rPr>
                      <m:t>VLG</m:t>
                    </m:r>
                  </m:e>
                  <m:sub>
                    <m:r>
                      <w:rPr>
                        <w:rFonts w:ascii="Cambria Math" w:hAnsi="Cambria Math"/>
                      </w:rPr>
                      <m:t>MW</m:t>
                    </m:r>
                    <m:r>
                      <w:rPr>
                        <w:rFonts w:ascii="Cambria Math" w:hAnsi="Cambria Math"/>
                      </w:rPr>
                      <m:t>h</m:t>
                    </m:r>
                  </m:sub>
                </m:sSub>
                <m:r>
                  <w:rPr>
                    <w:rFonts w:ascii="Cambria Math" w:hAnsi="Cambria Math"/>
                  </w:rPr>
                  <m:t xml:space="preserve">* </m:t>
                </m:r>
                <m:sSub>
                  <m:sSubPr>
                    <m:ctrlPr>
                      <w:rPr>
                        <w:rFonts w:ascii="Cambria Math" w:hAnsi="Cambria Math"/>
                        <w:i/>
                      </w:rPr>
                    </m:ctrlPr>
                  </m:sSubPr>
                  <m:e>
                    <m:r>
                      <w:rPr>
                        <w:rFonts w:ascii="Cambria Math" w:hAnsi="Cambria Math"/>
                      </w:rPr>
                      <m:t>VLG</m:t>
                    </m:r>
                  </m:e>
                  <m:sub>
                    <m:r>
                      <w:rPr>
                        <w:rFonts w:ascii="Cambria Math" w:hAnsi="Cambria Math"/>
                      </w:rPr>
                      <m:t>CS</m:t>
                    </m:r>
                  </m:sub>
                </m:sSub>
              </m:e>
            </m:d>
          </m:e>
        </m:nary>
      </m:oMath>
      <w:r>
        <w:t xml:space="preserve">  </w:t>
      </w:r>
    </w:p>
    <w:p w:rsidR="00AF7719" w:rsidRDefault="00C46825">
      <w:pPr>
        <w:pStyle w:val="Bodypara"/>
      </w:pPr>
      <w:r>
        <w:t>Where:</w:t>
      </w:r>
    </w:p>
    <w:p w:rsidR="00AF7719" w:rsidRDefault="00C46825">
      <w:pPr>
        <w:pStyle w:val="equationtext"/>
      </w:pPr>
      <w:r>
        <w:t>VSG</w:t>
      </w:r>
      <w:r>
        <w:rPr>
          <w:vertAlign w:val="subscript"/>
        </w:rPr>
        <w:t>MWh</w:t>
      </w:r>
      <w:r>
        <w:tab/>
        <w:t>=</w:t>
      </w:r>
      <w:r>
        <w:rPr>
          <w:vertAlign w:val="subscript"/>
        </w:rPr>
        <w:tab/>
      </w:r>
      <w:r>
        <w:t xml:space="preserve">the total quantity of MWhs of Virtual Supply that a Customer Bids for all Virtual Supply positions in the Virtual Supply group </w:t>
      </w:r>
    </w:p>
    <w:p w:rsidR="00AF7719" w:rsidRDefault="00C46825">
      <w:pPr>
        <w:pStyle w:val="equationtext"/>
      </w:pPr>
      <w:r>
        <w:t>VSG</w:t>
      </w:r>
      <w:r>
        <w:rPr>
          <w:vertAlign w:val="subscript"/>
        </w:rPr>
        <w:t>CS</w:t>
      </w:r>
      <w:r>
        <w:tab/>
        <w:t>=</w:t>
      </w:r>
      <w:r>
        <w:rPr>
          <w:vertAlign w:val="subscript"/>
        </w:rPr>
        <w:tab/>
      </w:r>
      <w:r>
        <w:t xml:space="preserve">the amount of credit support required </w:t>
      </w:r>
      <w:bookmarkStart w:id="21" w:name="OLE_LINK1"/>
      <w:bookmarkStart w:id="22" w:name="OLE_LINK2"/>
      <w:r>
        <w:t>in $/MWh</w:t>
      </w:r>
      <w:bookmarkEnd w:id="21"/>
      <w:bookmarkEnd w:id="22"/>
      <w:r>
        <w:t xml:space="preserve"> for the Virtual</w:t>
      </w:r>
      <w:r>
        <w:t xml:space="preserve"> Supply group</w:t>
      </w:r>
    </w:p>
    <w:p w:rsidR="00AF7719" w:rsidRDefault="00C46825">
      <w:pPr>
        <w:pStyle w:val="equationtext"/>
      </w:pPr>
      <w:r>
        <w:t>VLG</w:t>
      </w:r>
      <w:r>
        <w:rPr>
          <w:vertAlign w:val="subscript"/>
        </w:rPr>
        <w:t>MWh</w:t>
      </w:r>
      <w:r>
        <w:tab/>
        <w:t>=</w:t>
      </w:r>
      <w:r>
        <w:rPr>
          <w:vertAlign w:val="subscript"/>
        </w:rPr>
        <w:tab/>
      </w:r>
      <w:r>
        <w:t>the total quantity of MWhs of Virtual Load that a Customer Bids for all Virtual Load positions in the Virtual Load group</w:t>
      </w:r>
    </w:p>
    <w:p w:rsidR="00AF7719" w:rsidRDefault="00C46825">
      <w:pPr>
        <w:pStyle w:val="equationtext"/>
        <w:rPr>
          <w:vertAlign w:val="subscript"/>
        </w:rPr>
      </w:pPr>
      <w:r>
        <w:t>VLG</w:t>
      </w:r>
      <w:r>
        <w:rPr>
          <w:vertAlign w:val="subscript"/>
        </w:rPr>
        <w:t>CS</w:t>
      </w:r>
      <w:r>
        <w:tab/>
        <w:t>=</w:t>
      </w:r>
      <w:r>
        <w:rPr>
          <w:vertAlign w:val="subscript"/>
        </w:rPr>
        <w:tab/>
      </w:r>
      <w:r>
        <w:t>the amount of credit support required in $/MWh for the Virtual Load group</w:t>
      </w:r>
    </w:p>
    <w:p w:rsidR="00AF7719" w:rsidRDefault="00C46825">
      <w:pPr>
        <w:pStyle w:val="Bodypara"/>
      </w:pPr>
      <w:r>
        <w:t>The ISO will categorize each V</w:t>
      </w:r>
      <w:r>
        <w:t>irtual Supply Bid into one of the 72 Virtual Supply groups set forth in the Virtual Supply chart below, as appropriate, based upon the season, Load Zone, and time-of-day of the Virtual Supply Bid.  The amount of credit support required in $/MWh for a Virtu</w:t>
      </w:r>
      <w:r>
        <w:t>al Transaction in a particular Virtual Supply group shall equal the price differential between the Energy price in the Day-Ahead Market and the Energy price in the Real-Time Market, at the 97</w:t>
      </w:r>
      <w:r>
        <w:rPr>
          <w:vertAlign w:val="superscript"/>
        </w:rPr>
        <w:t>th</w:t>
      </w:r>
      <w:r>
        <w:t xml:space="preserve"> percentile, based upon all possible Virtual Supply positions i</w:t>
      </w:r>
      <w:r>
        <w:t xml:space="preserve">n the Virtual Supply group for the period of time from April 1, 2005, through the end of the preceding calendar month.  </w:t>
      </w:r>
    </w:p>
    <w:p w:rsidR="00AF7719" w:rsidRDefault="00C46825">
      <w:pPr>
        <w:pStyle w:val="Bodypara"/>
      </w:pPr>
      <w:r>
        <w:t>The ISO will categorize each Virtual Load Bid into one of the 30 Virtual Load groups set forth in the Virtual Load chart below, as appr</w:t>
      </w:r>
      <w:r>
        <w:t xml:space="preserve">opriate, based upon the season, Load Zone, and time-of-day of the Virtual Load Bid.  The amount of credit support required in $/MWh for a Virtual Transaction in a particular Virtual Load group shall equal the price differential between the Energy price in </w:t>
      </w:r>
      <w:r>
        <w:t>the Day-Ahead Market and the Energy price in the Real-Time Market, at the 97</w:t>
      </w:r>
      <w:r>
        <w:rPr>
          <w:vertAlign w:val="superscript"/>
        </w:rPr>
        <w:t>th</w:t>
      </w:r>
      <w:r>
        <w:t xml:space="preserve"> percentile, based upon all possible Virtual Load positions in the Virtual Load group for the period of time from April 1, 2005, through the end of the preceding calendar month. </w:t>
      </w:r>
      <w:r>
        <w:t xml:space="preserve"> </w:t>
      </w:r>
    </w:p>
    <w:p w:rsidR="00AF7719" w:rsidRDefault="00C46825">
      <w:pPr>
        <w:pStyle w:val="Bodypara"/>
      </w:pPr>
      <w:r>
        <w:t xml:space="preserve">If a Customer submits Bids for both Virtual Load and Virtual Supply for the same day, hour, and Load Zone, then for those Bids, until such time as those Bids have been evaluated by SCUC, only the greater of the Customer’s (i) VLCR for the total MWhs Bid </w:t>
      </w:r>
      <w:r>
        <w:t>for Virtual Load, or (ii) VSCR for the total MWhs Bid for Virtual Supply will be included when calculating the Customer’s Virtual Transaction Component. After evaluation of those Bids by SCUC, then only the credit requirement for the net position of the ac</w:t>
      </w:r>
      <w:r>
        <w:t>cepted Bids (in MWhs of Virtual Load or Virtual Supply) will be included when calculating the Customer’s Virtual Transaction Component.</w:t>
      </w:r>
    </w:p>
    <w:p w:rsidR="00AF7719" w:rsidRDefault="00C46825">
      <w:pPr>
        <w:spacing w:line="480" w:lineRule="auto"/>
        <w:jc w:val="center"/>
        <w:rPr>
          <w:b/>
        </w:rPr>
      </w:pPr>
      <w:r>
        <w:rPr>
          <w:b/>
        </w:rPr>
        <w:t>Virtual Supply Groups</w:t>
      </w:r>
    </w:p>
    <w:tbl>
      <w:tblPr>
        <w:tblW w:w="9294" w:type="dxa"/>
        <w:tblInd w:w="198" w:type="dxa"/>
        <w:tblLook w:val="0000" w:firstRow="0" w:lastRow="0" w:firstColumn="0" w:lastColumn="0" w:noHBand="0" w:noVBand="0"/>
      </w:tblPr>
      <w:tblGrid>
        <w:gridCol w:w="3254"/>
        <w:gridCol w:w="1440"/>
        <w:gridCol w:w="1440"/>
        <w:gridCol w:w="1526"/>
        <w:gridCol w:w="1634"/>
      </w:tblGrid>
      <w:tr w:rsidR="009A51D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AF7719" w:rsidRDefault="00C46825">
            <w:pPr>
              <w:jc w:val="center"/>
              <w:rPr>
                <w:b/>
              </w:rPr>
            </w:pPr>
            <w:r>
              <w:rPr>
                <w:b/>
              </w:rPr>
              <w:t>Summer</w:t>
            </w:r>
          </w:p>
        </w:tc>
        <w:tc>
          <w:tcPr>
            <w:tcW w:w="1440" w:type="dxa"/>
            <w:tcBorders>
              <w:top w:val="nil"/>
              <w:left w:val="nil"/>
              <w:bottom w:val="single" w:sz="4" w:space="0" w:color="808080"/>
              <w:right w:val="single" w:sz="4" w:space="0" w:color="808080"/>
            </w:tcBorders>
            <w:shd w:val="clear" w:color="auto" w:fill="C0C0C0"/>
            <w:noWrap/>
            <w:vAlign w:val="bottom"/>
          </w:tcPr>
          <w:p w:rsidR="00AF7719" w:rsidRDefault="00C46825">
            <w:pPr>
              <w:jc w:val="center"/>
              <w:rPr>
                <w:b/>
              </w:rPr>
            </w:pPr>
            <w:r>
              <w:rPr>
                <w:b/>
              </w:rPr>
              <w:t>Load Zones A–F</w:t>
            </w:r>
          </w:p>
        </w:tc>
        <w:tc>
          <w:tcPr>
            <w:tcW w:w="1440" w:type="dxa"/>
            <w:tcBorders>
              <w:top w:val="nil"/>
              <w:left w:val="nil"/>
              <w:bottom w:val="single" w:sz="4" w:space="0" w:color="808080"/>
              <w:right w:val="single" w:sz="4" w:space="0" w:color="808080"/>
            </w:tcBorders>
            <w:shd w:val="clear" w:color="auto" w:fill="C0C0C0"/>
            <w:noWrap/>
            <w:vAlign w:val="bottom"/>
          </w:tcPr>
          <w:p w:rsidR="00AF7719" w:rsidRDefault="00C46825">
            <w:pPr>
              <w:jc w:val="center"/>
              <w:rPr>
                <w:b/>
              </w:rPr>
            </w:pPr>
            <w:r>
              <w:rPr>
                <w:b/>
              </w:rPr>
              <w:t>Load Zones G–I</w:t>
            </w:r>
          </w:p>
        </w:tc>
        <w:tc>
          <w:tcPr>
            <w:tcW w:w="1526" w:type="dxa"/>
            <w:tcBorders>
              <w:top w:val="nil"/>
              <w:left w:val="nil"/>
              <w:bottom w:val="single" w:sz="4" w:space="0" w:color="808080"/>
              <w:right w:val="single" w:sz="4" w:space="0" w:color="808080"/>
            </w:tcBorders>
            <w:shd w:val="clear" w:color="auto" w:fill="C0C0C0"/>
            <w:noWrap/>
            <w:vAlign w:val="bottom"/>
          </w:tcPr>
          <w:p w:rsidR="00AF7719" w:rsidRDefault="00C46825">
            <w:pPr>
              <w:jc w:val="center"/>
              <w:rPr>
                <w:b/>
              </w:rPr>
            </w:pPr>
            <w:r>
              <w:rPr>
                <w:b/>
              </w:rPr>
              <w:t>Load Zone J</w:t>
            </w:r>
          </w:p>
        </w:tc>
        <w:tc>
          <w:tcPr>
            <w:tcW w:w="1634" w:type="dxa"/>
            <w:tcBorders>
              <w:top w:val="nil"/>
              <w:left w:val="nil"/>
              <w:bottom w:val="single" w:sz="4" w:space="0" w:color="808080"/>
              <w:right w:val="single" w:sz="4" w:space="0" w:color="808080"/>
            </w:tcBorders>
            <w:shd w:val="clear" w:color="auto" w:fill="C0C0C0"/>
            <w:noWrap/>
            <w:vAlign w:val="bottom"/>
          </w:tcPr>
          <w:p w:rsidR="00AF7719" w:rsidRDefault="00C46825">
            <w:pPr>
              <w:jc w:val="center"/>
              <w:rPr>
                <w:b/>
              </w:rPr>
            </w:pPr>
            <w:r>
              <w:rPr>
                <w:b/>
              </w:rPr>
              <w:t>Load Zone K</w:t>
            </w:r>
          </w:p>
        </w:tc>
      </w:tr>
      <w:tr w:rsidR="009A51D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AF7719" w:rsidRDefault="00C46825">
            <w:pPr>
              <w:jc w:val="center"/>
            </w:pPr>
            <w:r>
              <w:t>HB07–10</w:t>
            </w:r>
          </w:p>
        </w:tc>
        <w:tc>
          <w:tcPr>
            <w:tcW w:w="1440" w:type="dxa"/>
            <w:tcBorders>
              <w:top w:val="nil"/>
              <w:left w:val="nil"/>
              <w:bottom w:val="single" w:sz="4" w:space="0" w:color="808080"/>
              <w:right w:val="single" w:sz="4" w:space="0" w:color="808080"/>
            </w:tcBorders>
            <w:noWrap/>
            <w:vAlign w:val="bottom"/>
          </w:tcPr>
          <w:p w:rsidR="00AF7719" w:rsidRDefault="00C46825">
            <w:pPr>
              <w:jc w:val="center"/>
            </w:pPr>
            <w:r>
              <w:t>VSG-1</w:t>
            </w:r>
          </w:p>
        </w:tc>
        <w:tc>
          <w:tcPr>
            <w:tcW w:w="1440" w:type="dxa"/>
            <w:tcBorders>
              <w:top w:val="nil"/>
              <w:left w:val="nil"/>
              <w:bottom w:val="single" w:sz="4" w:space="0" w:color="808080"/>
              <w:right w:val="single" w:sz="4" w:space="0" w:color="808080"/>
            </w:tcBorders>
            <w:noWrap/>
            <w:vAlign w:val="bottom"/>
          </w:tcPr>
          <w:p w:rsidR="00AF7719" w:rsidRDefault="00C46825">
            <w:pPr>
              <w:jc w:val="center"/>
            </w:pPr>
            <w:r>
              <w:t>VSG-7</w:t>
            </w:r>
          </w:p>
        </w:tc>
        <w:tc>
          <w:tcPr>
            <w:tcW w:w="1526" w:type="dxa"/>
            <w:tcBorders>
              <w:top w:val="nil"/>
              <w:left w:val="nil"/>
              <w:bottom w:val="single" w:sz="4" w:space="0" w:color="808080"/>
              <w:right w:val="single" w:sz="4" w:space="0" w:color="808080"/>
            </w:tcBorders>
            <w:noWrap/>
            <w:vAlign w:val="bottom"/>
          </w:tcPr>
          <w:p w:rsidR="00AF7719" w:rsidRDefault="00C46825">
            <w:pPr>
              <w:jc w:val="center"/>
            </w:pPr>
            <w:r>
              <w:t>VSG-13</w:t>
            </w:r>
          </w:p>
        </w:tc>
        <w:tc>
          <w:tcPr>
            <w:tcW w:w="1634" w:type="dxa"/>
            <w:tcBorders>
              <w:top w:val="nil"/>
              <w:left w:val="nil"/>
              <w:bottom w:val="single" w:sz="4" w:space="0" w:color="808080"/>
              <w:right w:val="single" w:sz="4" w:space="0" w:color="808080"/>
            </w:tcBorders>
            <w:noWrap/>
            <w:vAlign w:val="bottom"/>
          </w:tcPr>
          <w:p w:rsidR="00AF7719" w:rsidRDefault="00C46825">
            <w:pPr>
              <w:jc w:val="center"/>
            </w:pPr>
            <w:r>
              <w:t>VSG-19</w:t>
            </w:r>
          </w:p>
        </w:tc>
      </w:tr>
      <w:tr w:rsidR="009A51D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AF7719" w:rsidRDefault="00C46825">
            <w:pPr>
              <w:jc w:val="center"/>
            </w:pPr>
            <w:r>
              <w:t>HB11–14</w:t>
            </w:r>
          </w:p>
        </w:tc>
        <w:tc>
          <w:tcPr>
            <w:tcW w:w="1440" w:type="dxa"/>
            <w:tcBorders>
              <w:top w:val="nil"/>
              <w:left w:val="nil"/>
              <w:bottom w:val="single" w:sz="4" w:space="0" w:color="808080"/>
              <w:right w:val="single" w:sz="4" w:space="0" w:color="808080"/>
            </w:tcBorders>
            <w:noWrap/>
            <w:vAlign w:val="bottom"/>
          </w:tcPr>
          <w:p w:rsidR="00AF7719" w:rsidRDefault="00C46825">
            <w:pPr>
              <w:jc w:val="center"/>
            </w:pPr>
            <w:r>
              <w:t>VSG-2</w:t>
            </w:r>
          </w:p>
        </w:tc>
        <w:tc>
          <w:tcPr>
            <w:tcW w:w="1440" w:type="dxa"/>
            <w:tcBorders>
              <w:top w:val="nil"/>
              <w:left w:val="nil"/>
              <w:bottom w:val="single" w:sz="4" w:space="0" w:color="808080"/>
              <w:right w:val="single" w:sz="4" w:space="0" w:color="808080"/>
            </w:tcBorders>
            <w:noWrap/>
            <w:vAlign w:val="bottom"/>
          </w:tcPr>
          <w:p w:rsidR="00AF7719" w:rsidRDefault="00C46825">
            <w:pPr>
              <w:jc w:val="center"/>
            </w:pPr>
            <w:r>
              <w:t>VSG-8</w:t>
            </w:r>
          </w:p>
        </w:tc>
        <w:tc>
          <w:tcPr>
            <w:tcW w:w="1526" w:type="dxa"/>
            <w:tcBorders>
              <w:top w:val="nil"/>
              <w:left w:val="nil"/>
              <w:bottom w:val="single" w:sz="4" w:space="0" w:color="808080"/>
              <w:right w:val="single" w:sz="4" w:space="0" w:color="808080"/>
            </w:tcBorders>
            <w:noWrap/>
            <w:vAlign w:val="bottom"/>
          </w:tcPr>
          <w:p w:rsidR="00AF7719" w:rsidRDefault="00C46825">
            <w:pPr>
              <w:jc w:val="center"/>
            </w:pPr>
            <w:r>
              <w:t>VSG-14</w:t>
            </w:r>
          </w:p>
        </w:tc>
        <w:tc>
          <w:tcPr>
            <w:tcW w:w="1634" w:type="dxa"/>
            <w:tcBorders>
              <w:top w:val="nil"/>
              <w:left w:val="nil"/>
              <w:bottom w:val="single" w:sz="4" w:space="0" w:color="808080"/>
              <w:right w:val="single" w:sz="4" w:space="0" w:color="808080"/>
            </w:tcBorders>
            <w:noWrap/>
            <w:vAlign w:val="bottom"/>
          </w:tcPr>
          <w:p w:rsidR="00AF7719" w:rsidRDefault="00C46825">
            <w:pPr>
              <w:jc w:val="center"/>
            </w:pPr>
            <w:r>
              <w:t>VSG-20</w:t>
            </w:r>
          </w:p>
        </w:tc>
      </w:tr>
      <w:tr w:rsidR="009A51D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AF7719" w:rsidRDefault="00C46825">
            <w:pPr>
              <w:jc w:val="center"/>
            </w:pPr>
            <w:r>
              <w:t>HB15–18</w:t>
            </w:r>
          </w:p>
        </w:tc>
        <w:tc>
          <w:tcPr>
            <w:tcW w:w="1440" w:type="dxa"/>
            <w:tcBorders>
              <w:top w:val="nil"/>
              <w:left w:val="nil"/>
              <w:bottom w:val="single" w:sz="4" w:space="0" w:color="808080"/>
              <w:right w:val="single" w:sz="4" w:space="0" w:color="808080"/>
            </w:tcBorders>
            <w:noWrap/>
            <w:vAlign w:val="bottom"/>
          </w:tcPr>
          <w:p w:rsidR="00AF7719" w:rsidRDefault="00C46825">
            <w:pPr>
              <w:jc w:val="center"/>
            </w:pPr>
            <w:r>
              <w:t>VSG-3</w:t>
            </w:r>
          </w:p>
        </w:tc>
        <w:tc>
          <w:tcPr>
            <w:tcW w:w="1440" w:type="dxa"/>
            <w:tcBorders>
              <w:top w:val="nil"/>
              <w:left w:val="nil"/>
              <w:bottom w:val="single" w:sz="4" w:space="0" w:color="808080"/>
              <w:right w:val="single" w:sz="4" w:space="0" w:color="808080"/>
            </w:tcBorders>
            <w:noWrap/>
            <w:vAlign w:val="bottom"/>
          </w:tcPr>
          <w:p w:rsidR="00AF7719" w:rsidRDefault="00C46825">
            <w:pPr>
              <w:jc w:val="center"/>
            </w:pPr>
            <w:r>
              <w:t>VSG-9</w:t>
            </w:r>
          </w:p>
        </w:tc>
        <w:tc>
          <w:tcPr>
            <w:tcW w:w="1526" w:type="dxa"/>
            <w:tcBorders>
              <w:top w:val="nil"/>
              <w:left w:val="nil"/>
              <w:bottom w:val="single" w:sz="4" w:space="0" w:color="808080"/>
              <w:right w:val="single" w:sz="4" w:space="0" w:color="808080"/>
            </w:tcBorders>
            <w:noWrap/>
            <w:vAlign w:val="bottom"/>
          </w:tcPr>
          <w:p w:rsidR="00AF7719" w:rsidRDefault="00C46825">
            <w:pPr>
              <w:jc w:val="center"/>
            </w:pPr>
            <w:r>
              <w:t>VSG-15</w:t>
            </w:r>
          </w:p>
        </w:tc>
        <w:tc>
          <w:tcPr>
            <w:tcW w:w="1634" w:type="dxa"/>
            <w:tcBorders>
              <w:top w:val="nil"/>
              <w:left w:val="nil"/>
              <w:bottom w:val="single" w:sz="4" w:space="0" w:color="808080"/>
              <w:right w:val="single" w:sz="4" w:space="0" w:color="808080"/>
            </w:tcBorders>
            <w:noWrap/>
            <w:vAlign w:val="bottom"/>
          </w:tcPr>
          <w:p w:rsidR="00AF7719" w:rsidRDefault="00C46825">
            <w:pPr>
              <w:jc w:val="center"/>
            </w:pPr>
            <w:r>
              <w:t>VSG-21</w:t>
            </w:r>
          </w:p>
        </w:tc>
      </w:tr>
      <w:tr w:rsidR="009A51D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AF7719" w:rsidRDefault="00C46825">
            <w:pPr>
              <w:jc w:val="center"/>
            </w:pPr>
            <w:r>
              <w:t>HB19–22</w:t>
            </w:r>
          </w:p>
        </w:tc>
        <w:tc>
          <w:tcPr>
            <w:tcW w:w="1440" w:type="dxa"/>
            <w:tcBorders>
              <w:top w:val="nil"/>
              <w:left w:val="nil"/>
              <w:bottom w:val="single" w:sz="4" w:space="0" w:color="808080"/>
              <w:right w:val="single" w:sz="4" w:space="0" w:color="808080"/>
            </w:tcBorders>
            <w:noWrap/>
            <w:vAlign w:val="bottom"/>
          </w:tcPr>
          <w:p w:rsidR="00AF7719" w:rsidRDefault="00C46825">
            <w:pPr>
              <w:jc w:val="center"/>
            </w:pPr>
            <w:r>
              <w:t>VSG-4</w:t>
            </w:r>
          </w:p>
        </w:tc>
        <w:tc>
          <w:tcPr>
            <w:tcW w:w="1440" w:type="dxa"/>
            <w:tcBorders>
              <w:top w:val="nil"/>
              <w:left w:val="nil"/>
              <w:bottom w:val="single" w:sz="4" w:space="0" w:color="808080"/>
              <w:right w:val="single" w:sz="4" w:space="0" w:color="808080"/>
            </w:tcBorders>
            <w:noWrap/>
            <w:vAlign w:val="bottom"/>
          </w:tcPr>
          <w:p w:rsidR="00AF7719" w:rsidRDefault="00C46825">
            <w:pPr>
              <w:jc w:val="center"/>
            </w:pPr>
            <w:r>
              <w:t>VSG-10</w:t>
            </w:r>
          </w:p>
        </w:tc>
        <w:tc>
          <w:tcPr>
            <w:tcW w:w="1526" w:type="dxa"/>
            <w:tcBorders>
              <w:top w:val="nil"/>
              <w:left w:val="nil"/>
              <w:bottom w:val="single" w:sz="4" w:space="0" w:color="808080"/>
              <w:right w:val="single" w:sz="4" w:space="0" w:color="808080"/>
            </w:tcBorders>
            <w:noWrap/>
            <w:vAlign w:val="bottom"/>
          </w:tcPr>
          <w:p w:rsidR="00AF7719" w:rsidRDefault="00C46825">
            <w:pPr>
              <w:jc w:val="center"/>
            </w:pPr>
            <w:r>
              <w:t>VSG-16</w:t>
            </w:r>
          </w:p>
        </w:tc>
        <w:tc>
          <w:tcPr>
            <w:tcW w:w="1634" w:type="dxa"/>
            <w:tcBorders>
              <w:top w:val="nil"/>
              <w:left w:val="nil"/>
              <w:bottom w:val="single" w:sz="4" w:space="0" w:color="808080"/>
              <w:right w:val="single" w:sz="4" w:space="0" w:color="808080"/>
            </w:tcBorders>
            <w:noWrap/>
            <w:vAlign w:val="bottom"/>
          </w:tcPr>
          <w:p w:rsidR="00AF7719" w:rsidRDefault="00C46825">
            <w:pPr>
              <w:jc w:val="center"/>
            </w:pPr>
            <w:r>
              <w:t>VSG-22</w:t>
            </w:r>
          </w:p>
        </w:tc>
      </w:tr>
      <w:tr w:rsidR="009A51D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AF7719" w:rsidRDefault="00C46825">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AF7719" w:rsidRDefault="00C46825">
            <w:pPr>
              <w:jc w:val="center"/>
            </w:pPr>
            <w:r>
              <w:t>VSG-5</w:t>
            </w:r>
          </w:p>
        </w:tc>
        <w:tc>
          <w:tcPr>
            <w:tcW w:w="1440" w:type="dxa"/>
            <w:tcBorders>
              <w:top w:val="nil"/>
              <w:left w:val="nil"/>
              <w:bottom w:val="single" w:sz="4" w:space="0" w:color="808080"/>
              <w:right w:val="single" w:sz="4" w:space="0" w:color="808080"/>
            </w:tcBorders>
            <w:noWrap/>
            <w:vAlign w:val="bottom"/>
          </w:tcPr>
          <w:p w:rsidR="00AF7719" w:rsidRDefault="00C46825">
            <w:pPr>
              <w:jc w:val="center"/>
            </w:pPr>
            <w:r>
              <w:t>VSG-11</w:t>
            </w:r>
          </w:p>
        </w:tc>
        <w:tc>
          <w:tcPr>
            <w:tcW w:w="1526" w:type="dxa"/>
            <w:tcBorders>
              <w:top w:val="nil"/>
              <w:left w:val="nil"/>
              <w:bottom w:val="single" w:sz="4" w:space="0" w:color="808080"/>
              <w:right w:val="single" w:sz="4" w:space="0" w:color="808080"/>
            </w:tcBorders>
            <w:noWrap/>
            <w:vAlign w:val="bottom"/>
          </w:tcPr>
          <w:p w:rsidR="00AF7719" w:rsidRDefault="00C46825">
            <w:pPr>
              <w:jc w:val="center"/>
            </w:pPr>
            <w:r>
              <w:t>VSG-17</w:t>
            </w:r>
          </w:p>
        </w:tc>
        <w:tc>
          <w:tcPr>
            <w:tcW w:w="1634" w:type="dxa"/>
            <w:tcBorders>
              <w:top w:val="nil"/>
              <w:left w:val="nil"/>
              <w:bottom w:val="single" w:sz="4" w:space="0" w:color="808080"/>
              <w:right w:val="single" w:sz="4" w:space="0" w:color="808080"/>
            </w:tcBorders>
            <w:noWrap/>
            <w:vAlign w:val="bottom"/>
          </w:tcPr>
          <w:p w:rsidR="00AF7719" w:rsidRDefault="00C46825">
            <w:pPr>
              <w:jc w:val="center"/>
            </w:pPr>
            <w:r>
              <w:t>VSG-23</w:t>
            </w:r>
          </w:p>
        </w:tc>
      </w:tr>
      <w:tr w:rsidR="009A51D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AF7719" w:rsidRDefault="00C46825">
            <w:pPr>
              <w:jc w:val="center"/>
            </w:pPr>
            <w:r>
              <w:t>Night (HB23–06)</w:t>
            </w:r>
          </w:p>
        </w:tc>
        <w:tc>
          <w:tcPr>
            <w:tcW w:w="1440" w:type="dxa"/>
            <w:tcBorders>
              <w:top w:val="nil"/>
              <w:left w:val="nil"/>
              <w:bottom w:val="single" w:sz="4" w:space="0" w:color="808080"/>
              <w:right w:val="single" w:sz="4" w:space="0" w:color="808080"/>
            </w:tcBorders>
            <w:noWrap/>
            <w:vAlign w:val="bottom"/>
          </w:tcPr>
          <w:p w:rsidR="00AF7719" w:rsidRDefault="00C46825">
            <w:pPr>
              <w:jc w:val="center"/>
            </w:pPr>
            <w:r>
              <w:t>VSG-6</w:t>
            </w:r>
          </w:p>
        </w:tc>
        <w:tc>
          <w:tcPr>
            <w:tcW w:w="1440" w:type="dxa"/>
            <w:tcBorders>
              <w:top w:val="nil"/>
              <w:left w:val="nil"/>
              <w:bottom w:val="single" w:sz="4" w:space="0" w:color="808080"/>
              <w:right w:val="single" w:sz="4" w:space="0" w:color="808080"/>
            </w:tcBorders>
            <w:noWrap/>
            <w:vAlign w:val="bottom"/>
          </w:tcPr>
          <w:p w:rsidR="00AF7719" w:rsidRDefault="00C46825">
            <w:pPr>
              <w:jc w:val="center"/>
            </w:pPr>
            <w:r>
              <w:t>VSG-12</w:t>
            </w:r>
          </w:p>
        </w:tc>
        <w:tc>
          <w:tcPr>
            <w:tcW w:w="1526" w:type="dxa"/>
            <w:tcBorders>
              <w:top w:val="nil"/>
              <w:left w:val="nil"/>
              <w:bottom w:val="single" w:sz="4" w:space="0" w:color="808080"/>
              <w:right w:val="single" w:sz="4" w:space="0" w:color="808080"/>
            </w:tcBorders>
            <w:noWrap/>
            <w:vAlign w:val="bottom"/>
          </w:tcPr>
          <w:p w:rsidR="00AF7719" w:rsidRDefault="00C46825">
            <w:pPr>
              <w:jc w:val="center"/>
            </w:pPr>
            <w:r>
              <w:t>VSG-18</w:t>
            </w:r>
          </w:p>
        </w:tc>
        <w:tc>
          <w:tcPr>
            <w:tcW w:w="1634" w:type="dxa"/>
            <w:tcBorders>
              <w:top w:val="nil"/>
              <w:left w:val="nil"/>
              <w:bottom w:val="single" w:sz="4" w:space="0" w:color="808080"/>
              <w:right w:val="single" w:sz="4" w:space="0" w:color="808080"/>
            </w:tcBorders>
            <w:noWrap/>
            <w:vAlign w:val="bottom"/>
          </w:tcPr>
          <w:p w:rsidR="00AF7719" w:rsidRDefault="00C46825">
            <w:pPr>
              <w:jc w:val="center"/>
            </w:pPr>
            <w:r>
              <w:t>VSG-24</w:t>
            </w:r>
          </w:p>
        </w:tc>
      </w:tr>
      <w:tr w:rsidR="009A51D5">
        <w:trPr>
          <w:trHeight w:val="268"/>
        </w:trPr>
        <w:tc>
          <w:tcPr>
            <w:tcW w:w="3254" w:type="dxa"/>
            <w:tcBorders>
              <w:top w:val="nil"/>
              <w:left w:val="single" w:sz="4" w:space="0" w:color="808080"/>
              <w:bottom w:val="single" w:sz="4" w:space="0" w:color="808080"/>
              <w:right w:val="single" w:sz="4" w:space="0" w:color="808080"/>
            </w:tcBorders>
            <w:noWrap/>
            <w:vAlign w:val="bottom"/>
          </w:tcPr>
          <w:p w:rsidR="00AF7719" w:rsidRDefault="00C46825">
            <w:pPr>
              <w:jc w:val="center"/>
            </w:pPr>
          </w:p>
        </w:tc>
        <w:tc>
          <w:tcPr>
            <w:tcW w:w="1440" w:type="dxa"/>
            <w:tcBorders>
              <w:top w:val="nil"/>
              <w:left w:val="nil"/>
              <w:bottom w:val="single" w:sz="4" w:space="0" w:color="808080"/>
              <w:right w:val="single" w:sz="4" w:space="0" w:color="808080"/>
            </w:tcBorders>
            <w:noWrap/>
            <w:vAlign w:val="bottom"/>
          </w:tcPr>
          <w:p w:rsidR="00AF7719" w:rsidRDefault="00C46825">
            <w:pPr>
              <w:jc w:val="center"/>
            </w:pPr>
          </w:p>
        </w:tc>
        <w:tc>
          <w:tcPr>
            <w:tcW w:w="1440" w:type="dxa"/>
            <w:tcBorders>
              <w:top w:val="nil"/>
              <w:left w:val="nil"/>
              <w:bottom w:val="single" w:sz="4" w:space="0" w:color="808080"/>
              <w:right w:val="single" w:sz="4" w:space="0" w:color="808080"/>
            </w:tcBorders>
            <w:noWrap/>
            <w:vAlign w:val="bottom"/>
          </w:tcPr>
          <w:p w:rsidR="00AF7719" w:rsidRDefault="00C46825">
            <w:pPr>
              <w:jc w:val="center"/>
            </w:pPr>
          </w:p>
        </w:tc>
        <w:tc>
          <w:tcPr>
            <w:tcW w:w="1526" w:type="dxa"/>
            <w:tcBorders>
              <w:top w:val="nil"/>
              <w:left w:val="nil"/>
              <w:bottom w:val="single" w:sz="4" w:space="0" w:color="808080"/>
              <w:right w:val="single" w:sz="4" w:space="0" w:color="808080"/>
            </w:tcBorders>
            <w:noWrap/>
            <w:vAlign w:val="bottom"/>
          </w:tcPr>
          <w:p w:rsidR="00AF7719" w:rsidRDefault="00C46825">
            <w:pPr>
              <w:jc w:val="center"/>
            </w:pPr>
          </w:p>
        </w:tc>
        <w:tc>
          <w:tcPr>
            <w:tcW w:w="1634" w:type="dxa"/>
            <w:tcBorders>
              <w:top w:val="nil"/>
              <w:left w:val="nil"/>
              <w:bottom w:val="single" w:sz="4" w:space="0" w:color="808080"/>
              <w:right w:val="single" w:sz="4" w:space="0" w:color="808080"/>
            </w:tcBorders>
            <w:noWrap/>
            <w:vAlign w:val="bottom"/>
          </w:tcPr>
          <w:p w:rsidR="00AF7719" w:rsidRDefault="00C46825">
            <w:pPr>
              <w:jc w:val="center"/>
            </w:pPr>
          </w:p>
        </w:tc>
      </w:tr>
      <w:tr w:rsidR="009A51D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AF7719" w:rsidRDefault="00C46825">
            <w:pPr>
              <w:jc w:val="center"/>
              <w:rPr>
                <w:b/>
              </w:rPr>
            </w:pPr>
            <w:r>
              <w:rPr>
                <w:b/>
              </w:rPr>
              <w:t>Winter</w:t>
            </w:r>
          </w:p>
        </w:tc>
        <w:tc>
          <w:tcPr>
            <w:tcW w:w="1440" w:type="dxa"/>
            <w:tcBorders>
              <w:top w:val="nil"/>
              <w:left w:val="nil"/>
              <w:bottom w:val="single" w:sz="4" w:space="0" w:color="808080"/>
              <w:right w:val="single" w:sz="4" w:space="0" w:color="808080"/>
            </w:tcBorders>
            <w:noWrap/>
            <w:vAlign w:val="bottom"/>
          </w:tcPr>
          <w:p w:rsidR="00AF7719" w:rsidRDefault="00C46825">
            <w:pPr>
              <w:jc w:val="center"/>
            </w:pPr>
          </w:p>
        </w:tc>
        <w:tc>
          <w:tcPr>
            <w:tcW w:w="1440" w:type="dxa"/>
            <w:tcBorders>
              <w:top w:val="nil"/>
              <w:left w:val="nil"/>
              <w:bottom w:val="single" w:sz="4" w:space="0" w:color="808080"/>
              <w:right w:val="single" w:sz="4" w:space="0" w:color="808080"/>
            </w:tcBorders>
            <w:noWrap/>
            <w:vAlign w:val="bottom"/>
          </w:tcPr>
          <w:p w:rsidR="00AF7719" w:rsidRDefault="00C46825">
            <w:pPr>
              <w:jc w:val="center"/>
            </w:pPr>
          </w:p>
        </w:tc>
        <w:tc>
          <w:tcPr>
            <w:tcW w:w="1526" w:type="dxa"/>
            <w:tcBorders>
              <w:top w:val="nil"/>
              <w:left w:val="nil"/>
              <w:bottom w:val="single" w:sz="4" w:space="0" w:color="808080"/>
              <w:right w:val="single" w:sz="4" w:space="0" w:color="808080"/>
            </w:tcBorders>
            <w:noWrap/>
            <w:vAlign w:val="bottom"/>
          </w:tcPr>
          <w:p w:rsidR="00AF7719" w:rsidRDefault="00C46825">
            <w:pPr>
              <w:jc w:val="center"/>
            </w:pPr>
          </w:p>
        </w:tc>
        <w:tc>
          <w:tcPr>
            <w:tcW w:w="1634" w:type="dxa"/>
            <w:tcBorders>
              <w:top w:val="nil"/>
              <w:left w:val="nil"/>
              <w:bottom w:val="single" w:sz="4" w:space="0" w:color="808080"/>
              <w:right w:val="single" w:sz="4" w:space="0" w:color="808080"/>
            </w:tcBorders>
            <w:noWrap/>
            <w:vAlign w:val="bottom"/>
          </w:tcPr>
          <w:p w:rsidR="00AF7719" w:rsidRDefault="00C46825">
            <w:pPr>
              <w:jc w:val="center"/>
            </w:pPr>
          </w:p>
        </w:tc>
      </w:tr>
      <w:tr w:rsidR="009A51D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AF7719" w:rsidRDefault="00C46825">
            <w:pPr>
              <w:jc w:val="center"/>
            </w:pPr>
            <w:r>
              <w:t>HB07–10</w:t>
            </w:r>
          </w:p>
        </w:tc>
        <w:tc>
          <w:tcPr>
            <w:tcW w:w="1440" w:type="dxa"/>
            <w:tcBorders>
              <w:top w:val="nil"/>
              <w:left w:val="nil"/>
              <w:bottom w:val="single" w:sz="4" w:space="0" w:color="808080"/>
              <w:right w:val="single" w:sz="4" w:space="0" w:color="808080"/>
            </w:tcBorders>
            <w:noWrap/>
            <w:vAlign w:val="bottom"/>
          </w:tcPr>
          <w:p w:rsidR="00AF7719" w:rsidRDefault="00C46825">
            <w:pPr>
              <w:jc w:val="center"/>
            </w:pPr>
            <w:r>
              <w:t>VSG-25</w:t>
            </w:r>
          </w:p>
        </w:tc>
        <w:tc>
          <w:tcPr>
            <w:tcW w:w="1440" w:type="dxa"/>
            <w:tcBorders>
              <w:top w:val="nil"/>
              <w:left w:val="nil"/>
              <w:bottom w:val="single" w:sz="4" w:space="0" w:color="808080"/>
              <w:right w:val="single" w:sz="4" w:space="0" w:color="808080"/>
            </w:tcBorders>
            <w:noWrap/>
            <w:vAlign w:val="bottom"/>
          </w:tcPr>
          <w:p w:rsidR="00AF7719" w:rsidRDefault="00C46825">
            <w:pPr>
              <w:jc w:val="center"/>
            </w:pPr>
            <w:r>
              <w:t>VSG-31</w:t>
            </w:r>
          </w:p>
        </w:tc>
        <w:tc>
          <w:tcPr>
            <w:tcW w:w="1526" w:type="dxa"/>
            <w:tcBorders>
              <w:top w:val="nil"/>
              <w:left w:val="nil"/>
              <w:bottom w:val="single" w:sz="4" w:space="0" w:color="808080"/>
              <w:right w:val="single" w:sz="4" w:space="0" w:color="808080"/>
            </w:tcBorders>
            <w:noWrap/>
            <w:vAlign w:val="bottom"/>
          </w:tcPr>
          <w:p w:rsidR="00AF7719" w:rsidRDefault="00C46825">
            <w:pPr>
              <w:jc w:val="center"/>
            </w:pPr>
            <w:r>
              <w:t>VSG-37</w:t>
            </w:r>
          </w:p>
        </w:tc>
        <w:tc>
          <w:tcPr>
            <w:tcW w:w="1634" w:type="dxa"/>
            <w:tcBorders>
              <w:top w:val="nil"/>
              <w:left w:val="nil"/>
              <w:bottom w:val="single" w:sz="4" w:space="0" w:color="808080"/>
              <w:right w:val="single" w:sz="4" w:space="0" w:color="808080"/>
            </w:tcBorders>
            <w:noWrap/>
            <w:vAlign w:val="bottom"/>
          </w:tcPr>
          <w:p w:rsidR="00AF7719" w:rsidRDefault="00C46825">
            <w:pPr>
              <w:jc w:val="center"/>
            </w:pPr>
            <w:r>
              <w:t>VSG-43</w:t>
            </w:r>
          </w:p>
        </w:tc>
      </w:tr>
      <w:tr w:rsidR="009A51D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AF7719" w:rsidRDefault="00C46825">
            <w:pPr>
              <w:jc w:val="center"/>
            </w:pPr>
            <w:r>
              <w:t>HB11–14</w:t>
            </w:r>
          </w:p>
        </w:tc>
        <w:tc>
          <w:tcPr>
            <w:tcW w:w="1440" w:type="dxa"/>
            <w:tcBorders>
              <w:top w:val="nil"/>
              <w:left w:val="nil"/>
              <w:bottom w:val="single" w:sz="4" w:space="0" w:color="808080"/>
              <w:right w:val="single" w:sz="4" w:space="0" w:color="808080"/>
            </w:tcBorders>
            <w:noWrap/>
            <w:vAlign w:val="bottom"/>
          </w:tcPr>
          <w:p w:rsidR="00AF7719" w:rsidRDefault="00C46825">
            <w:pPr>
              <w:jc w:val="center"/>
            </w:pPr>
            <w:r>
              <w:t>VSG-26</w:t>
            </w:r>
          </w:p>
        </w:tc>
        <w:tc>
          <w:tcPr>
            <w:tcW w:w="1440" w:type="dxa"/>
            <w:tcBorders>
              <w:top w:val="nil"/>
              <w:left w:val="nil"/>
              <w:bottom w:val="single" w:sz="4" w:space="0" w:color="808080"/>
              <w:right w:val="single" w:sz="4" w:space="0" w:color="808080"/>
            </w:tcBorders>
            <w:noWrap/>
            <w:vAlign w:val="bottom"/>
          </w:tcPr>
          <w:p w:rsidR="00AF7719" w:rsidRDefault="00C46825">
            <w:pPr>
              <w:jc w:val="center"/>
            </w:pPr>
            <w:r>
              <w:t>VSG-32</w:t>
            </w:r>
          </w:p>
        </w:tc>
        <w:tc>
          <w:tcPr>
            <w:tcW w:w="1526" w:type="dxa"/>
            <w:tcBorders>
              <w:top w:val="nil"/>
              <w:left w:val="nil"/>
              <w:bottom w:val="single" w:sz="4" w:space="0" w:color="808080"/>
              <w:right w:val="single" w:sz="4" w:space="0" w:color="808080"/>
            </w:tcBorders>
            <w:noWrap/>
            <w:vAlign w:val="bottom"/>
          </w:tcPr>
          <w:p w:rsidR="00AF7719" w:rsidRDefault="00C46825">
            <w:pPr>
              <w:jc w:val="center"/>
            </w:pPr>
            <w:r>
              <w:t>VSG-38</w:t>
            </w:r>
          </w:p>
        </w:tc>
        <w:tc>
          <w:tcPr>
            <w:tcW w:w="1634" w:type="dxa"/>
            <w:tcBorders>
              <w:top w:val="nil"/>
              <w:left w:val="nil"/>
              <w:bottom w:val="single" w:sz="4" w:space="0" w:color="808080"/>
              <w:right w:val="single" w:sz="4" w:space="0" w:color="808080"/>
            </w:tcBorders>
            <w:noWrap/>
            <w:vAlign w:val="bottom"/>
          </w:tcPr>
          <w:p w:rsidR="00AF7719" w:rsidRDefault="00C46825">
            <w:pPr>
              <w:jc w:val="center"/>
            </w:pPr>
            <w:r>
              <w:t>VSG-44</w:t>
            </w:r>
          </w:p>
        </w:tc>
      </w:tr>
      <w:tr w:rsidR="009A51D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AF7719" w:rsidRDefault="00C46825">
            <w:pPr>
              <w:jc w:val="center"/>
            </w:pPr>
            <w:r>
              <w:t>HB15–18</w:t>
            </w:r>
          </w:p>
        </w:tc>
        <w:tc>
          <w:tcPr>
            <w:tcW w:w="1440" w:type="dxa"/>
            <w:tcBorders>
              <w:top w:val="nil"/>
              <w:left w:val="nil"/>
              <w:bottom w:val="single" w:sz="4" w:space="0" w:color="808080"/>
              <w:right w:val="single" w:sz="4" w:space="0" w:color="808080"/>
            </w:tcBorders>
            <w:noWrap/>
            <w:vAlign w:val="bottom"/>
          </w:tcPr>
          <w:p w:rsidR="00AF7719" w:rsidRDefault="00C46825">
            <w:pPr>
              <w:jc w:val="center"/>
            </w:pPr>
            <w:r>
              <w:t>VSG-27</w:t>
            </w:r>
          </w:p>
        </w:tc>
        <w:tc>
          <w:tcPr>
            <w:tcW w:w="1440" w:type="dxa"/>
            <w:tcBorders>
              <w:top w:val="nil"/>
              <w:left w:val="nil"/>
              <w:bottom w:val="single" w:sz="4" w:space="0" w:color="808080"/>
              <w:right w:val="single" w:sz="4" w:space="0" w:color="808080"/>
            </w:tcBorders>
            <w:noWrap/>
            <w:vAlign w:val="bottom"/>
          </w:tcPr>
          <w:p w:rsidR="00AF7719" w:rsidRDefault="00C46825">
            <w:pPr>
              <w:jc w:val="center"/>
            </w:pPr>
            <w:r>
              <w:t>VSG-33</w:t>
            </w:r>
          </w:p>
        </w:tc>
        <w:tc>
          <w:tcPr>
            <w:tcW w:w="1526" w:type="dxa"/>
            <w:tcBorders>
              <w:top w:val="nil"/>
              <w:left w:val="nil"/>
              <w:bottom w:val="single" w:sz="4" w:space="0" w:color="808080"/>
              <w:right w:val="single" w:sz="4" w:space="0" w:color="808080"/>
            </w:tcBorders>
            <w:noWrap/>
            <w:vAlign w:val="bottom"/>
          </w:tcPr>
          <w:p w:rsidR="00AF7719" w:rsidRDefault="00C46825">
            <w:pPr>
              <w:jc w:val="center"/>
            </w:pPr>
            <w:r>
              <w:t>VSG-39</w:t>
            </w:r>
          </w:p>
        </w:tc>
        <w:tc>
          <w:tcPr>
            <w:tcW w:w="1634" w:type="dxa"/>
            <w:tcBorders>
              <w:top w:val="nil"/>
              <w:left w:val="nil"/>
              <w:bottom w:val="single" w:sz="4" w:space="0" w:color="808080"/>
              <w:right w:val="single" w:sz="4" w:space="0" w:color="808080"/>
            </w:tcBorders>
            <w:noWrap/>
            <w:vAlign w:val="bottom"/>
          </w:tcPr>
          <w:p w:rsidR="00AF7719" w:rsidRDefault="00C46825">
            <w:pPr>
              <w:jc w:val="center"/>
            </w:pPr>
            <w:r>
              <w:t>VSG-45</w:t>
            </w:r>
          </w:p>
        </w:tc>
      </w:tr>
      <w:tr w:rsidR="009A51D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AF7719" w:rsidRDefault="00C46825">
            <w:pPr>
              <w:jc w:val="center"/>
            </w:pPr>
            <w:r>
              <w:t>HB19–22</w:t>
            </w:r>
          </w:p>
        </w:tc>
        <w:tc>
          <w:tcPr>
            <w:tcW w:w="1440" w:type="dxa"/>
            <w:tcBorders>
              <w:top w:val="nil"/>
              <w:left w:val="nil"/>
              <w:bottom w:val="single" w:sz="4" w:space="0" w:color="808080"/>
              <w:right w:val="single" w:sz="4" w:space="0" w:color="808080"/>
            </w:tcBorders>
            <w:noWrap/>
            <w:vAlign w:val="bottom"/>
          </w:tcPr>
          <w:p w:rsidR="00AF7719" w:rsidRDefault="00C46825">
            <w:pPr>
              <w:jc w:val="center"/>
            </w:pPr>
            <w:r>
              <w:t>VSG-28</w:t>
            </w:r>
          </w:p>
        </w:tc>
        <w:tc>
          <w:tcPr>
            <w:tcW w:w="1440" w:type="dxa"/>
            <w:tcBorders>
              <w:top w:val="nil"/>
              <w:left w:val="nil"/>
              <w:bottom w:val="single" w:sz="4" w:space="0" w:color="808080"/>
              <w:right w:val="single" w:sz="4" w:space="0" w:color="808080"/>
            </w:tcBorders>
            <w:noWrap/>
            <w:vAlign w:val="bottom"/>
          </w:tcPr>
          <w:p w:rsidR="00AF7719" w:rsidRDefault="00C46825">
            <w:pPr>
              <w:jc w:val="center"/>
            </w:pPr>
            <w:r>
              <w:t>VSG-34</w:t>
            </w:r>
          </w:p>
        </w:tc>
        <w:tc>
          <w:tcPr>
            <w:tcW w:w="1526" w:type="dxa"/>
            <w:tcBorders>
              <w:top w:val="nil"/>
              <w:left w:val="nil"/>
              <w:bottom w:val="single" w:sz="4" w:space="0" w:color="808080"/>
              <w:right w:val="single" w:sz="4" w:space="0" w:color="808080"/>
            </w:tcBorders>
            <w:noWrap/>
            <w:vAlign w:val="bottom"/>
          </w:tcPr>
          <w:p w:rsidR="00AF7719" w:rsidRDefault="00C46825">
            <w:pPr>
              <w:jc w:val="center"/>
            </w:pPr>
            <w:r>
              <w:t>VSG-40</w:t>
            </w:r>
          </w:p>
        </w:tc>
        <w:tc>
          <w:tcPr>
            <w:tcW w:w="1634" w:type="dxa"/>
            <w:tcBorders>
              <w:top w:val="nil"/>
              <w:left w:val="nil"/>
              <w:bottom w:val="single" w:sz="4" w:space="0" w:color="808080"/>
              <w:right w:val="single" w:sz="4" w:space="0" w:color="808080"/>
            </w:tcBorders>
            <w:noWrap/>
            <w:vAlign w:val="bottom"/>
          </w:tcPr>
          <w:p w:rsidR="00AF7719" w:rsidRDefault="00C46825">
            <w:pPr>
              <w:jc w:val="center"/>
            </w:pPr>
            <w:r>
              <w:t>VSG-46</w:t>
            </w:r>
          </w:p>
        </w:tc>
      </w:tr>
      <w:tr w:rsidR="009A51D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AF7719" w:rsidRDefault="00C46825">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AF7719" w:rsidRDefault="00C46825">
            <w:pPr>
              <w:jc w:val="center"/>
            </w:pPr>
            <w:r>
              <w:t>VSG-29</w:t>
            </w:r>
          </w:p>
        </w:tc>
        <w:tc>
          <w:tcPr>
            <w:tcW w:w="1440" w:type="dxa"/>
            <w:tcBorders>
              <w:top w:val="nil"/>
              <w:left w:val="nil"/>
              <w:bottom w:val="single" w:sz="4" w:space="0" w:color="808080"/>
              <w:right w:val="single" w:sz="4" w:space="0" w:color="808080"/>
            </w:tcBorders>
            <w:noWrap/>
            <w:vAlign w:val="bottom"/>
          </w:tcPr>
          <w:p w:rsidR="00AF7719" w:rsidRDefault="00C46825">
            <w:pPr>
              <w:jc w:val="center"/>
            </w:pPr>
            <w:r>
              <w:t>VSG-35</w:t>
            </w:r>
          </w:p>
        </w:tc>
        <w:tc>
          <w:tcPr>
            <w:tcW w:w="1526" w:type="dxa"/>
            <w:tcBorders>
              <w:top w:val="nil"/>
              <w:left w:val="nil"/>
              <w:bottom w:val="single" w:sz="4" w:space="0" w:color="808080"/>
              <w:right w:val="single" w:sz="4" w:space="0" w:color="808080"/>
            </w:tcBorders>
            <w:noWrap/>
            <w:vAlign w:val="bottom"/>
          </w:tcPr>
          <w:p w:rsidR="00AF7719" w:rsidRDefault="00C46825">
            <w:pPr>
              <w:jc w:val="center"/>
            </w:pPr>
            <w:r>
              <w:t>VSG-41</w:t>
            </w:r>
          </w:p>
        </w:tc>
        <w:tc>
          <w:tcPr>
            <w:tcW w:w="1634" w:type="dxa"/>
            <w:tcBorders>
              <w:top w:val="nil"/>
              <w:left w:val="nil"/>
              <w:bottom w:val="single" w:sz="4" w:space="0" w:color="808080"/>
              <w:right w:val="single" w:sz="4" w:space="0" w:color="808080"/>
            </w:tcBorders>
            <w:noWrap/>
            <w:vAlign w:val="bottom"/>
          </w:tcPr>
          <w:p w:rsidR="00AF7719" w:rsidRDefault="00C46825">
            <w:pPr>
              <w:jc w:val="center"/>
            </w:pPr>
            <w:r>
              <w:t>VSG-47</w:t>
            </w:r>
          </w:p>
        </w:tc>
      </w:tr>
      <w:tr w:rsidR="009A51D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AF7719" w:rsidRDefault="00C46825">
            <w:pPr>
              <w:jc w:val="center"/>
            </w:pPr>
            <w:r>
              <w:t>Night (HB23–06)</w:t>
            </w:r>
          </w:p>
        </w:tc>
        <w:tc>
          <w:tcPr>
            <w:tcW w:w="1440" w:type="dxa"/>
            <w:tcBorders>
              <w:top w:val="nil"/>
              <w:left w:val="nil"/>
              <w:bottom w:val="single" w:sz="4" w:space="0" w:color="808080"/>
              <w:right w:val="single" w:sz="4" w:space="0" w:color="808080"/>
            </w:tcBorders>
            <w:noWrap/>
            <w:vAlign w:val="bottom"/>
          </w:tcPr>
          <w:p w:rsidR="00AF7719" w:rsidRDefault="00C46825">
            <w:pPr>
              <w:jc w:val="center"/>
            </w:pPr>
            <w:r>
              <w:t>VSG-30</w:t>
            </w:r>
          </w:p>
        </w:tc>
        <w:tc>
          <w:tcPr>
            <w:tcW w:w="1440" w:type="dxa"/>
            <w:tcBorders>
              <w:top w:val="nil"/>
              <w:left w:val="nil"/>
              <w:bottom w:val="single" w:sz="4" w:space="0" w:color="808080"/>
              <w:right w:val="single" w:sz="4" w:space="0" w:color="808080"/>
            </w:tcBorders>
            <w:noWrap/>
            <w:vAlign w:val="bottom"/>
          </w:tcPr>
          <w:p w:rsidR="00AF7719" w:rsidRDefault="00C46825">
            <w:pPr>
              <w:jc w:val="center"/>
            </w:pPr>
            <w:r>
              <w:t>VSG-36</w:t>
            </w:r>
          </w:p>
        </w:tc>
        <w:tc>
          <w:tcPr>
            <w:tcW w:w="1526" w:type="dxa"/>
            <w:tcBorders>
              <w:top w:val="nil"/>
              <w:left w:val="nil"/>
              <w:bottom w:val="single" w:sz="4" w:space="0" w:color="808080"/>
              <w:right w:val="single" w:sz="4" w:space="0" w:color="808080"/>
            </w:tcBorders>
            <w:noWrap/>
            <w:vAlign w:val="bottom"/>
          </w:tcPr>
          <w:p w:rsidR="00AF7719" w:rsidRDefault="00C46825">
            <w:pPr>
              <w:jc w:val="center"/>
            </w:pPr>
            <w:r>
              <w:t>VSG-42</w:t>
            </w:r>
          </w:p>
        </w:tc>
        <w:tc>
          <w:tcPr>
            <w:tcW w:w="1634" w:type="dxa"/>
            <w:tcBorders>
              <w:top w:val="nil"/>
              <w:left w:val="nil"/>
              <w:bottom w:val="single" w:sz="4" w:space="0" w:color="808080"/>
              <w:right w:val="single" w:sz="4" w:space="0" w:color="808080"/>
            </w:tcBorders>
            <w:noWrap/>
            <w:vAlign w:val="bottom"/>
          </w:tcPr>
          <w:p w:rsidR="00AF7719" w:rsidRDefault="00C46825">
            <w:pPr>
              <w:jc w:val="center"/>
            </w:pPr>
            <w:r>
              <w:t>VSG-48</w:t>
            </w:r>
          </w:p>
        </w:tc>
      </w:tr>
      <w:tr w:rsidR="009A51D5">
        <w:trPr>
          <w:trHeight w:val="268"/>
        </w:trPr>
        <w:tc>
          <w:tcPr>
            <w:tcW w:w="3254" w:type="dxa"/>
            <w:tcBorders>
              <w:top w:val="nil"/>
              <w:left w:val="single" w:sz="4" w:space="0" w:color="808080"/>
              <w:bottom w:val="single" w:sz="4" w:space="0" w:color="808080"/>
              <w:right w:val="single" w:sz="4" w:space="0" w:color="808080"/>
            </w:tcBorders>
            <w:noWrap/>
            <w:vAlign w:val="bottom"/>
          </w:tcPr>
          <w:p w:rsidR="00AF7719" w:rsidRDefault="00C46825">
            <w:pPr>
              <w:jc w:val="center"/>
            </w:pPr>
          </w:p>
        </w:tc>
        <w:tc>
          <w:tcPr>
            <w:tcW w:w="1440" w:type="dxa"/>
            <w:tcBorders>
              <w:top w:val="nil"/>
              <w:left w:val="nil"/>
              <w:bottom w:val="single" w:sz="4" w:space="0" w:color="808080"/>
              <w:right w:val="single" w:sz="4" w:space="0" w:color="808080"/>
            </w:tcBorders>
            <w:noWrap/>
            <w:vAlign w:val="bottom"/>
          </w:tcPr>
          <w:p w:rsidR="00AF7719" w:rsidRDefault="00C46825">
            <w:pPr>
              <w:jc w:val="center"/>
            </w:pPr>
          </w:p>
        </w:tc>
        <w:tc>
          <w:tcPr>
            <w:tcW w:w="1440" w:type="dxa"/>
            <w:tcBorders>
              <w:top w:val="nil"/>
              <w:left w:val="nil"/>
              <w:bottom w:val="single" w:sz="4" w:space="0" w:color="808080"/>
              <w:right w:val="single" w:sz="4" w:space="0" w:color="808080"/>
            </w:tcBorders>
            <w:noWrap/>
            <w:vAlign w:val="bottom"/>
          </w:tcPr>
          <w:p w:rsidR="00AF7719" w:rsidRDefault="00C46825">
            <w:pPr>
              <w:jc w:val="center"/>
            </w:pPr>
          </w:p>
        </w:tc>
        <w:tc>
          <w:tcPr>
            <w:tcW w:w="1526" w:type="dxa"/>
            <w:tcBorders>
              <w:top w:val="nil"/>
              <w:left w:val="nil"/>
              <w:bottom w:val="single" w:sz="4" w:space="0" w:color="808080"/>
              <w:right w:val="single" w:sz="4" w:space="0" w:color="808080"/>
            </w:tcBorders>
            <w:noWrap/>
            <w:vAlign w:val="bottom"/>
          </w:tcPr>
          <w:p w:rsidR="00AF7719" w:rsidRDefault="00C46825">
            <w:pPr>
              <w:jc w:val="center"/>
            </w:pPr>
          </w:p>
        </w:tc>
        <w:tc>
          <w:tcPr>
            <w:tcW w:w="1634" w:type="dxa"/>
            <w:tcBorders>
              <w:top w:val="nil"/>
              <w:left w:val="nil"/>
              <w:bottom w:val="single" w:sz="4" w:space="0" w:color="808080"/>
              <w:right w:val="single" w:sz="4" w:space="0" w:color="808080"/>
            </w:tcBorders>
            <w:noWrap/>
            <w:vAlign w:val="bottom"/>
          </w:tcPr>
          <w:p w:rsidR="00AF7719" w:rsidRDefault="00C46825">
            <w:pPr>
              <w:jc w:val="center"/>
            </w:pPr>
          </w:p>
        </w:tc>
      </w:tr>
      <w:tr w:rsidR="009A51D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AF7719" w:rsidRDefault="00C46825">
            <w:pPr>
              <w:jc w:val="center"/>
              <w:rPr>
                <w:b/>
              </w:rPr>
            </w:pPr>
            <w:r>
              <w:rPr>
                <w:b/>
              </w:rPr>
              <w:t>Rest-of-Year</w:t>
            </w:r>
          </w:p>
        </w:tc>
        <w:tc>
          <w:tcPr>
            <w:tcW w:w="1440" w:type="dxa"/>
            <w:tcBorders>
              <w:top w:val="nil"/>
              <w:left w:val="nil"/>
              <w:bottom w:val="single" w:sz="4" w:space="0" w:color="808080"/>
              <w:right w:val="single" w:sz="4" w:space="0" w:color="808080"/>
            </w:tcBorders>
            <w:noWrap/>
            <w:vAlign w:val="bottom"/>
          </w:tcPr>
          <w:p w:rsidR="00AF7719" w:rsidRDefault="00C46825">
            <w:pPr>
              <w:jc w:val="center"/>
            </w:pPr>
          </w:p>
        </w:tc>
        <w:tc>
          <w:tcPr>
            <w:tcW w:w="1440" w:type="dxa"/>
            <w:tcBorders>
              <w:top w:val="nil"/>
              <w:left w:val="nil"/>
              <w:bottom w:val="single" w:sz="4" w:space="0" w:color="808080"/>
              <w:right w:val="single" w:sz="4" w:space="0" w:color="808080"/>
            </w:tcBorders>
            <w:noWrap/>
            <w:vAlign w:val="bottom"/>
          </w:tcPr>
          <w:p w:rsidR="00AF7719" w:rsidRDefault="00C46825">
            <w:pPr>
              <w:jc w:val="center"/>
            </w:pPr>
          </w:p>
        </w:tc>
        <w:tc>
          <w:tcPr>
            <w:tcW w:w="1526" w:type="dxa"/>
            <w:tcBorders>
              <w:top w:val="nil"/>
              <w:left w:val="nil"/>
              <w:bottom w:val="single" w:sz="4" w:space="0" w:color="808080"/>
              <w:right w:val="single" w:sz="4" w:space="0" w:color="808080"/>
            </w:tcBorders>
            <w:noWrap/>
            <w:vAlign w:val="bottom"/>
          </w:tcPr>
          <w:p w:rsidR="00AF7719" w:rsidRDefault="00C46825">
            <w:pPr>
              <w:jc w:val="center"/>
            </w:pPr>
          </w:p>
        </w:tc>
        <w:tc>
          <w:tcPr>
            <w:tcW w:w="1634" w:type="dxa"/>
            <w:tcBorders>
              <w:top w:val="nil"/>
              <w:left w:val="nil"/>
              <w:bottom w:val="single" w:sz="4" w:space="0" w:color="808080"/>
              <w:right w:val="single" w:sz="4" w:space="0" w:color="808080"/>
            </w:tcBorders>
            <w:noWrap/>
            <w:vAlign w:val="bottom"/>
          </w:tcPr>
          <w:p w:rsidR="00AF7719" w:rsidRDefault="00C46825">
            <w:pPr>
              <w:jc w:val="center"/>
            </w:pPr>
          </w:p>
        </w:tc>
      </w:tr>
      <w:tr w:rsidR="009A51D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AF7719" w:rsidRDefault="00C46825">
            <w:pPr>
              <w:jc w:val="center"/>
            </w:pPr>
            <w:r>
              <w:t>HB07–10</w:t>
            </w:r>
          </w:p>
        </w:tc>
        <w:tc>
          <w:tcPr>
            <w:tcW w:w="1440" w:type="dxa"/>
            <w:tcBorders>
              <w:top w:val="nil"/>
              <w:left w:val="nil"/>
              <w:bottom w:val="single" w:sz="4" w:space="0" w:color="808080"/>
              <w:right w:val="single" w:sz="4" w:space="0" w:color="808080"/>
            </w:tcBorders>
            <w:noWrap/>
            <w:vAlign w:val="bottom"/>
          </w:tcPr>
          <w:p w:rsidR="00AF7719" w:rsidRDefault="00C46825">
            <w:pPr>
              <w:jc w:val="center"/>
            </w:pPr>
            <w:r>
              <w:t>VSG-49</w:t>
            </w:r>
          </w:p>
        </w:tc>
        <w:tc>
          <w:tcPr>
            <w:tcW w:w="1440" w:type="dxa"/>
            <w:tcBorders>
              <w:top w:val="nil"/>
              <w:left w:val="nil"/>
              <w:bottom w:val="single" w:sz="4" w:space="0" w:color="808080"/>
              <w:right w:val="single" w:sz="4" w:space="0" w:color="808080"/>
            </w:tcBorders>
            <w:noWrap/>
            <w:vAlign w:val="bottom"/>
          </w:tcPr>
          <w:p w:rsidR="00AF7719" w:rsidRDefault="00C46825">
            <w:pPr>
              <w:jc w:val="center"/>
            </w:pPr>
            <w:r>
              <w:t>VSG-55</w:t>
            </w:r>
          </w:p>
        </w:tc>
        <w:tc>
          <w:tcPr>
            <w:tcW w:w="1526" w:type="dxa"/>
            <w:tcBorders>
              <w:top w:val="nil"/>
              <w:left w:val="nil"/>
              <w:bottom w:val="single" w:sz="4" w:space="0" w:color="808080"/>
              <w:right w:val="single" w:sz="4" w:space="0" w:color="808080"/>
            </w:tcBorders>
            <w:noWrap/>
            <w:vAlign w:val="bottom"/>
          </w:tcPr>
          <w:p w:rsidR="00AF7719" w:rsidRDefault="00C46825">
            <w:pPr>
              <w:jc w:val="center"/>
            </w:pPr>
            <w:r>
              <w:t>VSG-61</w:t>
            </w:r>
          </w:p>
        </w:tc>
        <w:tc>
          <w:tcPr>
            <w:tcW w:w="1634" w:type="dxa"/>
            <w:tcBorders>
              <w:top w:val="nil"/>
              <w:left w:val="nil"/>
              <w:bottom w:val="single" w:sz="4" w:space="0" w:color="808080"/>
              <w:right w:val="single" w:sz="4" w:space="0" w:color="808080"/>
            </w:tcBorders>
            <w:noWrap/>
            <w:vAlign w:val="bottom"/>
          </w:tcPr>
          <w:p w:rsidR="00AF7719" w:rsidRDefault="00C46825">
            <w:pPr>
              <w:jc w:val="center"/>
            </w:pPr>
            <w:r>
              <w:t>VSG-67</w:t>
            </w:r>
          </w:p>
        </w:tc>
      </w:tr>
      <w:tr w:rsidR="009A51D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AF7719" w:rsidRDefault="00C46825">
            <w:pPr>
              <w:jc w:val="center"/>
            </w:pPr>
            <w:r>
              <w:t>HB11–14</w:t>
            </w:r>
          </w:p>
        </w:tc>
        <w:tc>
          <w:tcPr>
            <w:tcW w:w="1440" w:type="dxa"/>
            <w:tcBorders>
              <w:top w:val="nil"/>
              <w:left w:val="nil"/>
              <w:bottom w:val="single" w:sz="4" w:space="0" w:color="808080"/>
              <w:right w:val="single" w:sz="4" w:space="0" w:color="808080"/>
            </w:tcBorders>
            <w:noWrap/>
            <w:vAlign w:val="bottom"/>
          </w:tcPr>
          <w:p w:rsidR="00AF7719" w:rsidRDefault="00C46825">
            <w:pPr>
              <w:jc w:val="center"/>
            </w:pPr>
            <w:r>
              <w:t>VSG-50</w:t>
            </w:r>
          </w:p>
        </w:tc>
        <w:tc>
          <w:tcPr>
            <w:tcW w:w="1440" w:type="dxa"/>
            <w:tcBorders>
              <w:top w:val="nil"/>
              <w:left w:val="nil"/>
              <w:bottom w:val="single" w:sz="4" w:space="0" w:color="808080"/>
              <w:right w:val="single" w:sz="4" w:space="0" w:color="808080"/>
            </w:tcBorders>
            <w:noWrap/>
            <w:vAlign w:val="bottom"/>
          </w:tcPr>
          <w:p w:rsidR="00AF7719" w:rsidRDefault="00C46825">
            <w:pPr>
              <w:jc w:val="center"/>
            </w:pPr>
            <w:r>
              <w:t>VSG-56</w:t>
            </w:r>
          </w:p>
        </w:tc>
        <w:tc>
          <w:tcPr>
            <w:tcW w:w="1526" w:type="dxa"/>
            <w:tcBorders>
              <w:top w:val="nil"/>
              <w:left w:val="nil"/>
              <w:bottom w:val="single" w:sz="4" w:space="0" w:color="808080"/>
              <w:right w:val="single" w:sz="4" w:space="0" w:color="808080"/>
            </w:tcBorders>
            <w:noWrap/>
            <w:vAlign w:val="bottom"/>
          </w:tcPr>
          <w:p w:rsidR="00AF7719" w:rsidRDefault="00C46825">
            <w:pPr>
              <w:jc w:val="center"/>
            </w:pPr>
            <w:r>
              <w:t>VSG-62</w:t>
            </w:r>
          </w:p>
        </w:tc>
        <w:tc>
          <w:tcPr>
            <w:tcW w:w="1634" w:type="dxa"/>
            <w:tcBorders>
              <w:top w:val="nil"/>
              <w:left w:val="nil"/>
              <w:bottom w:val="single" w:sz="4" w:space="0" w:color="808080"/>
              <w:right w:val="single" w:sz="4" w:space="0" w:color="808080"/>
            </w:tcBorders>
            <w:noWrap/>
            <w:vAlign w:val="bottom"/>
          </w:tcPr>
          <w:p w:rsidR="00AF7719" w:rsidRDefault="00C46825">
            <w:pPr>
              <w:jc w:val="center"/>
            </w:pPr>
            <w:r>
              <w:t>VSG-68</w:t>
            </w:r>
          </w:p>
        </w:tc>
      </w:tr>
      <w:tr w:rsidR="009A51D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AF7719" w:rsidRDefault="00C46825">
            <w:pPr>
              <w:jc w:val="center"/>
            </w:pPr>
            <w:r>
              <w:t>HB15–18</w:t>
            </w:r>
          </w:p>
        </w:tc>
        <w:tc>
          <w:tcPr>
            <w:tcW w:w="1440" w:type="dxa"/>
            <w:tcBorders>
              <w:top w:val="nil"/>
              <w:left w:val="nil"/>
              <w:bottom w:val="single" w:sz="4" w:space="0" w:color="808080"/>
              <w:right w:val="single" w:sz="4" w:space="0" w:color="808080"/>
            </w:tcBorders>
            <w:noWrap/>
            <w:vAlign w:val="bottom"/>
          </w:tcPr>
          <w:p w:rsidR="00AF7719" w:rsidRDefault="00C46825">
            <w:pPr>
              <w:jc w:val="center"/>
            </w:pPr>
            <w:r>
              <w:t>VSG-51</w:t>
            </w:r>
          </w:p>
        </w:tc>
        <w:tc>
          <w:tcPr>
            <w:tcW w:w="1440" w:type="dxa"/>
            <w:tcBorders>
              <w:top w:val="nil"/>
              <w:left w:val="nil"/>
              <w:bottom w:val="single" w:sz="4" w:space="0" w:color="808080"/>
              <w:right w:val="single" w:sz="4" w:space="0" w:color="808080"/>
            </w:tcBorders>
            <w:noWrap/>
            <w:vAlign w:val="bottom"/>
          </w:tcPr>
          <w:p w:rsidR="00AF7719" w:rsidRDefault="00C46825">
            <w:pPr>
              <w:jc w:val="center"/>
            </w:pPr>
            <w:r>
              <w:t>VSG-57</w:t>
            </w:r>
          </w:p>
        </w:tc>
        <w:tc>
          <w:tcPr>
            <w:tcW w:w="1526" w:type="dxa"/>
            <w:tcBorders>
              <w:top w:val="nil"/>
              <w:left w:val="nil"/>
              <w:bottom w:val="single" w:sz="4" w:space="0" w:color="808080"/>
              <w:right w:val="single" w:sz="4" w:space="0" w:color="808080"/>
            </w:tcBorders>
            <w:noWrap/>
            <w:vAlign w:val="bottom"/>
          </w:tcPr>
          <w:p w:rsidR="00AF7719" w:rsidRDefault="00C46825">
            <w:pPr>
              <w:jc w:val="center"/>
            </w:pPr>
            <w:r>
              <w:t>VSG-63</w:t>
            </w:r>
          </w:p>
        </w:tc>
        <w:tc>
          <w:tcPr>
            <w:tcW w:w="1634" w:type="dxa"/>
            <w:tcBorders>
              <w:top w:val="nil"/>
              <w:left w:val="nil"/>
              <w:bottom w:val="single" w:sz="4" w:space="0" w:color="808080"/>
              <w:right w:val="single" w:sz="4" w:space="0" w:color="808080"/>
            </w:tcBorders>
            <w:noWrap/>
            <w:vAlign w:val="bottom"/>
          </w:tcPr>
          <w:p w:rsidR="00AF7719" w:rsidRDefault="00C46825">
            <w:pPr>
              <w:jc w:val="center"/>
            </w:pPr>
            <w:r>
              <w:t>VSG-69</w:t>
            </w:r>
          </w:p>
        </w:tc>
      </w:tr>
      <w:tr w:rsidR="009A51D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AF7719" w:rsidRDefault="00C46825">
            <w:pPr>
              <w:jc w:val="center"/>
            </w:pPr>
            <w:r>
              <w:t>HB19–22</w:t>
            </w:r>
          </w:p>
        </w:tc>
        <w:tc>
          <w:tcPr>
            <w:tcW w:w="1440" w:type="dxa"/>
            <w:tcBorders>
              <w:top w:val="nil"/>
              <w:left w:val="nil"/>
              <w:bottom w:val="single" w:sz="4" w:space="0" w:color="808080"/>
              <w:right w:val="single" w:sz="4" w:space="0" w:color="808080"/>
            </w:tcBorders>
            <w:noWrap/>
            <w:vAlign w:val="bottom"/>
          </w:tcPr>
          <w:p w:rsidR="00AF7719" w:rsidRDefault="00C46825">
            <w:pPr>
              <w:jc w:val="center"/>
            </w:pPr>
            <w:r>
              <w:t>VSG-52</w:t>
            </w:r>
          </w:p>
        </w:tc>
        <w:tc>
          <w:tcPr>
            <w:tcW w:w="1440" w:type="dxa"/>
            <w:tcBorders>
              <w:top w:val="nil"/>
              <w:left w:val="nil"/>
              <w:bottom w:val="single" w:sz="4" w:space="0" w:color="808080"/>
              <w:right w:val="single" w:sz="4" w:space="0" w:color="808080"/>
            </w:tcBorders>
            <w:noWrap/>
            <w:vAlign w:val="bottom"/>
          </w:tcPr>
          <w:p w:rsidR="00AF7719" w:rsidRDefault="00C46825">
            <w:pPr>
              <w:jc w:val="center"/>
            </w:pPr>
            <w:r>
              <w:t>VSG-58</w:t>
            </w:r>
          </w:p>
        </w:tc>
        <w:tc>
          <w:tcPr>
            <w:tcW w:w="1526" w:type="dxa"/>
            <w:tcBorders>
              <w:top w:val="nil"/>
              <w:left w:val="nil"/>
              <w:bottom w:val="single" w:sz="4" w:space="0" w:color="808080"/>
              <w:right w:val="single" w:sz="4" w:space="0" w:color="808080"/>
            </w:tcBorders>
            <w:noWrap/>
            <w:vAlign w:val="bottom"/>
          </w:tcPr>
          <w:p w:rsidR="00AF7719" w:rsidRDefault="00C46825">
            <w:pPr>
              <w:jc w:val="center"/>
            </w:pPr>
            <w:r>
              <w:t>VSG-64</w:t>
            </w:r>
          </w:p>
        </w:tc>
        <w:tc>
          <w:tcPr>
            <w:tcW w:w="1634" w:type="dxa"/>
            <w:tcBorders>
              <w:top w:val="nil"/>
              <w:left w:val="nil"/>
              <w:bottom w:val="single" w:sz="4" w:space="0" w:color="808080"/>
              <w:right w:val="single" w:sz="4" w:space="0" w:color="808080"/>
            </w:tcBorders>
            <w:noWrap/>
            <w:vAlign w:val="bottom"/>
          </w:tcPr>
          <w:p w:rsidR="00AF7719" w:rsidRDefault="00C46825">
            <w:pPr>
              <w:jc w:val="center"/>
            </w:pPr>
            <w:r>
              <w:t>VSG-70</w:t>
            </w:r>
          </w:p>
        </w:tc>
      </w:tr>
      <w:tr w:rsidR="009A51D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AF7719" w:rsidRDefault="00C46825">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AF7719" w:rsidRDefault="00C46825">
            <w:pPr>
              <w:jc w:val="center"/>
            </w:pPr>
            <w:r>
              <w:t>VSG-53</w:t>
            </w:r>
          </w:p>
        </w:tc>
        <w:tc>
          <w:tcPr>
            <w:tcW w:w="1440" w:type="dxa"/>
            <w:tcBorders>
              <w:top w:val="nil"/>
              <w:left w:val="nil"/>
              <w:bottom w:val="single" w:sz="4" w:space="0" w:color="808080"/>
              <w:right w:val="single" w:sz="4" w:space="0" w:color="808080"/>
            </w:tcBorders>
            <w:noWrap/>
            <w:vAlign w:val="bottom"/>
          </w:tcPr>
          <w:p w:rsidR="00AF7719" w:rsidRDefault="00C46825">
            <w:pPr>
              <w:jc w:val="center"/>
            </w:pPr>
            <w:r>
              <w:t>VSG-59</w:t>
            </w:r>
          </w:p>
        </w:tc>
        <w:tc>
          <w:tcPr>
            <w:tcW w:w="1526" w:type="dxa"/>
            <w:tcBorders>
              <w:top w:val="nil"/>
              <w:left w:val="nil"/>
              <w:bottom w:val="single" w:sz="4" w:space="0" w:color="808080"/>
              <w:right w:val="single" w:sz="4" w:space="0" w:color="808080"/>
            </w:tcBorders>
            <w:noWrap/>
            <w:vAlign w:val="bottom"/>
          </w:tcPr>
          <w:p w:rsidR="00AF7719" w:rsidRDefault="00C46825">
            <w:pPr>
              <w:jc w:val="center"/>
            </w:pPr>
            <w:r>
              <w:t>VSG-65</w:t>
            </w:r>
          </w:p>
        </w:tc>
        <w:tc>
          <w:tcPr>
            <w:tcW w:w="1634" w:type="dxa"/>
            <w:tcBorders>
              <w:top w:val="nil"/>
              <w:left w:val="nil"/>
              <w:bottom w:val="single" w:sz="4" w:space="0" w:color="808080"/>
              <w:right w:val="single" w:sz="4" w:space="0" w:color="808080"/>
            </w:tcBorders>
            <w:noWrap/>
            <w:vAlign w:val="bottom"/>
          </w:tcPr>
          <w:p w:rsidR="00AF7719" w:rsidRDefault="00C46825">
            <w:pPr>
              <w:jc w:val="center"/>
            </w:pPr>
            <w:r>
              <w:t>VSG-71</w:t>
            </w:r>
          </w:p>
        </w:tc>
      </w:tr>
      <w:tr w:rsidR="009A51D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AF7719" w:rsidRDefault="00C46825">
            <w:pPr>
              <w:jc w:val="center"/>
            </w:pPr>
            <w:r>
              <w:t>Night (HB23–06)</w:t>
            </w:r>
          </w:p>
        </w:tc>
        <w:tc>
          <w:tcPr>
            <w:tcW w:w="1440" w:type="dxa"/>
            <w:tcBorders>
              <w:top w:val="nil"/>
              <w:left w:val="nil"/>
              <w:bottom w:val="single" w:sz="4" w:space="0" w:color="808080"/>
              <w:right w:val="single" w:sz="4" w:space="0" w:color="808080"/>
            </w:tcBorders>
            <w:noWrap/>
            <w:vAlign w:val="bottom"/>
          </w:tcPr>
          <w:p w:rsidR="00AF7719" w:rsidRDefault="00C46825">
            <w:pPr>
              <w:jc w:val="center"/>
            </w:pPr>
            <w:r>
              <w:t>VSG-54</w:t>
            </w:r>
          </w:p>
        </w:tc>
        <w:tc>
          <w:tcPr>
            <w:tcW w:w="1440" w:type="dxa"/>
            <w:tcBorders>
              <w:top w:val="nil"/>
              <w:left w:val="nil"/>
              <w:bottom w:val="single" w:sz="4" w:space="0" w:color="808080"/>
              <w:right w:val="single" w:sz="4" w:space="0" w:color="808080"/>
            </w:tcBorders>
            <w:noWrap/>
            <w:vAlign w:val="bottom"/>
          </w:tcPr>
          <w:p w:rsidR="00AF7719" w:rsidRDefault="00C46825">
            <w:pPr>
              <w:jc w:val="center"/>
            </w:pPr>
            <w:r>
              <w:t>VSG-60</w:t>
            </w:r>
          </w:p>
        </w:tc>
        <w:tc>
          <w:tcPr>
            <w:tcW w:w="1526" w:type="dxa"/>
            <w:tcBorders>
              <w:top w:val="nil"/>
              <w:left w:val="nil"/>
              <w:bottom w:val="single" w:sz="4" w:space="0" w:color="808080"/>
              <w:right w:val="single" w:sz="4" w:space="0" w:color="808080"/>
            </w:tcBorders>
            <w:noWrap/>
            <w:vAlign w:val="bottom"/>
          </w:tcPr>
          <w:p w:rsidR="00AF7719" w:rsidRDefault="00C46825">
            <w:pPr>
              <w:jc w:val="center"/>
            </w:pPr>
            <w:r>
              <w:t>VSG-66</w:t>
            </w:r>
          </w:p>
        </w:tc>
        <w:tc>
          <w:tcPr>
            <w:tcW w:w="1634" w:type="dxa"/>
            <w:tcBorders>
              <w:top w:val="nil"/>
              <w:left w:val="nil"/>
              <w:bottom w:val="single" w:sz="4" w:space="0" w:color="808080"/>
              <w:right w:val="single" w:sz="4" w:space="0" w:color="808080"/>
            </w:tcBorders>
            <w:noWrap/>
            <w:vAlign w:val="bottom"/>
          </w:tcPr>
          <w:p w:rsidR="00AF7719" w:rsidRDefault="00C46825">
            <w:pPr>
              <w:jc w:val="center"/>
            </w:pPr>
            <w:r>
              <w:t>VSG-72</w:t>
            </w:r>
          </w:p>
        </w:tc>
      </w:tr>
    </w:tbl>
    <w:p w:rsidR="00AF7719" w:rsidRDefault="00C46825">
      <w:pPr>
        <w:pStyle w:val="Bodypara"/>
      </w:pPr>
    </w:p>
    <w:p w:rsidR="00AF7719" w:rsidRDefault="00C46825">
      <w:pPr>
        <w:pStyle w:val="Bodypara"/>
      </w:pPr>
      <w:r>
        <w:t>Where:</w:t>
      </w:r>
    </w:p>
    <w:p w:rsidR="00AF7719" w:rsidRDefault="00C46825">
      <w:pPr>
        <w:pStyle w:val="equationtext"/>
      </w:pPr>
      <w:r>
        <w:t>Summer</w:t>
      </w:r>
      <w:r>
        <w:tab/>
      </w:r>
      <w:r>
        <w:tab/>
      </w:r>
      <w:r>
        <w:tab/>
        <w:t>=</w:t>
      </w:r>
      <w:r>
        <w:tab/>
        <w:t xml:space="preserve">May, </w:t>
      </w:r>
      <w:smartTag w:uri="urn:schemas:contacts" w:element="GivenName">
        <w:r>
          <w:t>June</w:t>
        </w:r>
      </w:smartTag>
      <w:r>
        <w:t>, July, and August</w:t>
      </w:r>
    </w:p>
    <w:p w:rsidR="00AF7719" w:rsidRDefault="00C46825">
      <w:pPr>
        <w:pStyle w:val="equationtext"/>
      </w:pPr>
      <w:r>
        <w:t>Winter</w:t>
      </w:r>
      <w:r>
        <w:tab/>
      </w:r>
      <w:r>
        <w:tab/>
      </w:r>
      <w:r>
        <w:tab/>
        <w:t>=</w:t>
      </w:r>
      <w:r>
        <w:tab/>
        <w:t>December, January, and February</w:t>
      </w:r>
    </w:p>
    <w:p w:rsidR="00AF7719" w:rsidRDefault="00C46825">
      <w:pPr>
        <w:pStyle w:val="equationtext"/>
      </w:pPr>
      <w:r>
        <w:t>Rest-of-Year</w:t>
      </w:r>
      <w:r>
        <w:tab/>
      </w:r>
      <w:r>
        <w:tab/>
        <w:t>=</w:t>
      </w:r>
      <w:r>
        <w:tab/>
        <w:t xml:space="preserve">March, </w:t>
      </w:r>
      <w:smartTag w:uri="urn:schemas:contacts" w:element="GivenName">
        <w:r>
          <w:t>April</w:t>
        </w:r>
      </w:smartTag>
      <w:r>
        <w:t>, September, October, and November</w:t>
      </w:r>
    </w:p>
    <w:p w:rsidR="00AF7719" w:rsidRDefault="00C46825">
      <w:pPr>
        <w:pStyle w:val="equationtext"/>
      </w:pPr>
      <w:r>
        <w:t>HB07–10</w:t>
      </w:r>
      <w:r>
        <w:tab/>
      </w:r>
      <w:r>
        <w:tab/>
        <w:t>=</w:t>
      </w:r>
      <w:r>
        <w:tab/>
        <w:t>weekday hours beginning 07:00–10:00</w:t>
      </w:r>
    </w:p>
    <w:p w:rsidR="00AF7719" w:rsidRDefault="00C46825">
      <w:pPr>
        <w:pStyle w:val="equationtext"/>
      </w:pPr>
      <w:r>
        <w:t>HB11–14</w:t>
      </w:r>
      <w:r>
        <w:tab/>
      </w:r>
      <w:r>
        <w:tab/>
        <w:t>=</w:t>
      </w:r>
      <w:r>
        <w:tab/>
        <w:t>weekday hours beginning 11:00–14:00</w:t>
      </w:r>
    </w:p>
    <w:p w:rsidR="00AF7719" w:rsidRDefault="00C46825">
      <w:pPr>
        <w:pStyle w:val="equationtext"/>
      </w:pPr>
      <w:r>
        <w:t>HB15–18</w:t>
      </w:r>
      <w:r>
        <w:tab/>
      </w:r>
      <w:r>
        <w:tab/>
        <w:t>=</w:t>
      </w:r>
      <w:r>
        <w:tab/>
        <w:t>weekday hours</w:t>
      </w:r>
      <w:r>
        <w:t xml:space="preserve"> beginning 15:00–18:00</w:t>
      </w:r>
    </w:p>
    <w:p w:rsidR="00AF7719" w:rsidRDefault="00C46825">
      <w:pPr>
        <w:pStyle w:val="equationtext"/>
      </w:pPr>
      <w:r>
        <w:t>HB19–22</w:t>
      </w:r>
      <w:r>
        <w:tab/>
      </w:r>
      <w:r>
        <w:tab/>
        <w:t>=</w:t>
      </w:r>
      <w:r>
        <w:tab/>
        <w:t>weekday hours beginning 19:00– 22:00</w:t>
      </w:r>
    </w:p>
    <w:p w:rsidR="00AF7719" w:rsidRDefault="00C46825">
      <w:pPr>
        <w:pStyle w:val="equationtext"/>
      </w:pPr>
      <w:r>
        <w:t xml:space="preserve">Weekend/Holiday </w:t>
      </w:r>
      <w:r>
        <w:tab/>
        <w:t>=</w:t>
      </w:r>
      <w:r>
        <w:tab/>
        <w:t>weekend and holiday hours beginning 07:00–22:00</w:t>
      </w:r>
    </w:p>
    <w:p w:rsidR="00AF7719" w:rsidRDefault="00C46825">
      <w:pPr>
        <w:pStyle w:val="equationtext"/>
      </w:pPr>
      <w:r>
        <w:t>Night</w:t>
      </w:r>
      <w:r>
        <w:tab/>
      </w:r>
      <w:r>
        <w:tab/>
      </w:r>
      <w:r>
        <w:tab/>
        <w:t>=</w:t>
      </w:r>
      <w:r>
        <w:tab/>
        <w:t>all hours beginning 23:00– 06:00</w:t>
      </w:r>
    </w:p>
    <w:p w:rsidR="00AF7719" w:rsidRDefault="00C46825">
      <w:pPr>
        <w:pStyle w:val="equationtext"/>
        <w:ind w:left="0" w:firstLine="0"/>
      </w:pPr>
    </w:p>
    <w:p w:rsidR="00AF7719" w:rsidRDefault="00C46825">
      <w:pPr>
        <w:keepNext/>
        <w:spacing w:line="480" w:lineRule="auto"/>
        <w:ind w:left="1627" w:hanging="907"/>
        <w:jc w:val="center"/>
        <w:rPr>
          <w:b/>
        </w:rPr>
      </w:pPr>
      <w:r>
        <w:rPr>
          <w:b/>
        </w:rPr>
        <w:t>Virtual Load Groups</w:t>
      </w:r>
    </w:p>
    <w:tbl>
      <w:tblPr>
        <w:tblW w:w="9360" w:type="dxa"/>
        <w:tblInd w:w="108" w:type="dxa"/>
        <w:tblLook w:val="0000" w:firstRow="0" w:lastRow="0" w:firstColumn="0" w:lastColumn="0" w:noHBand="0" w:noVBand="0"/>
      </w:tblPr>
      <w:tblGrid>
        <w:gridCol w:w="3254"/>
        <w:gridCol w:w="1440"/>
        <w:gridCol w:w="1482"/>
        <w:gridCol w:w="1560"/>
        <w:gridCol w:w="1624"/>
      </w:tblGrid>
      <w:tr w:rsidR="009A51D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AF7719" w:rsidRDefault="00C46825">
            <w:pPr>
              <w:jc w:val="center"/>
              <w:rPr>
                <w:b/>
              </w:rPr>
            </w:pPr>
            <w:r>
              <w:rPr>
                <w:b/>
              </w:rPr>
              <w:t>Summer</w:t>
            </w:r>
          </w:p>
        </w:tc>
        <w:tc>
          <w:tcPr>
            <w:tcW w:w="1440" w:type="dxa"/>
            <w:tcBorders>
              <w:top w:val="nil"/>
              <w:left w:val="nil"/>
              <w:bottom w:val="single" w:sz="4" w:space="0" w:color="808080"/>
              <w:right w:val="single" w:sz="4" w:space="0" w:color="808080"/>
            </w:tcBorders>
            <w:shd w:val="clear" w:color="auto" w:fill="C0C0C0"/>
            <w:noWrap/>
            <w:vAlign w:val="bottom"/>
          </w:tcPr>
          <w:p w:rsidR="00AF7719" w:rsidRDefault="00C46825">
            <w:pPr>
              <w:jc w:val="center"/>
              <w:rPr>
                <w:b/>
              </w:rPr>
            </w:pPr>
            <w:r>
              <w:rPr>
                <w:b/>
              </w:rPr>
              <w:t>Load Zones A–F</w:t>
            </w:r>
          </w:p>
        </w:tc>
        <w:tc>
          <w:tcPr>
            <w:tcW w:w="1482" w:type="dxa"/>
            <w:tcBorders>
              <w:top w:val="nil"/>
              <w:left w:val="nil"/>
              <w:bottom w:val="single" w:sz="4" w:space="0" w:color="808080"/>
              <w:right w:val="single" w:sz="4" w:space="0" w:color="808080"/>
            </w:tcBorders>
            <w:shd w:val="clear" w:color="auto" w:fill="C0C0C0"/>
            <w:noWrap/>
            <w:vAlign w:val="bottom"/>
          </w:tcPr>
          <w:p w:rsidR="00AF7719" w:rsidRDefault="00C46825">
            <w:pPr>
              <w:jc w:val="center"/>
              <w:rPr>
                <w:b/>
              </w:rPr>
            </w:pPr>
            <w:r>
              <w:rPr>
                <w:b/>
              </w:rPr>
              <w:t>Load Zones G–I</w:t>
            </w:r>
          </w:p>
        </w:tc>
        <w:tc>
          <w:tcPr>
            <w:tcW w:w="1560" w:type="dxa"/>
            <w:tcBorders>
              <w:top w:val="nil"/>
              <w:left w:val="nil"/>
              <w:bottom w:val="single" w:sz="4" w:space="0" w:color="808080"/>
              <w:right w:val="single" w:sz="4" w:space="0" w:color="808080"/>
            </w:tcBorders>
            <w:shd w:val="clear" w:color="auto" w:fill="C0C0C0"/>
            <w:noWrap/>
            <w:vAlign w:val="bottom"/>
          </w:tcPr>
          <w:p w:rsidR="00AF7719" w:rsidRDefault="00C46825">
            <w:pPr>
              <w:jc w:val="center"/>
              <w:rPr>
                <w:b/>
              </w:rPr>
            </w:pPr>
            <w:r>
              <w:rPr>
                <w:b/>
              </w:rPr>
              <w:t>Load Zone J</w:t>
            </w:r>
          </w:p>
        </w:tc>
        <w:tc>
          <w:tcPr>
            <w:tcW w:w="1624" w:type="dxa"/>
            <w:tcBorders>
              <w:top w:val="nil"/>
              <w:left w:val="nil"/>
              <w:bottom w:val="single" w:sz="4" w:space="0" w:color="808080"/>
              <w:right w:val="single" w:sz="4" w:space="0" w:color="808080"/>
            </w:tcBorders>
            <w:shd w:val="clear" w:color="auto" w:fill="C0C0C0"/>
            <w:noWrap/>
            <w:vAlign w:val="bottom"/>
          </w:tcPr>
          <w:p w:rsidR="00AF7719" w:rsidRDefault="00C46825">
            <w:pPr>
              <w:jc w:val="center"/>
              <w:rPr>
                <w:b/>
              </w:rPr>
            </w:pPr>
            <w:r>
              <w:rPr>
                <w:b/>
              </w:rPr>
              <w:t xml:space="preserve">Load </w:t>
            </w:r>
            <w:r>
              <w:rPr>
                <w:b/>
              </w:rPr>
              <w:t>Zone K</w:t>
            </w:r>
          </w:p>
        </w:tc>
      </w:tr>
      <w:tr w:rsidR="009A51D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AF7719" w:rsidRDefault="00C46825">
            <w:pPr>
              <w:jc w:val="center"/>
            </w:pPr>
            <w:r>
              <w:t>HB07–10</w:t>
            </w:r>
          </w:p>
        </w:tc>
        <w:tc>
          <w:tcPr>
            <w:tcW w:w="1440" w:type="dxa"/>
            <w:tcBorders>
              <w:top w:val="nil"/>
              <w:left w:val="nil"/>
              <w:bottom w:val="single" w:sz="4" w:space="0" w:color="808080"/>
              <w:right w:val="single" w:sz="4" w:space="0" w:color="808080"/>
            </w:tcBorders>
            <w:noWrap/>
            <w:vAlign w:val="bottom"/>
          </w:tcPr>
          <w:p w:rsidR="00AF7719" w:rsidRDefault="00C46825">
            <w:pPr>
              <w:jc w:val="center"/>
            </w:pPr>
            <w:r>
              <w:t>VLG-1</w:t>
            </w:r>
          </w:p>
        </w:tc>
        <w:tc>
          <w:tcPr>
            <w:tcW w:w="1482" w:type="dxa"/>
            <w:tcBorders>
              <w:top w:val="nil"/>
              <w:left w:val="nil"/>
              <w:bottom w:val="single" w:sz="4" w:space="0" w:color="808080"/>
              <w:right w:val="single" w:sz="4" w:space="0" w:color="808080"/>
            </w:tcBorders>
            <w:noWrap/>
            <w:vAlign w:val="bottom"/>
          </w:tcPr>
          <w:p w:rsidR="00AF7719" w:rsidRDefault="00C46825">
            <w:pPr>
              <w:jc w:val="center"/>
            </w:pPr>
            <w:r>
              <w:t>VLG-4</w:t>
            </w:r>
          </w:p>
        </w:tc>
        <w:tc>
          <w:tcPr>
            <w:tcW w:w="1560" w:type="dxa"/>
            <w:tcBorders>
              <w:top w:val="nil"/>
              <w:left w:val="nil"/>
              <w:bottom w:val="single" w:sz="4" w:space="0" w:color="808080"/>
              <w:right w:val="single" w:sz="4" w:space="0" w:color="808080"/>
            </w:tcBorders>
            <w:noWrap/>
            <w:vAlign w:val="bottom"/>
          </w:tcPr>
          <w:p w:rsidR="00AF7719" w:rsidRDefault="00C46825">
            <w:pPr>
              <w:jc w:val="center"/>
            </w:pPr>
            <w:r>
              <w:t>VLG-8</w:t>
            </w:r>
          </w:p>
        </w:tc>
        <w:tc>
          <w:tcPr>
            <w:tcW w:w="1624" w:type="dxa"/>
            <w:tcBorders>
              <w:top w:val="nil"/>
              <w:left w:val="nil"/>
              <w:bottom w:val="single" w:sz="4" w:space="0" w:color="808080"/>
              <w:right w:val="single" w:sz="4" w:space="0" w:color="808080"/>
            </w:tcBorders>
            <w:noWrap/>
            <w:vAlign w:val="bottom"/>
          </w:tcPr>
          <w:p w:rsidR="00AF7719" w:rsidRDefault="00C46825">
            <w:pPr>
              <w:jc w:val="center"/>
            </w:pPr>
            <w:r>
              <w:t>VLG-12</w:t>
            </w:r>
          </w:p>
        </w:tc>
      </w:tr>
      <w:tr w:rsidR="009A51D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AF7719" w:rsidRDefault="00C46825">
            <w:pPr>
              <w:jc w:val="center"/>
            </w:pPr>
            <w:r>
              <w:t>HB11–14</w:t>
            </w:r>
          </w:p>
        </w:tc>
        <w:tc>
          <w:tcPr>
            <w:tcW w:w="1440" w:type="dxa"/>
            <w:tcBorders>
              <w:top w:val="nil"/>
              <w:left w:val="nil"/>
              <w:bottom w:val="single" w:sz="4" w:space="0" w:color="808080"/>
              <w:right w:val="single" w:sz="4" w:space="0" w:color="808080"/>
            </w:tcBorders>
            <w:noWrap/>
            <w:vAlign w:val="bottom"/>
          </w:tcPr>
          <w:p w:rsidR="00AF7719" w:rsidRDefault="00C46825">
            <w:pPr>
              <w:jc w:val="center"/>
            </w:pPr>
            <w:r>
              <w:t>VLG-2</w:t>
            </w:r>
          </w:p>
        </w:tc>
        <w:tc>
          <w:tcPr>
            <w:tcW w:w="1482" w:type="dxa"/>
            <w:tcBorders>
              <w:top w:val="nil"/>
              <w:left w:val="nil"/>
              <w:bottom w:val="single" w:sz="4" w:space="0" w:color="808080"/>
              <w:right w:val="single" w:sz="4" w:space="0" w:color="808080"/>
            </w:tcBorders>
            <w:noWrap/>
            <w:vAlign w:val="bottom"/>
          </w:tcPr>
          <w:p w:rsidR="00AF7719" w:rsidRDefault="00C46825">
            <w:pPr>
              <w:jc w:val="center"/>
            </w:pPr>
            <w:r>
              <w:t>VLG-5</w:t>
            </w:r>
          </w:p>
        </w:tc>
        <w:tc>
          <w:tcPr>
            <w:tcW w:w="1560" w:type="dxa"/>
            <w:tcBorders>
              <w:top w:val="nil"/>
              <w:left w:val="nil"/>
              <w:bottom w:val="single" w:sz="4" w:space="0" w:color="808080"/>
              <w:right w:val="single" w:sz="4" w:space="0" w:color="808080"/>
            </w:tcBorders>
            <w:noWrap/>
            <w:vAlign w:val="bottom"/>
          </w:tcPr>
          <w:p w:rsidR="00AF7719" w:rsidRDefault="00C46825">
            <w:pPr>
              <w:jc w:val="center"/>
            </w:pPr>
            <w:r>
              <w:t>VLG-9</w:t>
            </w:r>
          </w:p>
        </w:tc>
        <w:tc>
          <w:tcPr>
            <w:tcW w:w="1624" w:type="dxa"/>
            <w:tcBorders>
              <w:top w:val="nil"/>
              <w:left w:val="nil"/>
              <w:bottom w:val="single" w:sz="4" w:space="0" w:color="808080"/>
              <w:right w:val="single" w:sz="4" w:space="0" w:color="808080"/>
            </w:tcBorders>
            <w:noWrap/>
            <w:vAlign w:val="bottom"/>
          </w:tcPr>
          <w:p w:rsidR="00AF7719" w:rsidRDefault="00C46825">
            <w:pPr>
              <w:jc w:val="center"/>
            </w:pPr>
            <w:r>
              <w:t>VLG-13</w:t>
            </w:r>
          </w:p>
        </w:tc>
      </w:tr>
      <w:tr w:rsidR="009A51D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AF7719" w:rsidRDefault="00C46825">
            <w:pPr>
              <w:jc w:val="center"/>
            </w:pPr>
            <w:r>
              <w:t>HB15–18</w:t>
            </w:r>
          </w:p>
        </w:tc>
        <w:tc>
          <w:tcPr>
            <w:tcW w:w="1440" w:type="dxa"/>
            <w:tcBorders>
              <w:top w:val="nil"/>
              <w:left w:val="nil"/>
              <w:bottom w:val="single" w:sz="4" w:space="0" w:color="808080"/>
              <w:right w:val="single" w:sz="4" w:space="0" w:color="808080"/>
            </w:tcBorders>
            <w:noWrap/>
            <w:vAlign w:val="bottom"/>
          </w:tcPr>
          <w:p w:rsidR="00AF7719" w:rsidRDefault="00C46825">
            <w:pPr>
              <w:jc w:val="center"/>
            </w:pPr>
            <w:r>
              <w:t>VLG-2</w:t>
            </w:r>
          </w:p>
        </w:tc>
        <w:tc>
          <w:tcPr>
            <w:tcW w:w="1482" w:type="dxa"/>
            <w:tcBorders>
              <w:top w:val="nil"/>
              <w:left w:val="nil"/>
              <w:bottom w:val="single" w:sz="4" w:space="0" w:color="808080"/>
              <w:right w:val="single" w:sz="4" w:space="0" w:color="808080"/>
            </w:tcBorders>
            <w:noWrap/>
            <w:vAlign w:val="bottom"/>
          </w:tcPr>
          <w:p w:rsidR="00AF7719" w:rsidRDefault="00C46825">
            <w:pPr>
              <w:jc w:val="center"/>
            </w:pPr>
            <w:r>
              <w:t>VLG-6</w:t>
            </w:r>
          </w:p>
        </w:tc>
        <w:tc>
          <w:tcPr>
            <w:tcW w:w="1560" w:type="dxa"/>
            <w:tcBorders>
              <w:top w:val="nil"/>
              <w:left w:val="nil"/>
              <w:bottom w:val="single" w:sz="4" w:space="0" w:color="808080"/>
              <w:right w:val="single" w:sz="4" w:space="0" w:color="808080"/>
            </w:tcBorders>
            <w:noWrap/>
            <w:vAlign w:val="bottom"/>
          </w:tcPr>
          <w:p w:rsidR="00AF7719" w:rsidRDefault="00C46825">
            <w:pPr>
              <w:jc w:val="center"/>
            </w:pPr>
            <w:r>
              <w:t>VLG-10</w:t>
            </w:r>
          </w:p>
        </w:tc>
        <w:tc>
          <w:tcPr>
            <w:tcW w:w="1624" w:type="dxa"/>
            <w:tcBorders>
              <w:top w:val="nil"/>
              <w:left w:val="nil"/>
              <w:bottom w:val="single" w:sz="4" w:space="0" w:color="808080"/>
              <w:right w:val="single" w:sz="4" w:space="0" w:color="808080"/>
            </w:tcBorders>
            <w:noWrap/>
            <w:vAlign w:val="bottom"/>
          </w:tcPr>
          <w:p w:rsidR="00AF7719" w:rsidRDefault="00C46825">
            <w:pPr>
              <w:jc w:val="center"/>
            </w:pPr>
            <w:r>
              <w:t>VLG-14</w:t>
            </w:r>
          </w:p>
        </w:tc>
      </w:tr>
      <w:tr w:rsidR="009A51D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AF7719" w:rsidRDefault="00C46825">
            <w:pPr>
              <w:jc w:val="center"/>
            </w:pPr>
            <w:r>
              <w:t>HB19–22</w:t>
            </w:r>
          </w:p>
        </w:tc>
        <w:tc>
          <w:tcPr>
            <w:tcW w:w="1440" w:type="dxa"/>
            <w:tcBorders>
              <w:top w:val="nil"/>
              <w:left w:val="nil"/>
              <w:bottom w:val="single" w:sz="4" w:space="0" w:color="808080"/>
              <w:right w:val="single" w:sz="4" w:space="0" w:color="808080"/>
            </w:tcBorders>
            <w:noWrap/>
            <w:vAlign w:val="bottom"/>
          </w:tcPr>
          <w:p w:rsidR="00AF7719" w:rsidRDefault="00C46825">
            <w:pPr>
              <w:jc w:val="center"/>
            </w:pPr>
            <w:r>
              <w:t>VLG-1</w:t>
            </w:r>
          </w:p>
        </w:tc>
        <w:tc>
          <w:tcPr>
            <w:tcW w:w="1482" w:type="dxa"/>
            <w:tcBorders>
              <w:top w:val="nil"/>
              <w:left w:val="nil"/>
              <w:bottom w:val="single" w:sz="4" w:space="0" w:color="808080"/>
              <w:right w:val="single" w:sz="4" w:space="0" w:color="808080"/>
            </w:tcBorders>
            <w:noWrap/>
            <w:vAlign w:val="bottom"/>
          </w:tcPr>
          <w:p w:rsidR="00AF7719" w:rsidRDefault="00C46825">
            <w:pPr>
              <w:jc w:val="center"/>
            </w:pPr>
            <w:r>
              <w:t>VLG-4</w:t>
            </w:r>
          </w:p>
        </w:tc>
        <w:tc>
          <w:tcPr>
            <w:tcW w:w="1560" w:type="dxa"/>
            <w:tcBorders>
              <w:top w:val="nil"/>
              <w:left w:val="nil"/>
              <w:bottom w:val="single" w:sz="4" w:space="0" w:color="808080"/>
              <w:right w:val="single" w:sz="4" w:space="0" w:color="808080"/>
            </w:tcBorders>
            <w:noWrap/>
            <w:vAlign w:val="bottom"/>
          </w:tcPr>
          <w:p w:rsidR="00AF7719" w:rsidRDefault="00C46825">
            <w:pPr>
              <w:jc w:val="center"/>
            </w:pPr>
            <w:r>
              <w:t>VLG-8</w:t>
            </w:r>
          </w:p>
        </w:tc>
        <w:tc>
          <w:tcPr>
            <w:tcW w:w="1624" w:type="dxa"/>
            <w:tcBorders>
              <w:top w:val="nil"/>
              <w:left w:val="nil"/>
              <w:bottom w:val="single" w:sz="4" w:space="0" w:color="808080"/>
              <w:right w:val="single" w:sz="4" w:space="0" w:color="808080"/>
            </w:tcBorders>
            <w:noWrap/>
            <w:vAlign w:val="bottom"/>
          </w:tcPr>
          <w:p w:rsidR="00AF7719" w:rsidRDefault="00C46825">
            <w:pPr>
              <w:jc w:val="center"/>
            </w:pPr>
            <w:r>
              <w:t>VLG-15</w:t>
            </w:r>
          </w:p>
        </w:tc>
      </w:tr>
      <w:tr w:rsidR="009A51D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AF7719" w:rsidRDefault="00C46825">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AF7719" w:rsidRDefault="00C46825">
            <w:pPr>
              <w:jc w:val="center"/>
            </w:pPr>
            <w:r>
              <w:t>VLG-3</w:t>
            </w:r>
          </w:p>
        </w:tc>
        <w:tc>
          <w:tcPr>
            <w:tcW w:w="1482" w:type="dxa"/>
            <w:tcBorders>
              <w:top w:val="nil"/>
              <w:left w:val="nil"/>
              <w:bottom w:val="single" w:sz="4" w:space="0" w:color="808080"/>
              <w:right w:val="single" w:sz="4" w:space="0" w:color="808080"/>
            </w:tcBorders>
            <w:noWrap/>
            <w:vAlign w:val="bottom"/>
          </w:tcPr>
          <w:p w:rsidR="00AF7719" w:rsidRDefault="00C46825">
            <w:pPr>
              <w:jc w:val="center"/>
            </w:pPr>
            <w:r>
              <w:t>VLG-4</w:t>
            </w:r>
          </w:p>
        </w:tc>
        <w:tc>
          <w:tcPr>
            <w:tcW w:w="1560" w:type="dxa"/>
            <w:tcBorders>
              <w:top w:val="nil"/>
              <w:left w:val="nil"/>
              <w:bottom w:val="single" w:sz="4" w:space="0" w:color="808080"/>
              <w:right w:val="single" w:sz="4" w:space="0" w:color="808080"/>
            </w:tcBorders>
            <w:noWrap/>
            <w:vAlign w:val="bottom"/>
          </w:tcPr>
          <w:p w:rsidR="00AF7719" w:rsidRDefault="00C46825">
            <w:pPr>
              <w:jc w:val="center"/>
            </w:pPr>
            <w:r>
              <w:t>VLG-8</w:t>
            </w:r>
          </w:p>
        </w:tc>
        <w:tc>
          <w:tcPr>
            <w:tcW w:w="1624" w:type="dxa"/>
            <w:tcBorders>
              <w:top w:val="nil"/>
              <w:left w:val="nil"/>
              <w:bottom w:val="single" w:sz="4" w:space="0" w:color="808080"/>
              <w:right w:val="single" w:sz="4" w:space="0" w:color="808080"/>
            </w:tcBorders>
            <w:noWrap/>
            <w:vAlign w:val="bottom"/>
          </w:tcPr>
          <w:p w:rsidR="00AF7719" w:rsidRDefault="00C46825">
            <w:pPr>
              <w:jc w:val="center"/>
            </w:pPr>
            <w:r>
              <w:t>VLG-16</w:t>
            </w:r>
          </w:p>
        </w:tc>
      </w:tr>
      <w:tr w:rsidR="009A51D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AF7719" w:rsidRDefault="00C46825">
            <w:pPr>
              <w:jc w:val="center"/>
            </w:pPr>
            <w:r>
              <w:t>Night (HB23–06)</w:t>
            </w:r>
          </w:p>
        </w:tc>
        <w:tc>
          <w:tcPr>
            <w:tcW w:w="1440" w:type="dxa"/>
            <w:tcBorders>
              <w:top w:val="nil"/>
              <w:left w:val="nil"/>
              <w:bottom w:val="single" w:sz="4" w:space="0" w:color="808080"/>
              <w:right w:val="single" w:sz="4" w:space="0" w:color="808080"/>
            </w:tcBorders>
            <w:noWrap/>
            <w:vAlign w:val="bottom"/>
          </w:tcPr>
          <w:p w:rsidR="00AF7719" w:rsidRDefault="00C46825">
            <w:pPr>
              <w:jc w:val="center"/>
            </w:pPr>
            <w:r>
              <w:t>VLG-1</w:t>
            </w:r>
          </w:p>
        </w:tc>
        <w:tc>
          <w:tcPr>
            <w:tcW w:w="1482" w:type="dxa"/>
            <w:tcBorders>
              <w:top w:val="nil"/>
              <w:left w:val="nil"/>
              <w:bottom w:val="single" w:sz="4" w:space="0" w:color="808080"/>
              <w:right w:val="single" w:sz="4" w:space="0" w:color="808080"/>
            </w:tcBorders>
            <w:noWrap/>
            <w:vAlign w:val="bottom"/>
          </w:tcPr>
          <w:p w:rsidR="00AF7719" w:rsidRDefault="00C46825">
            <w:pPr>
              <w:jc w:val="center"/>
            </w:pPr>
            <w:r>
              <w:t>VLG-7</w:t>
            </w:r>
          </w:p>
        </w:tc>
        <w:tc>
          <w:tcPr>
            <w:tcW w:w="1560" w:type="dxa"/>
            <w:tcBorders>
              <w:top w:val="nil"/>
              <w:left w:val="nil"/>
              <w:bottom w:val="single" w:sz="4" w:space="0" w:color="808080"/>
              <w:right w:val="single" w:sz="4" w:space="0" w:color="808080"/>
            </w:tcBorders>
            <w:noWrap/>
            <w:vAlign w:val="bottom"/>
          </w:tcPr>
          <w:p w:rsidR="00AF7719" w:rsidRDefault="00C46825">
            <w:pPr>
              <w:jc w:val="center"/>
            </w:pPr>
            <w:r>
              <w:t>VLG-11</w:t>
            </w:r>
          </w:p>
        </w:tc>
        <w:tc>
          <w:tcPr>
            <w:tcW w:w="1624" w:type="dxa"/>
            <w:tcBorders>
              <w:top w:val="nil"/>
              <w:left w:val="nil"/>
              <w:bottom w:val="single" w:sz="4" w:space="0" w:color="808080"/>
              <w:right w:val="single" w:sz="4" w:space="0" w:color="808080"/>
            </w:tcBorders>
            <w:noWrap/>
            <w:vAlign w:val="bottom"/>
          </w:tcPr>
          <w:p w:rsidR="00AF7719" w:rsidRDefault="00C46825">
            <w:pPr>
              <w:jc w:val="center"/>
            </w:pPr>
            <w:r>
              <w:t>VLG-12</w:t>
            </w:r>
          </w:p>
        </w:tc>
      </w:tr>
      <w:tr w:rsidR="009A51D5">
        <w:trPr>
          <w:trHeight w:val="144"/>
        </w:trPr>
        <w:tc>
          <w:tcPr>
            <w:tcW w:w="3254" w:type="dxa"/>
            <w:tcBorders>
              <w:top w:val="nil"/>
              <w:left w:val="single" w:sz="4" w:space="0" w:color="808080"/>
              <w:bottom w:val="single" w:sz="4" w:space="0" w:color="808080"/>
              <w:right w:val="single" w:sz="4" w:space="0" w:color="808080"/>
            </w:tcBorders>
            <w:noWrap/>
            <w:vAlign w:val="bottom"/>
          </w:tcPr>
          <w:p w:rsidR="00AF7719" w:rsidRDefault="00C46825">
            <w:pPr>
              <w:jc w:val="center"/>
            </w:pPr>
          </w:p>
        </w:tc>
        <w:tc>
          <w:tcPr>
            <w:tcW w:w="1440" w:type="dxa"/>
            <w:tcBorders>
              <w:top w:val="nil"/>
              <w:left w:val="nil"/>
              <w:bottom w:val="single" w:sz="4" w:space="0" w:color="808080"/>
              <w:right w:val="single" w:sz="4" w:space="0" w:color="808080"/>
            </w:tcBorders>
            <w:noWrap/>
            <w:vAlign w:val="bottom"/>
          </w:tcPr>
          <w:p w:rsidR="00AF7719" w:rsidRDefault="00C46825">
            <w:pPr>
              <w:jc w:val="center"/>
            </w:pPr>
          </w:p>
        </w:tc>
        <w:tc>
          <w:tcPr>
            <w:tcW w:w="1482" w:type="dxa"/>
            <w:tcBorders>
              <w:top w:val="nil"/>
              <w:left w:val="nil"/>
              <w:bottom w:val="single" w:sz="4" w:space="0" w:color="808080"/>
              <w:right w:val="single" w:sz="4" w:space="0" w:color="808080"/>
            </w:tcBorders>
            <w:noWrap/>
            <w:vAlign w:val="bottom"/>
          </w:tcPr>
          <w:p w:rsidR="00AF7719" w:rsidRDefault="00C46825">
            <w:pPr>
              <w:jc w:val="center"/>
            </w:pPr>
          </w:p>
        </w:tc>
        <w:tc>
          <w:tcPr>
            <w:tcW w:w="1560" w:type="dxa"/>
            <w:tcBorders>
              <w:top w:val="nil"/>
              <w:left w:val="nil"/>
              <w:bottom w:val="single" w:sz="4" w:space="0" w:color="808080"/>
              <w:right w:val="single" w:sz="4" w:space="0" w:color="808080"/>
            </w:tcBorders>
            <w:noWrap/>
            <w:vAlign w:val="bottom"/>
          </w:tcPr>
          <w:p w:rsidR="00AF7719" w:rsidRDefault="00C46825">
            <w:pPr>
              <w:jc w:val="center"/>
            </w:pPr>
          </w:p>
        </w:tc>
        <w:tc>
          <w:tcPr>
            <w:tcW w:w="1624" w:type="dxa"/>
            <w:tcBorders>
              <w:top w:val="nil"/>
              <w:left w:val="nil"/>
              <w:bottom w:val="single" w:sz="4" w:space="0" w:color="808080"/>
              <w:right w:val="single" w:sz="4" w:space="0" w:color="808080"/>
            </w:tcBorders>
            <w:noWrap/>
            <w:vAlign w:val="bottom"/>
          </w:tcPr>
          <w:p w:rsidR="00AF7719" w:rsidRDefault="00C46825">
            <w:pPr>
              <w:jc w:val="center"/>
            </w:pPr>
          </w:p>
        </w:tc>
      </w:tr>
      <w:tr w:rsidR="009A51D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AF7719" w:rsidRDefault="00C46825">
            <w:pPr>
              <w:jc w:val="center"/>
              <w:rPr>
                <w:b/>
              </w:rPr>
            </w:pPr>
            <w:r>
              <w:rPr>
                <w:b/>
              </w:rPr>
              <w:t>Winter</w:t>
            </w:r>
          </w:p>
        </w:tc>
        <w:tc>
          <w:tcPr>
            <w:tcW w:w="1440" w:type="dxa"/>
            <w:tcBorders>
              <w:top w:val="nil"/>
              <w:left w:val="nil"/>
              <w:bottom w:val="single" w:sz="4" w:space="0" w:color="808080"/>
              <w:right w:val="single" w:sz="4" w:space="0" w:color="808080"/>
            </w:tcBorders>
            <w:noWrap/>
            <w:vAlign w:val="bottom"/>
          </w:tcPr>
          <w:p w:rsidR="00AF7719" w:rsidRDefault="00C46825">
            <w:pPr>
              <w:jc w:val="center"/>
            </w:pPr>
          </w:p>
        </w:tc>
        <w:tc>
          <w:tcPr>
            <w:tcW w:w="1482" w:type="dxa"/>
            <w:tcBorders>
              <w:top w:val="nil"/>
              <w:left w:val="nil"/>
              <w:bottom w:val="single" w:sz="4" w:space="0" w:color="808080"/>
              <w:right w:val="single" w:sz="4" w:space="0" w:color="808080"/>
            </w:tcBorders>
            <w:noWrap/>
            <w:vAlign w:val="bottom"/>
          </w:tcPr>
          <w:p w:rsidR="00AF7719" w:rsidRDefault="00C46825">
            <w:pPr>
              <w:jc w:val="center"/>
            </w:pPr>
          </w:p>
        </w:tc>
        <w:tc>
          <w:tcPr>
            <w:tcW w:w="1560" w:type="dxa"/>
            <w:tcBorders>
              <w:top w:val="nil"/>
              <w:left w:val="nil"/>
              <w:bottom w:val="single" w:sz="4" w:space="0" w:color="808080"/>
              <w:right w:val="single" w:sz="4" w:space="0" w:color="808080"/>
            </w:tcBorders>
            <w:noWrap/>
            <w:vAlign w:val="bottom"/>
          </w:tcPr>
          <w:p w:rsidR="00AF7719" w:rsidRDefault="00C46825">
            <w:pPr>
              <w:jc w:val="center"/>
            </w:pPr>
          </w:p>
        </w:tc>
        <w:tc>
          <w:tcPr>
            <w:tcW w:w="1624" w:type="dxa"/>
            <w:tcBorders>
              <w:top w:val="nil"/>
              <w:left w:val="nil"/>
              <w:bottom w:val="single" w:sz="4" w:space="0" w:color="808080"/>
              <w:right w:val="single" w:sz="4" w:space="0" w:color="808080"/>
            </w:tcBorders>
            <w:noWrap/>
            <w:vAlign w:val="bottom"/>
          </w:tcPr>
          <w:p w:rsidR="00AF7719" w:rsidRDefault="00C46825">
            <w:pPr>
              <w:jc w:val="center"/>
            </w:pPr>
          </w:p>
        </w:tc>
      </w:tr>
      <w:tr w:rsidR="009A51D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AF7719" w:rsidRDefault="00C46825">
            <w:pPr>
              <w:jc w:val="center"/>
            </w:pPr>
            <w:r>
              <w:t>HB07–10</w:t>
            </w:r>
          </w:p>
        </w:tc>
        <w:tc>
          <w:tcPr>
            <w:tcW w:w="1440" w:type="dxa"/>
            <w:tcBorders>
              <w:top w:val="nil"/>
              <w:left w:val="nil"/>
              <w:bottom w:val="single" w:sz="4" w:space="0" w:color="808080"/>
              <w:right w:val="single" w:sz="4" w:space="0" w:color="808080"/>
            </w:tcBorders>
            <w:noWrap/>
            <w:vAlign w:val="bottom"/>
          </w:tcPr>
          <w:p w:rsidR="00AF7719" w:rsidRDefault="00C46825">
            <w:pPr>
              <w:jc w:val="center"/>
            </w:pPr>
            <w:r>
              <w:t>VLG-17</w:t>
            </w:r>
          </w:p>
        </w:tc>
        <w:tc>
          <w:tcPr>
            <w:tcW w:w="1482" w:type="dxa"/>
            <w:tcBorders>
              <w:top w:val="nil"/>
              <w:left w:val="nil"/>
              <w:bottom w:val="single" w:sz="4" w:space="0" w:color="808080"/>
              <w:right w:val="single" w:sz="4" w:space="0" w:color="808080"/>
            </w:tcBorders>
            <w:noWrap/>
            <w:vAlign w:val="bottom"/>
          </w:tcPr>
          <w:p w:rsidR="00AF7719" w:rsidRDefault="00C46825">
            <w:pPr>
              <w:jc w:val="center"/>
            </w:pPr>
            <w:r>
              <w:t>VLG-19</w:t>
            </w:r>
          </w:p>
        </w:tc>
        <w:tc>
          <w:tcPr>
            <w:tcW w:w="1560" w:type="dxa"/>
            <w:tcBorders>
              <w:top w:val="nil"/>
              <w:left w:val="nil"/>
              <w:bottom w:val="single" w:sz="4" w:space="0" w:color="808080"/>
              <w:right w:val="single" w:sz="4" w:space="0" w:color="808080"/>
            </w:tcBorders>
            <w:noWrap/>
            <w:vAlign w:val="bottom"/>
          </w:tcPr>
          <w:p w:rsidR="00AF7719" w:rsidRDefault="00C46825">
            <w:pPr>
              <w:jc w:val="center"/>
            </w:pPr>
            <w:r>
              <w:t>VLG-21</w:t>
            </w:r>
          </w:p>
        </w:tc>
        <w:tc>
          <w:tcPr>
            <w:tcW w:w="1624" w:type="dxa"/>
            <w:tcBorders>
              <w:top w:val="nil"/>
              <w:left w:val="nil"/>
              <w:bottom w:val="single" w:sz="4" w:space="0" w:color="808080"/>
              <w:right w:val="single" w:sz="4" w:space="0" w:color="808080"/>
            </w:tcBorders>
            <w:noWrap/>
            <w:vAlign w:val="bottom"/>
          </w:tcPr>
          <w:p w:rsidR="00AF7719" w:rsidRDefault="00C46825">
            <w:pPr>
              <w:jc w:val="center"/>
            </w:pPr>
            <w:r>
              <w:t>VLG-23</w:t>
            </w:r>
          </w:p>
        </w:tc>
      </w:tr>
      <w:tr w:rsidR="009A51D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AF7719" w:rsidRDefault="00C46825">
            <w:pPr>
              <w:jc w:val="center"/>
            </w:pPr>
            <w:r>
              <w:t>HB11–14</w:t>
            </w:r>
          </w:p>
        </w:tc>
        <w:tc>
          <w:tcPr>
            <w:tcW w:w="1440" w:type="dxa"/>
            <w:tcBorders>
              <w:top w:val="nil"/>
              <w:left w:val="nil"/>
              <w:bottom w:val="single" w:sz="4" w:space="0" w:color="808080"/>
              <w:right w:val="single" w:sz="4" w:space="0" w:color="808080"/>
            </w:tcBorders>
            <w:noWrap/>
            <w:vAlign w:val="bottom"/>
          </w:tcPr>
          <w:p w:rsidR="00AF7719" w:rsidRDefault="00C46825">
            <w:pPr>
              <w:jc w:val="center"/>
            </w:pPr>
            <w:r>
              <w:t>VLG-17</w:t>
            </w:r>
          </w:p>
        </w:tc>
        <w:tc>
          <w:tcPr>
            <w:tcW w:w="1482" w:type="dxa"/>
            <w:tcBorders>
              <w:top w:val="nil"/>
              <w:left w:val="nil"/>
              <w:bottom w:val="single" w:sz="4" w:space="0" w:color="808080"/>
              <w:right w:val="single" w:sz="4" w:space="0" w:color="808080"/>
            </w:tcBorders>
            <w:noWrap/>
            <w:vAlign w:val="bottom"/>
          </w:tcPr>
          <w:p w:rsidR="00AF7719" w:rsidRDefault="00C46825">
            <w:pPr>
              <w:jc w:val="center"/>
            </w:pPr>
            <w:r>
              <w:t>VLG-20</w:t>
            </w:r>
          </w:p>
        </w:tc>
        <w:tc>
          <w:tcPr>
            <w:tcW w:w="1560" w:type="dxa"/>
            <w:tcBorders>
              <w:top w:val="nil"/>
              <w:left w:val="nil"/>
              <w:bottom w:val="single" w:sz="4" w:space="0" w:color="808080"/>
              <w:right w:val="single" w:sz="4" w:space="0" w:color="808080"/>
            </w:tcBorders>
            <w:noWrap/>
            <w:vAlign w:val="bottom"/>
          </w:tcPr>
          <w:p w:rsidR="00AF7719" w:rsidRDefault="00C46825">
            <w:pPr>
              <w:jc w:val="center"/>
            </w:pPr>
            <w:r>
              <w:t>VLG-21</w:t>
            </w:r>
          </w:p>
        </w:tc>
        <w:tc>
          <w:tcPr>
            <w:tcW w:w="1624" w:type="dxa"/>
            <w:tcBorders>
              <w:top w:val="nil"/>
              <w:left w:val="nil"/>
              <w:bottom w:val="single" w:sz="4" w:space="0" w:color="808080"/>
              <w:right w:val="single" w:sz="4" w:space="0" w:color="808080"/>
            </w:tcBorders>
            <w:noWrap/>
            <w:vAlign w:val="bottom"/>
          </w:tcPr>
          <w:p w:rsidR="00AF7719" w:rsidRDefault="00C46825">
            <w:pPr>
              <w:jc w:val="center"/>
            </w:pPr>
            <w:r>
              <w:t>VLG-23</w:t>
            </w:r>
          </w:p>
        </w:tc>
      </w:tr>
      <w:tr w:rsidR="009A51D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AF7719" w:rsidRDefault="00C46825">
            <w:pPr>
              <w:jc w:val="center"/>
            </w:pPr>
            <w:r>
              <w:t>HB15–18</w:t>
            </w:r>
          </w:p>
        </w:tc>
        <w:tc>
          <w:tcPr>
            <w:tcW w:w="1440" w:type="dxa"/>
            <w:tcBorders>
              <w:top w:val="nil"/>
              <w:left w:val="nil"/>
              <w:bottom w:val="single" w:sz="4" w:space="0" w:color="808080"/>
              <w:right w:val="single" w:sz="4" w:space="0" w:color="808080"/>
            </w:tcBorders>
            <w:noWrap/>
            <w:vAlign w:val="bottom"/>
          </w:tcPr>
          <w:p w:rsidR="00AF7719" w:rsidRDefault="00C46825">
            <w:pPr>
              <w:jc w:val="center"/>
            </w:pPr>
            <w:r>
              <w:t>VLG-18</w:t>
            </w:r>
          </w:p>
        </w:tc>
        <w:tc>
          <w:tcPr>
            <w:tcW w:w="1482" w:type="dxa"/>
            <w:tcBorders>
              <w:top w:val="nil"/>
              <w:left w:val="nil"/>
              <w:bottom w:val="single" w:sz="4" w:space="0" w:color="808080"/>
              <w:right w:val="single" w:sz="4" w:space="0" w:color="808080"/>
            </w:tcBorders>
            <w:noWrap/>
            <w:vAlign w:val="bottom"/>
          </w:tcPr>
          <w:p w:rsidR="00AF7719" w:rsidRDefault="00C46825">
            <w:pPr>
              <w:jc w:val="center"/>
            </w:pPr>
            <w:r>
              <w:t>VLG-19</w:t>
            </w:r>
          </w:p>
        </w:tc>
        <w:tc>
          <w:tcPr>
            <w:tcW w:w="1560" w:type="dxa"/>
            <w:tcBorders>
              <w:top w:val="nil"/>
              <w:left w:val="nil"/>
              <w:bottom w:val="single" w:sz="4" w:space="0" w:color="808080"/>
              <w:right w:val="single" w:sz="4" w:space="0" w:color="808080"/>
            </w:tcBorders>
            <w:noWrap/>
            <w:vAlign w:val="bottom"/>
          </w:tcPr>
          <w:p w:rsidR="00AF7719" w:rsidRDefault="00C46825">
            <w:pPr>
              <w:jc w:val="center"/>
            </w:pPr>
            <w:r>
              <w:t>VLG-22</w:t>
            </w:r>
          </w:p>
        </w:tc>
        <w:tc>
          <w:tcPr>
            <w:tcW w:w="1624" w:type="dxa"/>
            <w:tcBorders>
              <w:top w:val="nil"/>
              <w:left w:val="nil"/>
              <w:bottom w:val="single" w:sz="4" w:space="0" w:color="808080"/>
              <w:right w:val="single" w:sz="4" w:space="0" w:color="808080"/>
            </w:tcBorders>
            <w:noWrap/>
            <w:vAlign w:val="bottom"/>
          </w:tcPr>
          <w:p w:rsidR="00AF7719" w:rsidRDefault="00C46825">
            <w:pPr>
              <w:jc w:val="center"/>
            </w:pPr>
            <w:r>
              <w:t>VLG-24</w:t>
            </w:r>
          </w:p>
        </w:tc>
      </w:tr>
      <w:tr w:rsidR="009A51D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AF7719" w:rsidRDefault="00C46825">
            <w:pPr>
              <w:jc w:val="center"/>
            </w:pPr>
            <w:r>
              <w:t>HB19–22</w:t>
            </w:r>
          </w:p>
        </w:tc>
        <w:tc>
          <w:tcPr>
            <w:tcW w:w="1440" w:type="dxa"/>
            <w:tcBorders>
              <w:top w:val="nil"/>
              <w:left w:val="nil"/>
              <w:bottom w:val="single" w:sz="4" w:space="0" w:color="808080"/>
              <w:right w:val="single" w:sz="4" w:space="0" w:color="808080"/>
            </w:tcBorders>
            <w:noWrap/>
            <w:vAlign w:val="bottom"/>
          </w:tcPr>
          <w:p w:rsidR="00AF7719" w:rsidRDefault="00C46825">
            <w:pPr>
              <w:jc w:val="center"/>
            </w:pPr>
            <w:r>
              <w:t>VLG-17</w:t>
            </w:r>
          </w:p>
        </w:tc>
        <w:tc>
          <w:tcPr>
            <w:tcW w:w="1482" w:type="dxa"/>
            <w:tcBorders>
              <w:top w:val="nil"/>
              <w:left w:val="nil"/>
              <w:bottom w:val="single" w:sz="4" w:space="0" w:color="808080"/>
              <w:right w:val="single" w:sz="4" w:space="0" w:color="808080"/>
            </w:tcBorders>
            <w:noWrap/>
            <w:vAlign w:val="bottom"/>
          </w:tcPr>
          <w:p w:rsidR="00AF7719" w:rsidRDefault="00C46825">
            <w:pPr>
              <w:jc w:val="center"/>
            </w:pPr>
            <w:r>
              <w:t>VLG-20</w:t>
            </w:r>
          </w:p>
        </w:tc>
        <w:tc>
          <w:tcPr>
            <w:tcW w:w="1560" w:type="dxa"/>
            <w:tcBorders>
              <w:top w:val="nil"/>
              <w:left w:val="nil"/>
              <w:bottom w:val="single" w:sz="4" w:space="0" w:color="808080"/>
              <w:right w:val="single" w:sz="4" w:space="0" w:color="808080"/>
            </w:tcBorders>
            <w:noWrap/>
            <w:vAlign w:val="bottom"/>
          </w:tcPr>
          <w:p w:rsidR="00AF7719" w:rsidRDefault="00C46825">
            <w:pPr>
              <w:jc w:val="center"/>
            </w:pPr>
            <w:r>
              <w:t>VLG-21</w:t>
            </w:r>
          </w:p>
        </w:tc>
        <w:tc>
          <w:tcPr>
            <w:tcW w:w="1624" w:type="dxa"/>
            <w:tcBorders>
              <w:top w:val="nil"/>
              <w:left w:val="nil"/>
              <w:bottom w:val="single" w:sz="4" w:space="0" w:color="808080"/>
              <w:right w:val="single" w:sz="4" w:space="0" w:color="808080"/>
            </w:tcBorders>
            <w:noWrap/>
            <w:vAlign w:val="bottom"/>
          </w:tcPr>
          <w:p w:rsidR="00AF7719" w:rsidRDefault="00C46825">
            <w:pPr>
              <w:jc w:val="center"/>
            </w:pPr>
            <w:r>
              <w:t>VLG-24</w:t>
            </w:r>
          </w:p>
        </w:tc>
      </w:tr>
      <w:tr w:rsidR="009A51D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AF7719" w:rsidRDefault="00C46825">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AF7719" w:rsidRDefault="00C46825">
            <w:pPr>
              <w:jc w:val="center"/>
            </w:pPr>
            <w:r>
              <w:t>VLG-17</w:t>
            </w:r>
          </w:p>
        </w:tc>
        <w:tc>
          <w:tcPr>
            <w:tcW w:w="1482" w:type="dxa"/>
            <w:tcBorders>
              <w:top w:val="nil"/>
              <w:left w:val="nil"/>
              <w:bottom w:val="single" w:sz="4" w:space="0" w:color="808080"/>
              <w:right w:val="single" w:sz="4" w:space="0" w:color="808080"/>
            </w:tcBorders>
            <w:noWrap/>
            <w:vAlign w:val="bottom"/>
          </w:tcPr>
          <w:p w:rsidR="00AF7719" w:rsidRDefault="00C46825">
            <w:pPr>
              <w:jc w:val="center"/>
            </w:pPr>
            <w:r>
              <w:t>VLG-20</w:t>
            </w:r>
          </w:p>
        </w:tc>
        <w:tc>
          <w:tcPr>
            <w:tcW w:w="1560" w:type="dxa"/>
            <w:tcBorders>
              <w:top w:val="nil"/>
              <w:left w:val="nil"/>
              <w:bottom w:val="single" w:sz="4" w:space="0" w:color="808080"/>
              <w:right w:val="single" w:sz="4" w:space="0" w:color="808080"/>
            </w:tcBorders>
            <w:noWrap/>
            <w:vAlign w:val="bottom"/>
          </w:tcPr>
          <w:p w:rsidR="00AF7719" w:rsidRDefault="00C46825">
            <w:pPr>
              <w:jc w:val="center"/>
            </w:pPr>
            <w:r>
              <w:t>VLG-21</w:t>
            </w:r>
          </w:p>
        </w:tc>
        <w:tc>
          <w:tcPr>
            <w:tcW w:w="1624" w:type="dxa"/>
            <w:tcBorders>
              <w:top w:val="nil"/>
              <w:left w:val="nil"/>
              <w:bottom w:val="single" w:sz="4" w:space="0" w:color="808080"/>
              <w:right w:val="single" w:sz="4" w:space="0" w:color="808080"/>
            </w:tcBorders>
            <w:noWrap/>
            <w:vAlign w:val="bottom"/>
          </w:tcPr>
          <w:p w:rsidR="00AF7719" w:rsidRDefault="00C46825">
            <w:pPr>
              <w:jc w:val="center"/>
            </w:pPr>
            <w:r>
              <w:t>VLG-23</w:t>
            </w:r>
          </w:p>
        </w:tc>
      </w:tr>
      <w:tr w:rsidR="009A51D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AF7719" w:rsidRDefault="00C46825">
            <w:pPr>
              <w:jc w:val="center"/>
            </w:pPr>
            <w:r>
              <w:t>Night (HB23–06)</w:t>
            </w:r>
          </w:p>
        </w:tc>
        <w:tc>
          <w:tcPr>
            <w:tcW w:w="1440" w:type="dxa"/>
            <w:tcBorders>
              <w:top w:val="nil"/>
              <w:left w:val="nil"/>
              <w:bottom w:val="single" w:sz="4" w:space="0" w:color="808080"/>
              <w:right w:val="single" w:sz="4" w:space="0" w:color="808080"/>
            </w:tcBorders>
            <w:noWrap/>
            <w:vAlign w:val="bottom"/>
          </w:tcPr>
          <w:p w:rsidR="00AF7719" w:rsidRDefault="00C46825">
            <w:pPr>
              <w:jc w:val="center"/>
            </w:pPr>
            <w:r>
              <w:t>VLG-17</w:t>
            </w:r>
          </w:p>
        </w:tc>
        <w:tc>
          <w:tcPr>
            <w:tcW w:w="1482" w:type="dxa"/>
            <w:tcBorders>
              <w:top w:val="nil"/>
              <w:left w:val="nil"/>
              <w:bottom w:val="single" w:sz="4" w:space="0" w:color="808080"/>
              <w:right w:val="single" w:sz="4" w:space="0" w:color="808080"/>
            </w:tcBorders>
            <w:noWrap/>
            <w:vAlign w:val="bottom"/>
          </w:tcPr>
          <w:p w:rsidR="00AF7719" w:rsidRDefault="00C46825">
            <w:pPr>
              <w:jc w:val="center"/>
            </w:pPr>
            <w:r>
              <w:t>VLG-20</w:t>
            </w:r>
          </w:p>
        </w:tc>
        <w:tc>
          <w:tcPr>
            <w:tcW w:w="1560" w:type="dxa"/>
            <w:tcBorders>
              <w:top w:val="nil"/>
              <w:left w:val="nil"/>
              <w:bottom w:val="single" w:sz="4" w:space="0" w:color="808080"/>
              <w:right w:val="single" w:sz="4" w:space="0" w:color="808080"/>
            </w:tcBorders>
            <w:noWrap/>
            <w:vAlign w:val="bottom"/>
          </w:tcPr>
          <w:p w:rsidR="00AF7719" w:rsidRDefault="00C46825">
            <w:pPr>
              <w:jc w:val="center"/>
            </w:pPr>
            <w:r>
              <w:t>VLG-21</w:t>
            </w:r>
          </w:p>
        </w:tc>
        <w:tc>
          <w:tcPr>
            <w:tcW w:w="1624" w:type="dxa"/>
            <w:tcBorders>
              <w:top w:val="nil"/>
              <w:left w:val="nil"/>
              <w:bottom w:val="single" w:sz="4" w:space="0" w:color="808080"/>
              <w:right w:val="single" w:sz="4" w:space="0" w:color="808080"/>
            </w:tcBorders>
            <w:noWrap/>
            <w:vAlign w:val="bottom"/>
          </w:tcPr>
          <w:p w:rsidR="00AF7719" w:rsidRDefault="00C46825">
            <w:pPr>
              <w:jc w:val="center"/>
            </w:pPr>
            <w:r>
              <w:t>VLG-23</w:t>
            </w:r>
          </w:p>
        </w:tc>
      </w:tr>
      <w:tr w:rsidR="009A51D5">
        <w:trPr>
          <w:trHeight w:val="144"/>
        </w:trPr>
        <w:tc>
          <w:tcPr>
            <w:tcW w:w="3254" w:type="dxa"/>
            <w:tcBorders>
              <w:top w:val="nil"/>
              <w:left w:val="single" w:sz="4" w:space="0" w:color="808080"/>
              <w:bottom w:val="single" w:sz="4" w:space="0" w:color="808080"/>
              <w:right w:val="single" w:sz="4" w:space="0" w:color="808080"/>
            </w:tcBorders>
            <w:noWrap/>
            <w:vAlign w:val="bottom"/>
          </w:tcPr>
          <w:p w:rsidR="00AF7719" w:rsidRDefault="00C46825">
            <w:pPr>
              <w:jc w:val="center"/>
            </w:pPr>
          </w:p>
        </w:tc>
        <w:tc>
          <w:tcPr>
            <w:tcW w:w="1440" w:type="dxa"/>
            <w:tcBorders>
              <w:top w:val="nil"/>
              <w:left w:val="nil"/>
              <w:bottom w:val="single" w:sz="4" w:space="0" w:color="808080"/>
              <w:right w:val="single" w:sz="4" w:space="0" w:color="808080"/>
            </w:tcBorders>
            <w:noWrap/>
            <w:vAlign w:val="bottom"/>
          </w:tcPr>
          <w:p w:rsidR="00AF7719" w:rsidRDefault="00C46825">
            <w:pPr>
              <w:jc w:val="center"/>
            </w:pPr>
          </w:p>
        </w:tc>
        <w:tc>
          <w:tcPr>
            <w:tcW w:w="1482" w:type="dxa"/>
            <w:tcBorders>
              <w:top w:val="nil"/>
              <w:left w:val="nil"/>
              <w:bottom w:val="single" w:sz="4" w:space="0" w:color="808080"/>
              <w:right w:val="single" w:sz="4" w:space="0" w:color="808080"/>
            </w:tcBorders>
            <w:noWrap/>
            <w:vAlign w:val="bottom"/>
          </w:tcPr>
          <w:p w:rsidR="00AF7719" w:rsidRDefault="00C46825">
            <w:pPr>
              <w:jc w:val="center"/>
            </w:pPr>
          </w:p>
        </w:tc>
        <w:tc>
          <w:tcPr>
            <w:tcW w:w="1560" w:type="dxa"/>
            <w:tcBorders>
              <w:top w:val="nil"/>
              <w:left w:val="nil"/>
              <w:bottom w:val="single" w:sz="4" w:space="0" w:color="808080"/>
              <w:right w:val="single" w:sz="4" w:space="0" w:color="808080"/>
            </w:tcBorders>
            <w:noWrap/>
            <w:vAlign w:val="bottom"/>
          </w:tcPr>
          <w:p w:rsidR="00AF7719" w:rsidRDefault="00C46825">
            <w:pPr>
              <w:jc w:val="center"/>
            </w:pPr>
          </w:p>
        </w:tc>
        <w:tc>
          <w:tcPr>
            <w:tcW w:w="1624" w:type="dxa"/>
            <w:tcBorders>
              <w:top w:val="nil"/>
              <w:left w:val="nil"/>
              <w:bottom w:val="single" w:sz="4" w:space="0" w:color="808080"/>
              <w:right w:val="single" w:sz="4" w:space="0" w:color="808080"/>
            </w:tcBorders>
            <w:noWrap/>
            <w:vAlign w:val="bottom"/>
          </w:tcPr>
          <w:p w:rsidR="00AF7719" w:rsidRDefault="00C46825">
            <w:pPr>
              <w:jc w:val="center"/>
            </w:pPr>
          </w:p>
        </w:tc>
      </w:tr>
      <w:tr w:rsidR="009A51D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AF7719" w:rsidRDefault="00C46825">
            <w:pPr>
              <w:jc w:val="center"/>
              <w:rPr>
                <w:b/>
              </w:rPr>
            </w:pPr>
            <w:r>
              <w:rPr>
                <w:b/>
              </w:rPr>
              <w:t>Rest-of-Year</w:t>
            </w:r>
          </w:p>
        </w:tc>
        <w:tc>
          <w:tcPr>
            <w:tcW w:w="1440" w:type="dxa"/>
            <w:tcBorders>
              <w:top w:val="nil"/>
              <w:left w:val="nil"/>
              <w:bottom w:val="single" w:sz="4" w:space="0" w:color="808080"/>
              <w:right w:val="single" w:sz="4" w:space="0" w:color="808080"/>
            </w:tcBorders>
            <w:noWrap/>
            <w:vAlign w:val="bottom"/>
          </w:tcPr>
          <w:p w:rsidR="00AF7719" w:rsidRDefault="00C46825">
            <w:pPr>
              <w:jc w:val="center"/>
            </w:pPr>
          </w:p>
        </w:tc>
        <w:tc>
          <w:tcPr>
            <w:tcW w:w="1482" w:type="dxa"/>
            <w:tcBorders>
              <w:top w:val="nil"/>
              <w:left w:val="nil"/>
              <w:bottom w:val="single" w:sz="4" w:space="0" w:color="808080"/>
              <w:right w:val="single" w:sz="4" w:space="0" w:color="808080"/>
            </w:tcBorders>
            <w:noWrap/>
            <w:vAlign w:val="bottom"/>
          </w:tcPr>
          <w:p w:rsidR="00AF7719" w:rsidRDefault="00C46825">
            <w:pPr>
              <w:jc w:val="center"/>
            </w:pPr>
          </w:p>
        </w:tc>
        <w:tc>
          <w:tcPr>
            <w:tcW w:w="1560" w:type="dxa"/>
            <w:tcBorders>
              <w:top w:val="nil"/>
              <w:left w:val="nil"/>
              <w:bottom w:val="single" w:sz="4" w:space="0" w:color="808080"/>
              <w:right w:val="single" w:sz="4" w:space="0" w:color="808080"/>
            </w:tcBorders>
            <w:noWrap/>
            <w:vAlign w:val="bottom"/>
          </w:tcPr>
          <w:p w:rsidR="00AF7719" w:rsidRDefault="00C46825">
            <w:pPr>
              <w:jc w:val="center"/>
            </w:pPr>
          </w:p>
        </w:tc>
        <w:tc>
          <w:tcPr>
            <w:tcW w:w="1624" w:type="dxa"/>
            <w:tcBorders>
              <w:top w:val="nil"/>
              <w:left w:val="nil"/>
              <w:bottom w:val="single" w:sz="4" w:space="0" w:color="808080"/>
              <w:right w:val="single" w:sz="4" w:space="0" w:color="808080"/>
            </w:tcBorders>
            <w:noWrap/>
            <w:vAlign w:val="bottom"/>
          </w:tcPr>
          <w:p w:rsidR="00AF7719" w:rsidRDefault="00C46825">
            <w:pPr>
              <w:jc w:val="center"/>
            </w:pPr>
          </w:p>
        </w:tc>
      </w:tr>
      <w:tr w:rsidR="009A51D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AF7719" w:rsidRDefault="00C46825">
            <w:pPr>
              <w:jc w:val="center"/>
            </w:pPr>
            <w:r>
              <w:t>HB07–10</w:t>
            </w:r>
          </w:p>
        </w:tc>
        <w:tc>
          <w:tcPr>
            <w:tcW w:w="1440" w:type="dxa"/>
            <w:tcBorders>
              <w:top w:val="nil"/>
              <w:left w:val="nil"/>
              <w:bottom w:val="single" w:sz="4" w:space="0" w:color="808080"/>
              <w:right w:val="single" w:sz="4" w:space="0" w:color="808080"/>
            </w:tcBorders>
            <w:noWrap/>
            <w:vAlign w:val="bottom"/>
          </w:tcPr>
          <w:p w:rsidR="00AF7719" w:rsidRDefault="00C46825">
            <w:pPr>
              <w:jc w:val="center"/>
            </w:pPr>
            <w:r>
              <w:t>VLG-25</w:t>
            </w:r>
          </w:p>
        </w:tc>
        <w:tc>
          <w:tcPr>
            <w:tcW w:w="1482" w:type="dxa"/>
            <w:tcBorders>
              <w:top w:val="nil"/>
              <w:left w:val="nil"/>
              <w:bottom w:val="single" w:sz="4" w:space="0" w:color="808080"/>
              <w:right w:val="single" w:sz="4" w:space="0" w:color="808080"/>
            </w:tcBorders>
            <w:noWrap/>
            <w:vAlign w:val="bottom"/>
          </w:tcPr>
          <w:p w:rsidR="00AF7719" w:rsidRDefault="00C46825">
            <w:pPr>
              <w:jc w:val="center"/>
            </w:pPr>
            <w:r>
              <w:t>VLG-26</w:t>
            </w:r>
          </w:p>
        </w:tc>
        <w:tc>
          <w:tcPr>
            <w:tcW w:w="1560" w:type="dxa"/>
            <w:tcBorders>
              <w:top w:val="nil"/>
              <w:left w:val="nil"/>
              <w:bottom w:val="single" w:sz="4" w:space="0" w:color="808080"/>
              <w:right w:val="single" w:sz="4" w:space="0" w:color="808080"/>
            </w:tcBorders>
            <w:noWrap/>
            <w:vAlign w:val="bottom"/>
          </w:tcPr>
          <w:p w:rsidR="00AF7719" w:rsidRDefault="00C46825">
            <w:pPr>
              <w:jc w:val="center"/>
            </w:pPr>
            <w:r>
              <w:t>VLG-27</w:t>
            </w:r>
          </w:p>
        </w:tc>
        <w:tc>
          <w:tcPr>
            <w:tcW w:w="1624" w:type="dxa"/>
            <w:tcBorders>
              <w:top w:val="nil"/>
              <w:left w:val="nil"/>
              <w:bottom w:val="single" w:sz="4" w:space="0" w:color="808080"/>
              <w:right w:val="single" w:sz="4" w:space="0" w:color="808080"/>
            </w:tcBorders>
            <w:noWrap/>
            <w:vAlign w:val="bottom"/>
          </w:tcPr>
          <w:p w:rsidR="00AF7719" w:rsidRDefault="00C46825">
            <w:pPr>
              <w:jc w:val="center"/>
            </w:pPr>
            <w:r>
              <w:t>VLG-29</w:t>
            </w:r>
          </w:p>
        </w:tc>
      </w:tr>
      <w:tr w:rsidR="009A51D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AF7719" w:rsidRDefault="00C46825">
            <w:pPr>
              <w:jc w:val="center"/>
            </w:pPr>
            <w:r>
              <w:t>HB11–14</w:t>
            </w:r>
          </w:p>
        </w:tc>
        <w:tc>
          <w:tcPr>
            <w:tcW w:w="1440" w:type="dxa"/>
            <w:tcBorders>
              <w:top w:val="nil"/>
              <w:left w:val="nil"/>
              <w:bottom w:val="single" w:sz="4" w:space="0" w:color="808080"/>
              <w:right w:val="single" w:sz="4" w:space="0" w:color="808080"/>
            </w:tcBorders>
            <w:noWrap/>
            <w:vAlign w:val="bottom"/>
          </w:tcPr>
          <w:p w:rsidR="00AF7719" w:rsidRDefault="00C46825">
            <w:pPr>
              <w:jc w:val="center"/>
            </w:pPr>
            <w:r>
              <w:t>VLG-25</w:t>
            </w:r>
          </w:p>
        </w:tc>
        <w:tc>
          <w:tcPr>
            <w:tcW w:w="1482" w:type="dxa"/>
            <w:tcBorders>
              <w:top w:val="nil"/>
              <w:left w:val="nil"/>
              <w:bottom w:val="single" w:sz="4" w:space="0" w:color="808080"/>
              <w:right w:val="single" w:sz="4" w:space="0" w:color="808080"/>
            </w:tcBorders>
            <w:noWrap/>
            <w:vAlign w:val="bottom"/>
          </w:tcPr>
          <w:p w:rsidR="00AF7719" w:rsidRDefault="00C46825">
            <w:pPr>
              <w:jc w:val="center"/>
            </w:pPr>
            <w:r>
              <w:t>VLG-26</w:t>
            </w:r>
          </w:p>
        </w:tc>
        <w:tc>
          <w:tcPr>
            <w:tcW w:w="1560" w:type="dxa"/>
            <w:tcBorders>
              <w:top w:val="nil"/>
              <w:left w:val="nil"/>
              <w:bottom w:val="single" w:sz="4" w:space="0" w:color="808080"/>
              <w:right w:val="single" w:sz="4" w:space="0" w:color="808080"/>
            </w:tcBorders>
            <w:noWrap/>
            <w:vAlign w:val="bottom"/>
          </w:tcPr>
          <w:p w:rsidR="00AF7719" w:rsidRDefault="00C46825">
            <w:pPr>
              <w:jc w:val="center"/>
            </w:pPr>
            <w:r>
              <w:t>VLG-28</w:t>
            </w:r>
          </w:p>
        </w:tc>
        <w:tc>
          <w:tcPr>
            <w:tcW w:w="1624" w:type="dxa"/>
            <w:tcBorders>
              <w:top w:val="nil"/>
              <w:left w:val="nil"/>
              <w:bottom w:val="single" w:sz="4" w:space="0" w:color="808080"/>
              <w:right w:val="single" w:sz="4" w:space="0" w:color="808080"/>
            </w:tcBorders>
            <w:noWrap/>
            <w:vAlign w:val="bottom"/>
          </w:tcPr>
          <w:p w:rsidR="00AF7719" w:rsidRDefault="00C46825">
            <w:pPr>
              <w:jc w:val="center"/>
            </w:pPr>
            <w:r>
              <w:t>VLG-29</w:t>
            </w:r>
          </w:p>
        </w:tc>
      </w:tr>
      <w:tr w:rsidR="009A51D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AF7719" w:rsidRDefault="00C46825">
            <w:pPr>
              <w:jc w:val="center"/>
            </w:pPr>
            <w:r>
              <w:t>HB15–18</w:t>
            </w:r>
          </w:p>
        </w:tc>
        <w:tc>
          <w:tcPr>
            <w:tcW w:w="1440" w:type="dxa"/>
            <w:tcBorders>
              <w:top w:val="nil"/>
              <w:left w:val="nil"/>
              <w:bottom w:val="single" w:sz="4" w:space="0" w:color="808080"/>
              <w:right w:val="single" w:sz="4" w:space="0" w:color="808080"/>
            </w:tcBorders>
            <w:noWrap/>
            <w:vAlign w:val="bottom"/>
          </w:tcPr>
          <w:p w:rsidR="00AF7719" w:rsidRDefault="00C46825">
            <w:pPr>
              <w:jc w:val="center"/>
            </w:pPr>
            <w:r>
              <w:t>VLG-25</w:t>
            </w:r>
          </w:p>
        </w:tc>
        <w:tc>
          <w:tcPr>
            <w:tcW w:w="1482" w:type="dxa"/>
            <w:tcBorders>
              <w:top w:val="nil"/>
              <w:left w:val="nil"/>
              <w:bottom w:val="single" w:sz="4" w:space="0" w:color="808080"/>
              <w:right w:val="single" w:sz="4" w:space="0" w:color="808080"/>
            </w:tcBorders>
            <w:noWrap/>
            <w:vAlign w:val="bottom"/>
          </w:tcPr>
          <w:p w:rsidR="00AF7719" w:rsidRDefault="00C46825">
            <w:pPr>
              <w:jc w:val="center"/>
            </w:pPr>
            <w:r>
              <w:t>VLG-26</w:t>
            </w:r>
          </w:p>
        </w:tc>
        <w:tc>
          <w:tcPr>
            <w:tcW w:w="1560" w:type="dxa"/>
            <w:tcBorders>
              <w:top w:val="nil"/>
              <w:left w:val="nil"/>
              <w:bottom w:val="single" w:sz="4" w:space="0" w:color="808080"/>
              <w:right w:val="single" w:sz="4" w:space="0" w:color="808080"/>
            </w:tcBorders>
            <w:noWrap/>
            <w:vAlign w:val="bottom"/>
          </w:tcPr>
          <w:p w:rsidR="00AF7719" w:rsidRDefault="00C46825">
            <w:pPr>
              <w:jc w:val="center"/>
            </w:pPr>
            <w:r>
              <w:t>VLG-28</w:t>
            </w:r>
          </w:p>
        </w:tc>
        <w:tc>
          <w:tcPr>
            <w:tcW w:w="1624" w:type="dxa"/>
            <w:tcBorders>
              <w:top w:val="nil"/>
              <w:left w:val="nil"/>
              <w:bottom w:val="single" w:sz="4" w:space="0" w:color="808080"/>
              <w:right w:val="single" w:sz="4" w:space="0" w:color="808080"/>
            </w:tcBorders>
            <w:noWrap/>
            <w:vAlign w:val="bottom"/>
          </w:tcPr>
          <w:p w:rsidR="00AF7719" w:rsidRDefault="00C46825">
            <w:pPr>
              <w:jc w:val="center"/>
            </w:pPr>
            <w:r>
              <w:t>VLG-30</w:t>
            </w:r>
          </w:p>
        </w:tc>
      </w:tr>
      <w:tr w:rsidR="009A51D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AF7719" w:rsidRDefault="00C46825">
            <w:pPr>
              <w:jc w:val="center"/>
            </w:pPr>
            <w:r>
              <w:t>HB19–22</w:t>
            </w:r>
          </w:p>
        </w:tc>
        <w:tc>
          <w:tcPr>
            <w:tcW w:w="1440" w:type="dxa"/>
            <w:tcBorders>
              <w:top w:val="nil"/>
              <w:left w:val="nil"/>
              <w:bottom w:val="single" w:sz="4" w:space="0" w:color="808080"/>
              <w:right w:val="single" w:sz="4" w:space="0" w:color="808080"/>
            </w:tcBorders>
            <w:noWrap/>
            <w:vAlign w:val="bottom"/>
          </w:tcPr>
          <w:p w:rsidR="00AF7719" w:rsidRDefault="00C46825">
            <w:pPr>
              <w:jc w:val="center"/>
            </w:pPr>
            <w:r>
              <w:t>VLG-25</w:t>
            </w:r>
          </w:p>
        </w:tc>
        <w:tc>
          <w:tcPr>
            <w:tcW w:w="1482" w:type="dxa"/>
            <w:tcBorders>
              <w:top w:val="nil"/>
              <w:left w:val="nil"/>
              <w:bottom w:val="single" w:sz="4" w:space="0" w:color="808080"/>
              <w:right w:val="single" w:sz="4" w:space="0" w:color="808080"/>
            </w:tcBorders>
            <w:noWrap/>
            <w:vAlign w:val="bottom"/>
          </w:tcPr>
          <w:p w:rsidR="00AF7719" w:rsidRDefault="00C46825">
            <w:pPr>
              <w:jc w:val="center"/>
            </w:pPr>
            <w:r>
              <w:t>VLG-26</w:t>
            </w:r>
          </w:p>
        </w:tc>
        <w:tc>
          <w:tcPr>
            <w:tcW w:w="1560" w:type="dxa"/>
            <w:tcBorders>
              <w:top w:val="nil"/>
              <w:left w:val="nil"/>
              <w:bottom w:val="single" w:sz="4" w:space="0" w:color="808080"/>
              <w:right w:val="single" w:sz="4" w:space="0" w:color="808080"/>
            </w:tcBorders>
            <w:noWrap/>
            <w:vAlign w:val="bottom"/>
          </w:tcPr>
          <w:p w:rsidR="00AF7719" w:rsidRDefault="00C46825">
            <w:pPr>
              <w:jc w:val="center"/>
            </w:pPr>
            <w:r>
              <w:t>VLG-27</w:t>
            </w:r>
          </w:p>
        </w:tc>
        <w:tc>
          <w:tcPr>
            <w:tcW w:w="1624" w:type="dxa"/>
            <w:tcBorders>
              <w:top w:val="nil"/>
              <w:left w:val="nil"/>
              <w:bottom w:val="single" w:sz="4" w:space="0" w:color="808080"/>
              <w:right w:val="single" w:sz="4" w:space="0" w:color="808080"/>
            </w:tcBorders>
            <w:noWrap/>
            <w:vAlign w:val="bottom"/>
          </w:tcPr>
          <w:p w:rsidR="00AF7719" w:rsidRDefault="00C46825">
            <w:pPr>
              <w:jc w:val="center"/>
            </w:pPr>
            <w:r>
              <w:t>VLG-30</w:t>
            </w:r>
          </w:p>
        </w:tc>
      </w:tr>
      <w:tr w:rsidR="009A51D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AF7719" w:rsidRDefault="00C46825">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AF7719" w:rsidRDefault="00C46825">
            <w:pPr>
              <w:jc w:val="center"/>
            </w:pPr>
            <w:r>
              <w:t>VLG-25</w:t>
            </w:r>
          </w:p>
        </w:tc>
        <w:tc>
          <w:tcPr>
            <w:tcW w:w="1482" w:type="dxa"/>
            <w:tcBorders>
              <w:top w:val="nil"/>
              <w:left w:val="nil"/>
              <w:bottom w:val="single" w:sz="4" w:space="0" w:color="808080"/>
              <w:right w:val="single" w:sz="4" w:space="0" w:color="808080"/>
            </w:tcBorders>
            <w:noWrap/>
            <w:vAlign w:val="bottom"/>
          </w:tcPr>
          <w:p w:rsidR="00AF7719" w:rsidRDefault="00C46825">
            <w:pPr>
              <w:jc w:val="center"/>
            </w:pPr>
            <w:r>
              <w:t>VLG-26</w:t>
            </w:r>
          </w:p>
        </w:tc>
        <w:tc>
          <w:tcPr>
            <w:tcW w:w="1560" w:type="dxa"/>
            <w:tcBorders>
              <w:top w:val="nil"/>
              <w:left w:val="nil"/>
              <w:bottom w:val="single" w:sz="4" w:space="0" w:color="808080"/>
              <w:right w:val="single" w:sz="4" w:space="0" w:color="808080"/>
            </w:tcBorders>
            <w:noWrap/>
            <w:vAlign w:val="bottom"/>
          </w:tcPr>
          <w:p w:rsidR="00AF7719" w:rsidRDefault="00C46825">
            <w:pPr>
              <w:jc w:val="center"/>
            </w:pPr>
            <w:r>
              <w:t>VLG-27</w:t>
            </w:r>
          </w:p>
        </w:tc>
        <w:tc>
          <w:tcPr>
            <w:tcW w:w="1624" w:type="dxa"/>
            <w:tcBorders>
              <w:top w:val="nil"/>
              <w:left w:val="nil"/>
              <w:bottom w:val="single" w:sz="4" w:space="0" w:color="808080"/>
              <w:right w:val="single" w:sz="4" w:space="0" w:color="808080"/>
            </w:tcBorders>
            <w:noWrap/>
            <w:vAlign w:val="bottom"/>
          </w:tcPr>
          <w:p w:rsidR="00AF7719" w:rsidRDefault="00C46825">
            <w:pPr>
              <w:jc w:val="center"/>
            </w:pPr>
            <w:r>
              <w:t>VLG-30</w:t>
            </w:r>
          </w:p>
        </w:tc>
      </w:tr>
      <w:tr w:rsidR="009A51D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AF7719" w:rsidRDefault="00C46825">
            <w:pPr>
              <w:jc w:val="center"/>
            </w:pPr>
            <w:r>
              <w:t>Night (HB23–06)</w:t>
            </w:r>
          </w:p>
        </w:tc>
        <w:tc>
          <w:tcPr>
            <w:tcW w:w="1440" w:type="dxa"/>
            <w:tcBorders>
              <w:top w:val="nil"/>
              <w:left w:val="nil"/>
              <w:bottom w:val="single" w:sz="4" w:space="0" w:color="808080"/>
              <w:right w:val="single" w:sz="4" w:space="0" w:color="808080"/>
            </w:tcBorders>
            <w:noWrap/>
            <w:vAlign w:val="bottom"/>
          </w:tcPr>
          <w:p w:rsidR="00AF7719" w:rsidRDefault="00C46825">
            <w:pPr>
              <w:jc w:val="center"/>
            </w:pPr>
            <w:r>
              <w:t>VLG-25</w:t>
            </w:r>
          </w:p>
        </w:tc>
        <w:tc>
          <w:tcPr>
            <w:tcW w:w="1482" w:type="dxa"/>
            <w:tcBorders>
              <w:top w:val="nil"/>
              <w:left w:val="nil"/>
              <w:bottom w:val="single" w:sz="4" w:space="0" w:color="808080"/>
              <w:right w:val="single" w:sz="4" w:space="0" w:color="808080"/>
            </w:tcBorders>
            <w:noWrap/>
            <w:vAlign w:val="bottom"/>
          </w:tcPr>
          <w:p w:rsidR="00AF7719" w:rsidRDefault="00C46825">
            <w:pPr>
              <w:jc w:val="center"/>
            </w:pPr>
            <w:r>
              <w:t>VLG-26</w:t>
            </w:r>
          </w:p>
        </w:tc>
        <w:tc>
          <w:tcPr>
            <w:tcW w:w="1560" w:type="dxa"/>
            <w:tcBorders>
              <w:top w:val="nil"/>
              <w:left w:val="nil"/>
              <w:bottom w:val="single" w:sz="4" w:space="0" w:color="808080"/>
              <w:right w:val="single" w:sz="4" w:space="0" w:color="808080"/>
            </w:tcBorders>
            <w:noWrap/>
            <w:vAlign w:val="bottom"/>
          </w:tcPr>
          <w:p w:rsidR="00AF7719" w:rsidRDefault="00C46825">
            <w:pPr>
              <w:jc w:val="center"/>
            </w:pPr>
            <w:r>
              <w:t>VLG-27</w:t>
            </w:r>
          </w:p>
        </w:tc>
        <w:tc>
          <w:tcPr>
            <w:tcW w:w="1624" w:type="dxa"/>
            <w:tcBorders>
              <w:top w:val="nil"/>
              <w:left w:val="nil"/>
              <w:bottom w:val="single" w:sz="4" w:space="0" w:color="808080"/>
              <w:right w:val="single" w:sz="4" w:space="0" w:color="808080"/>
            </w:tcBorders>
            <w:noWrap/>
            <w:vAlign w:val="bottom"/>
          </w:tcPr>
          <w:p w:rsidR="00AF7719" w:rsidRDefault="00C46825">
            <w:pPr>
              <w:jc w:val="center"/>
            </w:pPr>
            <w:r>
              <w:t>VLG-29</w:t>
            </w:r>
          </w:p>
        </w:tc>
      </w:tr>
    </w:tbl>
    <w:p w:rsidR="00AF7719" w:rsidRDefault="00C46825">
      <w:pPr>
        <w:ind w:left="1627"/>
      </w:pPr>
    </w:p>
    <w:p w:rsidR="00AF7719" w:rsidRDefault="00C46825">
      <w:pPr>
        <w:pStyle w:val="Bodypara"/>
      </w:pPr>
      <w:r>
        <w:t>Where:</w:t>
      </w:r>
    </w:p>
    <w:p w:rsidR="00AF7719" w:rsidRDefault="00C46825">
      <w:pPr>
        <w:pStyle w:val="equationtext"/>
      </w:pPr>
      <w:r>
        <w:t>Summer</w:t>
      </w:r>
      <w:r>
        <w:tab/>
      </w:r>
      <w:r>
        <w:tab/>
      </w:r>
      <w:r>
        <w:tab/>
        <w:t>=</w:t>
      </w:r>
      <w:r>
        <w:tab/>
        <w:t xml:space="preserve">May, </w:t>
      </w:r>
      <w:smartTag w:uri="urn:schemas:contacts" w:element="GivenName">
        <w:r>
          <w:t>June</w:t>
        </w:r>
      </w:smartTag>
      <w:r>
        <w:t>, July, and August</w:t>
      </w:r>
    </w:p>
    <w:p w:rsidR="00AF7719" w:rsidRDefault="00C46825">
      <w:pPr>
        <w:pStyle w:val="equationtext"/>
      </w:pPr>
      <w:r>
        <w:t>Winter</w:t>
      </w:r>
      <w:r>
        <w:tab/>
      </w:r>
      <w:r>
        <w:tab/>
      </w:r>
      <w:r>
        <w:tab/>
        <w:t>=</w:t>
      </w:r>
      <w:r>
        <w:tab/>
        <w:t>December, January, and February</w:t>
      </w:r>
    </w:p>
    <w:p w:rsidR="00AF7719" w:rsidRDefault="00C46825">
      <w:pPr>
        <w:pStyle w:val="equationtext"/>
      </w:pPr>
      <w:r>
        <w:t>Rest-of-Year</w:t>
      </w:r>
      <w:r>
        <w:tab/>
      </w:r>
      <w:r>
        <w:tab/>
        <w:t>=</w:t>
      </w:r>
      <w:r>
        <w:tab/>
        <w:t xml:space="preserve">March, </w:t>
      </w:r>
      <w:smartTag w:uri="urn:schemas:contacts" w:element="GivenName">
        <w:r>
          <w:t>April</w:t>
        </w:r>
      </w:smartTag>
      <w:r>
        <w:t>, September, October, and November</w:t>
      </w:r>
    </w:p>
    <w:p w:rsidR="00AF7719" w:rsidRDefault="00C46825">
      <w:pPr>
        <w:pStyle w:val="equationtext"/>
      </w:pPr>
      <w:r>
        <w:t>HB07–10</w:t>
      </w:r>
      <w:r>
        <w:tab/>
      </w:r>
      <w:r>
        <w:tab/>
        <w:t>=</w:t>
      </w:r>
      <w:r>
        <w:tab/>
        <w:t>weekday hours beginning 07:00–10:00</w:t>
      </w:r>
    </w:p>
    <w:p w:rsidR="00AF7719" w:rsidRDefault="00C46825">
      <w:pPr>
        <w:pStyle w:val="equationtext"/>
      </w:pPr>
      <w:r>
        <w:t>HB11–14</w:t>
      </w:r>
      <w:r>
        <w:tab/>
      </w:r>
      <w:r>
        <w:tab/>
        <w:t>=</w:t>
      </w:r>
      <w:r>
        <w:tab/>
        <w:t>weekday hours beginning 11:00–</w:t>
      </w:r>
      <w:r>
        <w:t>14:00</w:t>
      </w:r>
    </w:p>
    <w:p w:rsidR="00AF7719" w:rsidRDefault="00C46825">
      <w:pPr>
        <w:pStyle w:val="equationtext"/>
      </w:pPr>
      <w:r>
        <w:t>HB15–18</w:t>
      </w:r>
      <w:r>
        <w:tab/>
      </w:r>
      <w:r>
        <w:tab/>
        <w:t>=</w:t>
      </w:r>
      <w:r>
        <w:tab/>
        <w:t>weekday hours beginning 15:00–18:00</w:t>
      </w:r>
    </w:p>
    <w:p w:rsidR="00AF7719" w:rsidRDefault="00C46825">
      <w:pPr>
        <w:pStyle w:val="equationtext"/>
      </w:pPr>
      <w:r>
        <w:t>HB19–22</w:t>
      </w:r>
      <w:r>
        <w:tab/>
      </w:r>
      <w:r>
        <w:tab/>
        <w:t>=</w:t>
      </w:r>
      <w:r>
        <w:tab/>
        <w:t>weekday hours beginning 19:00– 22:00</w:t>
      </w:r>
    </w:p>
    <w:p w:rsidR="00AF7719" w:rsidRDefault="00C46825">
      <w:pPr>
        <w:pStyle w:val="equationtext"/>
      </w:pPr>
      <w:r>
        <w:t xml:space="preserve">Weekend/Holiday </w:t>
      </w:r>
      <w:r>
        <w:tab/>
        <w:t>=</w:t>
      </w:r>
      <w:r>
        <w:tab/>
        <w:t>weekend and holiday hours beginning 07:00–22:00</w:t>
      </w:r>
    </w:p>
    <w:p w:rsidR="00AF7719" w:rsidRDefault="00C46825">
      <w:pPr>
        <w:pStyle w:val="equationtext"/>
        <w:rPr>
          <w:ins w:id="23" w:author="Zimberlin, Joy" w:date="2019-06-21T16:26:00Z"/>
        </w:rPr>
      </w:pPr>
      <w:r>
        <w:t>Night</w:t>
      </w:r>
      <w:r>
        <w:tab/>
      </w:r>
      <w:r>
        <w:tab/>
      </w:r>
      <w:r>
        <w:tab/>
        <w:t>=</w:t>
      </w:r>
      <w:r>
        <w:tab/>
        <w:t>all hours beginning 23:00– 06:00</w:t>
      </w:r>
    </w:p>
    <w:p w:rsidR="00AF7719" w:rsidRDefault="00C46825">
      <w:pPr>
        <w:pStyle w:val="equationtext"/>
      </w:pPr>
    </w:p>
    <w:p w:rsidR="00AF7719" w:rsidRDefault="00C46825">
      <w:pPr>
        <w:pStyle w:val="Heading4"/>
      </w:pPr>
      <w:bookmarkStart w:id="24" w:name="_Toc263691842"/>
      <w:r>
        <w:t>26.4.2.7</w:t>
      </w:r>
      <w:r>
        <w:tab/>
      </w:r>
      <w:del w:id="25" w:author="Zimberlin, Joy" w:date="2019-06-21T16:24:00Z">
        <w:r>
          <w:delText>DADRP Component</w:delText>
        </w:r>
      </w:del>
      <w:bookmarkEnd w:id="24"/>
      <w:ins w:id="26" w:author="Zimberlin, Joy" w:date="2019-06-21T16:25:00Z">
        <w:r>
          <w:t xml:space="preserve">Reserved for Future </w:t>
        </w:r>
        <w:r>
          <w:t>Use</w:t>
        </w:r>
      </w:ins>
      <w:r>
        <w:t xml:space="preserve"> </w:t>
      </w:r>
    </w:p>
    <w:p w:rsidR="00AF7719" w:rsidRDefault="00C46825">
      <w:pPr>
        <w:pStyle w:val="Bodypara"/>
      </w:pPr>
      <w:del w:id="27" w:author="Zimberlin, Joy" w:date="2019-06-21T16:25:00Z">
        <w:r>
          <w:delText>The DADRP Component shall be equal to the product of:  (i)  the Demand Reduction Provider’s monthly average of MWh of accepted Demand Reduction Bids during the prior summer Capability Period or, where the Demand Reduction Provider does not have a hist</w:delText>
        </w:r>
        <w:r>
          <w:delText>ory of accepted Demand Reduction bids, a projected monthly average of the Demand Reduction Provider’s accepted Demand Reduction bids; (ii) the average Day-Ahead LBMP at the NYISO Reference Bus during the prior summer Capability Period; (iii) twenty percent</w:delText>
        </w:r>
        <w:r>
          <w:delText xml:space="preserve"> (20%); and (iv) a factor of four (4).  The ISO shall adjust the amount of Unsecured Credit and/or collateral that a Demand Reduction Provider is required to provide whenever the DADRP Component increases or decreases by ten percent (10%) or more.</w:delText>
        </w:r>
      </w:del>
    </w:p>
    <w:p w:rsidR="00AF7719" w:rsidRDefault="00C46825">
      <w:pPr>
        <w:pStyle w:val="Heading4"/>
      </w:pPr>
      <w:bookmarkStart w:id="28" w:name="_Toc263691843"/>
      <w:r>
        <w:t>26.4.2.8</w:t>
      </w:r>
      <w:r>
        <w:tab/>
      </w:r>
      <w:del w:id="29" w:author="Zimberlin, Joy" w:date="2019-06-21T16:25:00Z">
        <w:r>
          <w:delText>DSASP Component</w:delText>
        </w:r>
      </w:del>
      <w:bookmarkEnd w:id="28"/>
      <w:ins w:id="30" w:author="Zimberlin, Joy" w:date="2019-06-21T16:25:00Z">
        <w:r>
          <w:t>Reserved for Future Use</w:t>
        </w:r>
      </w:ins>
      <w:r>
        <w:t xml:space="preserve">  </w:t>
      </w:r>
    </w:p>
    <w:p w:rsidR="00AF7719" w:rsidRDefault="00C46825">
      <w:pPr>
        <w:pStyle w:val="Bodypara"/>
        <w:rPr>
          <w:del w:id="31" w:author="Zimberlin, Joy" w:date="2019-06-21T16:25:00Z"/>
        </w:rPr>
      </w:pPr>
      <w:del w:id="32" w:author="Zimberlin, Joy" w:date="2019-06-21T16:25:00Z">
        <w:r>
          <w:delText>The DSASP Component is calculated every two months based on the Demand Side Resource’s Operating Capacity available for the scheduling of such services, the delta between the Day-Ahead and hourly market clearing pr</w:delText>
        </w:r>
        <w:r>
          <w:delText>ices for such products in the like two-month period of the previous year, and the location of the Demand Side Resource.  Resources located East of Central-East shall pay the Eastern reserves credit support requirement and Resources located West of Central-</w:delText>
        </w:r>
        <w:r>
          <w:delText xml:space="preserve">East shall pay the Western reserves credit support requirement.  The DSASP Component shall be equal to: </w:delText>
        </w:r>
        <w:r>
          <w:tab/>
        </w:r>
      </w:del>
    </w:p>
    <w:p w:rsidR="00AF7719" w:rsidRDefault="00C46825">
      <w:pPr>
        <w:pStyle w:val="alphapara"/>
        <w:rPr>
          <w:del w:id="33" w:author="Zimberlin, Joy" w:date="2019-06-21T16:25:00Z"/>
        </w:rPr>
      </w:pPr>
      <w:del w:id="34" w:author="Zimberlin, Joy" w:date="2019-06-21T16:25:00Z">
        <w:r>
          <w:delText>(a)</w:delText>
        </w:r>
        <w:r>
          <w:tab/>
          <w:delText>For Demand Side Resources eligible to offer only Operating Reserves, the product of (i) the maximum hourly Operating Capacity (MW) for which the D</w:delText>
        </w:r>
        <w:r>
          <w:delText>emand Side Resource may be scheduled to provide Operating Reserves, (ii) the amount of Eastern or Western reserves credit support, as appropriate, in $/MW per day, and (iii) three (3) days.</w:delText>
        </w:r>
      </w:del>
    </w:p>
    <w:p w:rsidR="00AF7719" w:rsidRDefault="00C46825">
      <w:pPr>
        <w:pStyle w:val="alphapara"/>
        <w:rPr>
          <w:del w:id="35" w:author="Cutting, John" w:date="2019-06-07T09:27:00Z"/>
        </w:rPr>
      </w:pPr>
      <w:del w:id="36" w:author="Cutting, John" w:date="2019-06-07T09:27:00Z">
        <w:r>
          <w:delText>Where:</w:delText>
        </w:r>
      </w:del>
    </w:p>
    <w:tbl>
      <w:tblPr>
        <w:tblW w:w="0" w:type="auto"/>
        <w:tblLayout w:type="fixed"/>
        <w:tblLook w:val="01E0" w:firstRow="1" w:lastRow="1" w:firstColumn="1" w:lastColumn="1" w:noHBand="0" w:noVBand="0"/>
      </w:tblPr>
      <w:tblGrid>
        <w:gridCol w:w="3708"/>
        <w:gridCol w:w="540"/>
        <w:gridCol w:w="5328"/>
      </w:tblGrid>
      <w:tr w:rsidR="009A51D5">
        <w:trPr>
          <w:del w:id="37" w:author="Zimberlin, Joy" w:date="2019-06-21T16:26:00Z"/>
        </w:trPr>
        <w:tc>
          <w:tcPr>
            <w:tcW w:w="3708" w:type="dxa"/>
          </w:tcPr>
          <w:p w:rsidR="00AF7719" w:rsidRDefault="00C46825">
            <w:pPr>
              <w:autoSpaceDE w:val="0"/>
              <w:autoSpaceDN w:val="0"/>
              <w:adjustRightInd w:val="0"/>
              <w:rPr>
                <w:del w:id="38" w:author="Zimberlin, Joy" w:date="2019-06-21T16:26:00Z"/>
              </w:rPr>
            </w:pPr>
            <w:del w:id="39" w:author="Zimberlin, Joy" w:date="2019-06-21T16:26:00Z">
              <w:r>
                <w:delText>The amount of Eastern reserves credit support ($/MW/day) fo</w:delText>
              </w:r>
              <w:r>
                <w:delText>r   each two-month period</w:delText>
              </w:r>
            </w:del>
          </w:p>
        </w:tc>
        <w:tc>
          <w:tcPr>
            <w:tcW w:w="540" w:type="dxa"/>
          </w:tcPr>
          <w:p w:rsidR="00AF7719" w:rsidRDefault="00C46825">
            <w:pPr>
              <w:autoSpaceDE w:val="0"/>
              <w:autoSpaceDN w:val="0"/>
              <w:adjustRightInd w:val="0"/>
              <w:rPr>
                <w:del w:id="40" w:author="Zimberlin, Joy" w:date="2019-06-21T16:26:00Z"/>
              </w:rPr>
            </w:pPr>
            <w:del w:id="41" w:author="Zimberlin, Joy" w:date="2019-06-21T16:26:00Z">
              <w:r>
                <w:delText>=</w:delText>
              </w:r>
            </w:del>
          </w:p>
        </w:tc>
        <w:tc>
          <w:tcPr>
            <w:tcW w:w="5328" w:type="dxa"/>
          </w:tcPr>
          <w:p w:rsidR="00AF7719" w:rsidRDefault="00C46825">
            <w:pPr>
              <w:autoSpaceDE w:val="0"/>
              <w:autoSpaceDN w:val="0"/>
              <w:adjustRightInd w:val="0"/>
              <w:rPr>
                <w:del w:id="42" w:author="Zimberlin, Joy" w:date="2019-06-21T16:26:00Z"/>
              </w:rPr>
            </w:pPr>
            <w:del w:id="43" w:author="Zimberlin, Joy" w:date="2019-06-21T16:26:00Z">
              <w:r>
                <w:delText>Eastern Price Differential for the same two-month period in the previous year  * the higher of two (2) or the maximum number of daily Reserve Activations for the same two-month period in the previous year</w:delText>
              </w:r>
            </w:del>
          </w:p>
          <w:p w:rsidR="00AF7719" w:rsidRDefault="00C46825">
            <w:pPr>
              <w:autoSpaceDE w:val="0"/>
              <w:autoSpaceDN w:val="0"/>
              <w:adjustRightInd w:val="0"/>
              <w:rPr>
                <w:del w:id="44" w:author="Zimberlin, Joy" w:date="2019-06-21T16:26:00Z"/>
              </w:rPr>
            </w:pPr>
          </w:p>
        </w:tc>
      </w:tr>
      <w:tr w:rsidR="009A51D5">
        <w:trPr>
          <w:del w:id="45" w:author="Zimberlin, Joy" w:date="2019-06-21T16:26:00Z"/>
        </w:trPr>
        <w:tc>
          <w:tcPr>
            <w:tcW w:w="3708" w:type="dxa"/>
          </w:tcPr>
          <w:p w:rsidR="00AF7719" w:rsidRDefault="00C46825">
            <w:pPr>
              <w:autoSpaceDE w:val="0"/>
              <w:autoSpaceDN w:val="0"/>
              <w:adjustRightInd w:val="0"/>
              <w:rPr>
                <w:del w:id="46" w:author="Zimberlin, Joy" w:date="2019-06-21T16:26:00Z"/>
              </w:rPr>
            </w:pPr>
            <w:del w:id="47" w:author="Zimberlin, Joy" w:date="2019-06-21T16:26:00Z">
              <w:r>
                <w:delText>The amount of Western</w:delText>
              </w:r>
              <w:r>
                <w:delText xml:space="preserve"> reserves credit support ($/MW/day) for   each two-month period</w:delText>
              </w:r>
            </w:del>
          </w:p>
        </w:tc>
        <w:tc>
          <w:tcPr>
            <w:tcW w:w="540" w:type="dxa"/>
          </w:tcPr>
          <w:p w:rsidR="00AF7719" w:rsidRDefault="00C46825">
            <w:pPr>
              <w:autoSpaceDE w:val="0"/>
              <w:autoSpaceDN w:val="0"/>
              <w:adjustRightInd w:val="0"/>
              <w:rPr>
                <w:del w:id="48" w:author="Zimberlin, Joy" w:date="2019-06-21T16:26:00Z"/>
              </w:rPr>
            </w:pPr>
            <w:del w:id="49" w:author="Zimberlin, Joy" w:date="2019-06-21T16:26:00Z">
              <w:r>
                <w:delText>=</w:delText>
              </w:r>
            </w:del>
          </w:p>
        </w:tc>
        <w:tc>
          <w:tcPr>
            <w:tcW w:w="5328" w:type="dxa"/>
          </w:tcPr>
          <w:p w:rsidR="00AF7719" w:rsidRDefault="00C46825">
            <w:pPr>
              <w:autoSpaceDE w:val="0"/>
              <w:autoSpaceDN w:val="0"/>
              <w:adjustRightInd w:val="0"/>
              <w:rPr>
                <w:del w:id="50" w:author="Zimberlin, Joy" w:date="2019-06-21T16:26:00Z"/>
              </w:rPr>
            </w:pPr>
            <w:del w:id="51" w:author="Zimberlin, Joy" w:date="2019-06-21T16:26:00Z">
              <w:r>
                <w:delText>Western Price Differential for the same two-month period in the previous year   * the higher of two (2) or the maximum number of daily Reserve Activations for the same two-month period in th</w:delText>
              </w:r>
              <w:r>
                <w:delText>e previous year</w:delText>
              </w:r>
            </w:del>
          </w:p>
          <w:p w:rsidR="00AF7719" w:rsidRDefault="00C46825">
            <w:pPr>
              <w:autoSpaceDE w:val="0"/>
              <w:autoSpaceDN w:val="0"/>
              <w:adjustRightInd w:val="0"/>
              <w:rPr>
                <w:del w:id="52" w:author="Zimberlin, Joy" w:date="2019-06-21T16:26:00Z"/>
              </w:rPr>
            </w:pPr>
          </w:p>
        </w:tc>
      </w:tr>
      <w:tr w:rsidR="009A51D5">
        <w:trPr>
          <w:del w:id="53" w:author="Zimberlin, Joy" w:date="2019-06-21T16:26:00Z"/>
        </w:trPr>
        <w:tc>
          <w:tcPr>
            <w:tcW w:w="3708" w:type="dxa"/>
          </w:tcPr>
          <w:p w:rsidR="00AF7719" w:rsidRDefault="00C46825">
            <w:pPr>
              <w:autoSpaceDE w:val="0"/>
              <w:autoSpaceDN w:val="0"/>
              <w:adjustRightInd w:val="0"/>
              <w:rPr>
                <w:del w:id="54" w:author="Zimberlin, Joy" w:date="2019-06-21T16:26:00Z"/>
              </w:rPr>
            </w:pPr>
            <w:del w:id="55" w:author="Zimberlin, Joy" w:date="2019-06-21T16:26:00Z">
              <w:r>
                <w:delText>Two-month periods:</w:delText>
              </w:r>
            </w:del>
          </w:p>
        </w:tc>
        <w:tc>
          <w:tcPr>
            <w:tcW w:w="540" w:type="dxa"/>
          </w:tcPr>
          <w:p w:rsidR="00AF7719" w:rsidRDefault="00C46825">
            <w:pPr>
              <w:autoSpaceDE w:val="0"/>
              <w:autoSpaceDN w:val="0"/>
              <w:adjustRightInd w:val="0"/>
              <w:rPr>
                <w:del w:id="56" w:author="Zimberlin, Joy" w:date="2019-06-21T16:26:00Z"/>
              </w:rPr>
            </w:pPr>
            <w:del w:id="57" w:author="Zimberlin, Joy" w:date="2019-06-21T16:26:00Z">
              <w:r>
                <w:delText>=</w:delText>
              </w:r>
            </w:del>
          </w:p>
        </w:tc>
        <w:tc>
          <w:tcPr>
            <w:tcW w:w="5328" w:type="dxa"/>
          </w:tcPr>
          <w:p w:rsidR="00AF7719" w:rsidRDefault="00C46825">
            <w:pPr>
              <w:autoSpaceDE w:val="0"/>
              <w:autoSpaceDN w:val="0"/>
              <w:adjustRightInd w:val="0"/>
              <w:rPr>
                <w:del w:id="58" w:author="Zimberlin, Joy" w:date="2019-06-21T16:26:00Z"/>
              </w:rPr>
            </w:pPr>
            <w:del w:id="59" w:author="Zimberlin, Joy" w:date="2019-06-21T16:26:00Z">
              <w:r>
                <w:delText>January and February</w:delText>
              </w:r>
            </w:del>
          </w:p>
          <w:p w:rsidR="00AF7719" w:rsidRDefault="00C46825">
            <w:pPr>
              <w:autoSpaceDE w:val="0"/>
              <w:autoSpaceDN w:val="0"/>
              <w:adjustRightInd w:val="0"/>
              <w:rPr>
                <w:del w:id="60" w:author="Zimberlin, Joy" w:date="2019-06-21T16:26:00Z"/>
              </w:rPr>
            </w:pPr>
            <w:del w:id="61" w:author="Zimberlin, Joy" w:date="2019-06-21T16:26:00Z">
              <w:r>
                <w:delText>March and April</w:delText>
              </w:r>
            </w:del>
          </w:p>
          <w:p w:rsidR="00AF7719" w:rsidRDefault="00C46825">
            <w:pPr>
              <w:autoSpaceDE w:val="0"/>
              <w:autoSpaceDN w:val="0"/>
              <w:adjustRightInd w:val="0"/>
              <w:rPr>
                <w:del w:id="62" w:author="Zimberlin, Joy" w:date="2019-06-21T16:26:00Z"/>
              </w:rPr>
            </w:pPr>
            <w:del w:id="63" w:author="Zimberlin, Joy" w:date="2019-06-21T16:26:00Z">
              <w:r>
                <w:delText>May and June</w:delText>
              </w:r>
            </w:del>
          </w:p>
          <w:p w:rsidR="00AF7719" w:rsidRDefault="00C46825">
            <w:pPr>
              <w:autoSpaceDE w:val="0"/>
              <w:autoSpaceDN w:val="0"/>
              <w:adjustRightInd w:val="0"/>
              <w:rPr>
                <w:del w:id="64" w:author="Zimberlin, Joy" w:date="2019-06-21T16:26:00Z"/>
              </w:rPr>
            </w:pPr>
            <w:del w:id="65" w:author="Zimberlin, Joy" w:date="2019-06-21T16:26:00Z">
              <w:r>
                <w:delText>July and August</w:delText>
              </w:r>
            </w:del>
          </w:p>
          <w:p w:rsidR="00AF7719" w:rsidRDefault="00C46825">
            <w:pPr>
              <w:autoSpaceDE w:val="0"/>
              <w:autoSpaceDN w:val="0"/>
              <w:adjustRightInd w:val="0"/>
              <w:rPr>
                <w:del w:id="66" w:author="Zimberlin, Joy" w:date="2019-06-21T16:26:00Z"/>
              </w:rPr>
            </w:pPr>
            <w:del w:id="67" w:author="Zimberlin, Joy" w:date="2019-06-21T16:26:00Z">
              <w:r>
                <w:delText>September and October</w:delText>
              </w:r>
            </w:del>
          </w:p>
          <w:p w:rsidR="00AF7719" w:rsidRDefault="00C46825">
            <w:pPr>
              <w:autoSpaceDE w:val="0"/>
              <w:autoSpaceDN w:val="0"/>
              <w:adjustRightInd w:val="0"/>
              <w:rPr>
                <w:del w:id="68" w:author="Zimberlin, Joy" w:date="2019-06-21T16:26:00Z"/>
              </w:rPr>
            </w:pPr>
            <w:del w:id="69" w:author="Zimberlin, Joy" w:date="2019-06-21T16:26:00Z">
              <w:r>
                <w:delText>November and December</w:delText>
              </w:r>
            </w:del>
          </w:p>
          <w:p w:rsidR="00AF7719" w:rsidRDefault="00C46825">
            <w:pPr>
              <w:autoSpaceDE w:val="0"/>
              <w:autoSpaceDN w:val="0"/>
              <w:adjustRightInd w:val="0"/>
              <w:rPr>
                <w:del w:id="70" w:author="Zimberlin, Joy" w:date="2019-06-21T16:26:00Z"/>
              </w:rPr>
            </w:pPr>
          </w:p>
        </w:tc>
      </w:tr>
      <w:tr w:rsidR="009A51D5">
        <w:trPr>
          <w:del w:id="71" w:author="Zimberlin, Joy" w:date="2019-06-21T16:26:00Z"/>
        </w:trPr>
        <w:tc>
          <w:tcPr>
            <w:tcW w:w="3708" w:type="dxa"/>
          </w:tcPr>
          <w:p w:rsidR="00AF7719" w:rsidRDefault="00C46825">
            <w:pPr>
              <w:autoSpaceDE w:val="0"/>
              <w:autoSpaceDN w:val="0"/>
              <w:adjustRightInd w:val="0"/>
              <w:rPr>
                <w:del w:id="72" w:author="Zimberlin, Joy" w:date="2019-06-21T16:26:00Z"/>
                <w:vertAlign w:val="subscript"/>
              </w:rPr>
            </w:pPr>
            <w:del w:id="73" w:author="Zimberlin, Joy" w:date="2019-06-21T16:26:00Z">
              <w:r>
                <w:delText>MCP</w:delText>
              </w:r>
              <w:r>
                <w:rPr>
                  <w:vertAlign w:val="subscript"/>
                </w:rPr>
                <w:delText>SRh</w:delText>
              </w:r>
            </w:del>
          </w:p>
        </w:tc>
        <w:tc>
          <w:tcPr>
            <w:tcW w:w="540" w:type="dxa"/>
          </w:tcPr>
          <w:p w:rsidR="00AF7719" w:rsidRDefault="00C46825">
            <w:pPr>
              <w:autoSpaceDE w:val="0"/>
              <w:autoSpaceDN w:val="0"/>
              <w:adjustRightInd w:val="0"/>
              <w:rPr>
                <w:del w:id="74" w:author="Zimberlin, Joy" w:date="2019-06-21T16:26:00Z"/>
              </w:rPr>
            </w:pPr>
            <w:del w:id="75" w:author="Zimberlin, Joy" w:date="2019-06-21T16:26:00Z">
              <w:r>
                <w:delText>=</w:delText>
              </w:r>
            </w:del>
          </w:p>
        </w:tc>
        <w:tc>
          <w:tcPr>
            <w:tcW w:w="5328" w:type="dxa"/>
          </w:tcPr>
          <w:p w:rsidR="00AF7719" w:rsidRDefault="00C46825">
            <w:pPr>
              <w:autoSpaceDE w:val="0"/>
              <w:autoSpaceDN w:val="0"/>
              <w:adjustRightInd w:val="0"/>
              <w:rPr>
                <w:del w:id="76" w:author="Zimberlin, Joy" w:date="2019-06-21T16:26:00Z"/>
              </w:rPr>
            </w:pPr>
            <w:del w:id="77" w:author="Zimberlin, Joy" w:date="2019-06-21T16:26:00Z">
              <w:r>
                <w:delText>Hourly, time-weighted Market Clearing Price for Spinning Reserves</w:delText>
              </w:r>
            </w:del>
          </w:p>
          <w:p w:rsidR="00AF7719" w:rsidRDefault="00C46825">
            <w:pPr>
              <w:autoSpaceDE w:val="0"/>
              <w:autoSpaceDN w:val="0"/>
              <w:adjustRightInd w:val="0"/>
              <w:rPr>
                <w:del w:id="78" w:author="Zimberlin, Joy" w:date="2019-06-21T16:26:00Z"/>
              </w:rPr>
            </w:pPr>
          </w:p>
        </w:tc>
      </w:tr>
      <w:tr w:rsidR="009A51D5">
        <w:trPr>
          <w:del w:id="79" w:author="Zimberlin, Joy" w:date="2019-06-21T16:26:00Z"/>
        </w:trPr>
        <w:tc>
          <w:tcPr>
            <w:tcW w:w="3708" w:type="dxa"/>
          </w:tcPr>
          <w:p w:rsidR="00AF7719" w:rsidRDefault="00C46825">
            <w:pPr>
              <w:autoSpaceDE w:val="0"/>
              <w:autoSpaceDN w:val="0"/>
              <w:adjustRightInd w:val="0"/>
              <w:rPr>
                <w:del w:id="80" w:author="Zimberlin, Joy" w:date="2019-06-21T16:26:00Z"/>
              </w:rPr>
            </w:pPr>
            <w:del w:id="81" w:author="Zimberlin, Joy" w:date="2019-06-21T16:26:00Z">
              <w:r>
                <w:delText>Eastern Price Differential</w:delText>
              </w:r>
            </w:del>
          </w:p>
        </w:tc>
        <w:tc>
          <w:tcPr>
            <w:tcW w:w="540" w:type="dxa"/>
          </w:tcPr>
          <w:p w:rsidR="00AF7719" w:rsidRDefault="00C46825">
            <w:pPr>
              <w:autoSpaceDE w:val="0"/>
              <w:autoSpaceDN w:val="0"/>
              <w:adjustRightInd w:val="0"/>
              <w:rPr>
                <w:del w:id="82" w:author="Zimberlin, Joy" w:date="2019-06-21T16:26:00Z"/>
              </w:rPr>
            </w:pPr>
            <w:del w:id="83" w:author="Zimberlin, Joy" w:date="2019-06-21T16:26:00Z">
              <w:r>
                <w:delText>=</w:delText>
              </w:r>
            </w:del>
          </w:p>
        </w:tc>
        <w:tc>
          <w:tcPr>
            <w:tcW w:w="5328" w:type="dxa"/>
          </w:tcPr>
          <w:p w:rsidR="00AF7719" w:rsidRDefault="00C46825">
            <w:pPr>
              <w:autoSpaceDE w:val="0"/>
              <w:autoSpaceDN w:val="0"/>
              <w:adjustRightInd w:val="0"/>
              <w:rPr>
                <w:del w:id="84" w:author="Zimberlin, Joy" w:date="2019-06-21T16:26:00Z"/>
              </w:rPr>
            </w:pPr>
            <w:del w:id="85" w:author="Zimberlin, Joy" w:date="2019-06-21T16:26:00Z">
              <w:r>
                <w:delText>The hourly differential at the 97</w:delText>
              </w:r>
              <w:r>
                <w:rPr>
                  <w:vertAlign w:val="superscript"/>
                </w:rPr>
                <w:delText>th</w:delText>
              </w:r>
              <w:r>
                <w:delText xml:space="preserve"> percentile of all hourly differentials between the Day-Ahead and Real-Time MCPSRh for Eastern Spinning Reserves for hours in the two-month period of the previous year when the Real-Time MCPSRh for Eastern Spinning Reser</w:delText>
              </w:r>
              <w:r>
                <w:delText>ves exceeded the Day-Ahead MCPSRh for Eastern Spinning Reserves</w:delText>
              </w:r>
            </w:del>
          </w:p>
          <w:p w:rsidR="00AF7719" w:rsidRDefault="00C46825">
            <w:pPr>
              <w:autoSpaceDE w:val="0"/>
              <w:autoSpaceDN w:val="0"/>
              <w:adjustRightInd w:val="0"/>
              <w:rPr>
                <w:del w:id="86" w:author="Zimberlin, Joy" w:date="2019-06-21T16:26:00Z"/>
              </w:rPr>
            </w:pPr>
          </w:p>
        </w:tc>
      </w:tr>
      <w:tr w:rsidR="009A51D5">
        <w:trPr>
          <w:del w:id="87" w:author="Zimberlin, Joy" w:date="2019-06-21T16:26:00Z"/>
        </w:trPr>
        <w:tc>
          <w:tcPr>
            <w:tcW w:w="3708" w:type="dxa"/>
          </w:tcPr>
          <w:p w:rsidR="00AF7719" w:rsidRDefault="00C46825">
            <w:pPr>
              <w:autoSpaceDE w:val="0"/>
              <w:autoSpaceDN w:val="0"/>
              <w:adjustRightInd w:val="0"/>
              <w:rPr>
                <w:del w:id="88" w:author="Zimberlin, Joy" w:date="2019-06-21T16:26:00Z"/>
              </w:rPr>
            </w:pPr>
            <w:del w:id="89" w:author="Zimberlin, Joy" w:date="2019-06-21T16:26:00Z">
              <w:r>
                <w:delText>Western Price Differential</w:delText>
              </w:r>
            </w:del>
          </w:p>
        </w:tc>
        <w:tc>
          <w:tcPr>
            <w:tcW w:w="540" w:type="dxa"/>
          </w:tcPr>
          <w:p w:rsidR="00AF7719" w:rsidRDefault="00C46825">
            <w:pPr>
              <w:autoSpaceDE w:val="0"/>
              <w:autoSpaceDN w:val="0"/>
              <w:adjustRightInd w:val="0"/>
              <w:rPr>
                <w:del w:id="90" w:author="Zimberlin, Joy" w:date="2019-06-21T16:26:00Z"/>
              </w:rPr>
            </w:pPr>
            <w:del w:id="91" w:author="Zimberlin, Joy" w:date="2019-06-21T16:26:00Z">
              <w:r>
                <w:delText>=</w:delText>
              </w:r>
            </w:del>
          </w:p>
        </w:tc>
        <w:tc>
          <w:tcPr>
            <w:tcW w:w="5328" w:type="dxa"/>
          </w:tcPr>
          <w:p w:rsidR="00AF7719" w:rsidRDefault="00C46825">
            <w:pPr>
              <w:autoSpaceDE w:val="0"/>
              <w:autoSpaceDN w:val="0"/>
              <w:adjustRightInd w:val="0"/>
              <w:rPr>
                <w:del w:id="92" w:author="Zimberlin, Joy" w:date="2019-06-21T16:26:00Z"/>
              </w:rPr>
            </w:pPr>
            <w:del w:id="93" w:author="Zimberlin, Joy" w:date="2019-06-21T16:26:00Z">
              <w:r>
                <w:delText>The hourly differential at the 97</w:delText>
              </w:r>
              <w:r>
                <w:rPr>
                  <w:vertAlign w:val="superscript"/>
                </w:rPr>
                <w:delText>th</w:delText>
              </w:r>
              <w:r>
                <w:delText xml:space="preserve"> percentile of all hourly differentials between the Day-Ahead and Real-Time MCPsSRh for Western Spinning Reserves for hours in</w:delText>
              </w:r>
              <w:r>
                <w:delText xml:space="preserve"> the two-month period of the previous year when the Real-Time MCPSRh for Western Spinning Reserves exceeded the Day-Ahead MCPSRh for Western Spinning Reserves</w:delText>
              </w:r>
            </w:del>
          </w:p>
          <w:p w:rsidR="00AF7719" w:rsidRDefault="00C46825">
            <w:pPr>
              <w:autoSpaceDE w:val="0"/>
              <w:autoSpaceDN w:val="0"/>
              <w:adjustRightInd w:val="0"/>
              <w:rPr>
                <w:del w:id="94" w:author="Zimberlin, Joy" w:date="2019-06-21T16:26:00Z"/>
              </w:rPr>
            </w:pPr>
          </w:p>
        </w:tc>
      </w:tr>
      <w:tr w:rsidR="009A51D5">
        <w:trPr>
          <w:del w:id="95" w:author="Zimberlin, Joy" w:date="2019-06-21T16:26:00Z"/>
        </w:trPr>
        <w:tc>
          <w:tcPr>
            <w:tcW w:w="3708" w:type="dxa"/>
          </w:tcPr>
          <w:p w:rsidR="00AF7719" w:rsidRDefault="00C46825">
            <w:pPr>
              <w:autoSpaceDE w:val="0"/>
              <w:autoSpaceDN w:val="0"/>
              <w:adjustRightInd w:val="0"/>
              <w:rPr>
                <w:del w:id="96" w:author="Zimberlin, Joy" w:date="2019-06-21T16:26:00Z"/>
              </w:rPr>
            </w:pPr>
            <w:del w:id="97" w:author="Zimberlin, Joy" w:date="2019-06-21T16:26:00Z">
              <w:r>
                <w:delText>Reserve Activations</w:delText>
              </w:r>
            </w:del>
          </w:p>
        </w:tc>
        <w:tc>
          <w:tcPr>
            <w:tcW w:w="540" w:type="dxa"/>
          </w:tcPr>
          <w:p w:rsidR="00AF7719" w:rsidRDefault="00C46825">
            <w:pPr>
              <w:autoSpaceDE w:val="0"/>
              <w:autoSpaceDN w:val="0"/>
              <w:adjustRightInd w:val="0"/>
              <w:rPr>
                <w:del w:id="98" w:author="Zimberlin, Joy" w:date="2019-06-21T16:26:00Z"/>
              </w:rPr>
            </w:pPr>
            <w:del w:id="99" w:author="Zimberlin, Joy" w:date="2019-06-21T16:26:00Z">
              <w:r>
                <w:delText>=</w:delText>
              </w:r>
            </w:del>
          </w:p>
        </w:tc>
        <w:tc>
          <w:tcPr>
            <w:tcW w:w="5328" w:type="dxa"/>
          </w:tcPr>
          <w:p w:rsidR="00AF7719" w:rsidRDefault="00C46825">
            <w:pPr>
              <w:autoSpaceDE w:val="0"/>
              <w:autoSpaceDN w:val="0"/>
              <w:adjustRightInd w:val="0"/>
              <w:rPr>
                <w:del w:id="100" w:author="Zimberlin, Joy" w:date="2019-06-21T16:26:00Z"/>
                <w:rFonts w:ascii="Tms Rmn" w:hAnsi="Tms Rmn" w:cs="Tms Rmn"/>
              </w:rPr>
            </w:pPr>
            <w:del w:id="101" w:author="Zimberlin, Joy" w:date="2019-06-21T16:26:00Z">
              <w:r>
                <w:delText>The number of reserve activations at the 97th percentile of daily reserve activations for days in each two month period of the previous year that had reserve activations.</w:delText>
              </w:r>
            </w:del>
          </w:p>
        </w:tc>
      </w:tr>
    </w:tbl>
    <w:p w:rsidR="00AF7719" w:rsidRDefault="00C46825">
      <w:pPr>
        <w:pStyle w:val="alphapara"/>
        <w:rPr>
          <w:del w:id="102" w:author="Cutting, John" w:date="2019-06-07T09:27:00Z"/>
        </w:rPr>
      </w:pPr>
    </w:p>
    <w:p w:rsidR="00AF7719" w:rsidRDefault="00C46825">
      <w:pPr>
        <w:pStyle w:val="alphapara"/>
        <w:rPr>
          <w:del w:id="103" w:author="Cutting, John" w:date="2019-06-07T09:27:00Z"/>
          <w:b/>
        </w:rPr>
      </w:pPr>
      <w:del w:id="104" w:author="Cutting, John" w:date="2019-06-07T09:27:00Z">
        <w:r>
          <w:delText>(b)</w:delText>
        </w:r>
        <w:r>
          <w:tab/>
          <w:delText>For Demand Side Resources eligible to offer only Regulation Service, or Operati</w:delText>
        </w:r>
        <w:r>
          <w:delText>ng Reserves and Regulation Service, the product of (i) the maximum hourly Operating Capacity (MW) for which the Demand Side Resource may be scheduled to provide Regulation Service and Operating Reserves, (ii) the amount of regulation credit support, as app</w:delText>
        </w:r>
        <w:r>
          <w:delText>ropriate, in $/MW per day, and (iii) three (3) days.</w:delText>
        </w:r>
      </w:del>
    </w:p>
    <w:p w:rsidR="00AF7719" w:rsidRDefault="00C46825">
      <w:pPr>
        <w:pStyle w:val="Bodypara"/>
      </w:pPr>
      <w:del w:id="105" w:author="Cutting, John" w:date="2019-06-07T09:27:00Z">
        <w:r>
          <w:delText>Where:</w:delText>
        </w:r>
      </w:del>
    </w:p>
    <w:tbl>
      <w:tblPr>
        <w:tblW w:w="8370" w:type="dxa"/>
        <w:tblInd w:w="648" w:type="dxa"/>
        <w:tblLook w:val="01E0" w:firstRow="1" w:lastRow="1" w:firstColumn="1" w:lastColumn="1" w:noHBand="0" w:noVBand="0"/>
      </w:tblPr>
      <w:tblGrid>
        <w:gridCol w:w="3060"/>
        <w:gridCol w:w="720"/>
        <w:gridCol w:w="4590"/>
      </w:tblGrid>
      <w:tr w:rsidR="009A51D5">
        <w:trPr>
          <w:del w:id="106" w:author="Zimberlin, Joy" w:date="2019-06-21T16:26:00Z"/>
        </w:trPr>
        <w:tc>
          <w:tcPr>
            <w:tcW w:w="3060" w:type="dxa"/>
          </w:tcPr>
          <w:p w:rsidR="00AF7719" w:rsidRDefault="00C46825">
            <w:pPr>
              <w:autoSpaceDE w:val="0"/>
              <w:autoSpaceDN w:val="0"/>
              <w:adjustRightInd w:val="0"/>
              <w:rPr>
                <w:del w:id="107" w:author="Zimberlin, Joy" w:date="2019-06-21T16:26:00Z"/>
              </w:rPr>
            </w:pPr>
            <w:del w:id="108" w:author="Zimberlin, Joy" w:date="2019-06-21T16:26:00Z">
              <w:r>
                <w:delText>The amount of regulation credit support ($/MW/day) for   each two-month period</w:delText>
              </w:r>
            </w:del>
          </w:p>
          <w:p w:rsidR="00AF7719" w:rsidRDefault="00C46825">
            <w:pPr>
              <w:autoSpaceDE w:val="0"/>
              <w:autoSpaceDN w:val="0"/>
              <w:adjustRightInd w:val="0"/>
              <w:rPr>
                <w:del w:id="109" w:author="Zimberlin, Joy" w:date="2019-06-21T16:26:00Z"/>
              </w:rPr>
            </w:pPr>
          </w:p>
        </w:tc>
        <w:tc>
          <w:tcPr>
            <w:tcW w:w="720" w:type="dxa"/>
          </w:tcPr>
          <w:p w:rsidR="00AF7719" w:rsidRDefault="00C46825">
            <w:pPr>
              <w:autoSpaceDE w:val="0"/>
              <w:autoSpaceDN w:val="0"/>
              <w:adjustRightInd w:val="0"/>
              <w:rPr>
                <w:del w:id="110" w:author="Zimberlin, Joy" w:date="2019-06-21T16:26:00Z"/>
              </w:rPr>
            </w:pPr>
            <w:del w:id="111" w:author="Zimberlin, Joy" w:date="2019-06-21T16:26:00Z">
              <w:r>
                <w:delText>=</w:delText>
              </w:r>
            </w:del>
          </w:p>
        </w:tc>
        <w:tc>
          <w:tcPr>
            <w:tcW w:w="4590" w:type="dxa"/>
          </w:tcPr>
          <w:p w:rsidR="00AF7719" w:rsidRDefault="00C46825">
            <w:pPr>
              <w:autoSpaceDE w:val="0"/>
              <w:autoSpaceDN w:val="0"/>
              <w:adjustRightInd w:val="0"/>
              <w:ind w:left="-18"/>
              <w:rPr>
                <w:del w:id="112" w:author="Zimberlin, Joy" w:date="2019-06-21T16:26:00Z"/>
              </w:rPr>
            </w:pPr>
            <w:del w:id="113" w:author="Zimberlin, Joy" w:date="2019-06-21T16:26:00Z">
              <w:r>
                <w:delText>Price Differential for the same two-month period in the previous year  *  24 hours</w:delText>
              </w:r>
            </w:del>
          </w:p>
        </w:tc>
      </w:tr>
      <w:tr w:rsidR="009A51D5">
        <w:trPr>
          <w:del w:id="114" w:author="Zimberlin, Joy" w:date="2019-06-21T16:26:00Z"/>
        </w:trPr>
        <w:tc>
          <w:tcPr>
            <w:tcW w:w="3060" w:type="dxa"/>
          </w:tcPr>
          <w:p w:rsidR="00AF7719" w:rsidRDefault="00C46825">
            <w:pPr>
              <w:autoSpaceDE w:val="0"/>
              <w:autoSpaceDN w:val="0"/>
              <w:adjustRightInd w:val="0"/>
              <w:rPr>
                <w:del w:id="115" w:author="Zimberlin, Joy" w:date="2019-06-21T16:26:00Z"/>
              </w:rPr>
            </w:pPr>
            <w:del w:id="116" w:author="Zimberlin, Joy" w:date="2019-06-21T16:26:00Z">
              <w:r>
                <w:delText>Two-month periods:</w:delText>
              </w:r>
            </w:del>
          </w:p>
        </w:tc>
        <w:tc>
          <w:tcPr>
            <w:tcW w:w="720" w:type="dxa"/>
          </w:tcPr>
          <w:p w:rsidR="00AF7719" w:rsidRDefault="00C46825">
            <w:pPr>
              <w:autoSpaceDE w:val="0"/>
              <w:autoSpaceDN w:val="0"/>
              <w:adjustRightInd w:val="0"/>
              <w:rPr>
                <w:del w:id="117" w:author="Zimberlin, Joy" w:date="2019-06-21T16:26:00Z"/>
              </w:rPr>
            </w:pPr>
            <w:del w:id="118" w:author="Zimberlin, Joy" w:date="2019-06-21T16:26:00Z">
              <w:r>
                <w:delText>=</w:delText>
              </w:r>
            </w:del>
          </w:p>
        </w:tc>
        <w:tc>
          <w:tcPr>
            <w:tcW w:w="4590" w:type="dxa"/>
          </w:tcPr>
          <w:p w:rsidR="00AF7719" w:rsidRDefault="00C46825">
            <w:pPr>
              <w:autoSpaceDE w:val="0"/>
              <w:autoSpaceDN w:val="0"/>
              <w:adjustRightInd w:val="0"/>
              <w:rPr>
                <w:del w:id="119" w:author="Zimberlin, Joy" w:date="2019-06-21T16:26:00Z"/>
              </w:rPr>
            </w:pPr>
            <w:del w:id="120" w:author="Zimberlin, Joy" w:date="2019-06-21T16:26:00Z">
              <w:r>
                <w:delText xml:space="preserve">January </w:delText>
              </w:r>
              <w:r>
                <w:delText>and February</w:delText>
              </w:r>
            </w:del>
          </w:p>
          <w:p w:rsidR="00AF7719" w:rsidRDefault="00C46825">
            <w:pPr>
              <w:autoSpaceDE w:val="0"/>
              <w:autoSpaceDN w:val="0"/>
              <w:adjustRightInd w:val="0"/>
              <w:rPr>
                <w:del w:id="121" w:author="Zimberlin, Joy" w:date="2019-06-21T16:26:00Z"/>
              </w:rPr>
            </w:pPr>
            <w:del w:id="122" w:author="Zimberlin, Joy" w:date="2019-06-21T16:26:00Z">
              <w:r>
                <w:delText>March and April</w:delText>
              </w:r>
            </w:del>
          </w:p>
          <w:p w:rsidR="00AF7719" w:rsidRDefault="00C46825">
            <w:pPr>
              <w:autoSpaceDE w:val="0"/>
              <w:autoSpaceDN w:val="0"/>
              <w:adjustRightInd w:val="0"/>
              <w:rPr>
                <w:del w:id="123" w:author="Zimberlin, Joy" w:date="2019-06-21T16:26:00Z"/>
              </w:rPr>
            </w:pPr>
            <w:del w:id="124" w:author="Zimberlin, Joy" w:date="2019-06-21T16:26:00Z">
              <w:r>
                <w:delText>May and June</w:delText>
              </w:r>
            </w:del>
          </w:p>
          <w:p w:rsidR="00AF7719" w:rsidRDefault="00C46825">
            <w:pPr>
              <w:autoSpaceDE w:val="0"/>
              <w:autoSpaceDN w:val="0"/>
              <w:adjustRightInd w:val="0"/>
              <w:rPr>
                <w:del w:id="125" w:author="Zimberlin, Joy" w:date="2019-06-21T16:26:00Z"/>
              </w:rPr>
            </w:pPr>
            <w:del w:id="126" w:author="Zimberlin, Joy" w:date="2019-06-21T16:26:00Z">
              <w:r>
                <w:delText>July and August</w:delText>
              </w:r>
            </w:del>
          </w:p>
          <w:p w:rsidR="00AF7719" w:rsidRDefault="00C46825">
            <w:pPr>
              <w:autoSpaceDE w:val="0"/>
              <w:autoSpaceDN w:val="0"/>
              <w:adjustRightInd w:val="0"/>
              <w:rPr>
                <w:del w:id="127" w:author="Zimberlin, Joy" w:date="2019-06-21T16:26:00Z"/>
              </w:rPr>
            </w:pPr>
            <w:del w:id="128" w:author="Zimberlin, Joy" w:date="2019-06-21T16:26:00Z">
              <w:r>
                <w:delText>September and October</w:delText>
              </w:r>
            </w:del>
          </w:p>
          <w:p w:rsidR="00AF7719" w:rsidRDefault="00C46825">
            <w:pPr>
              <w:autoSpaceDE w:val="0"/>
              <w:autoSpaceDN w:val="0"/>
              <w:adjustRightInd w:val="0"/>
              <w:rPr>
                <w:del w:id="129" w:author="Zimberlin, Joy" w:date="2019-06-21T16:26:00Z"/>
              </w:rPr>
            </w:pPr>
            <w:del w:id="130" w:author="Zimberlin, Joy" w:date="2019-06-21T16:26:00Z">
              <w:r>
                <w:delText>November and December</w:delText>
              </w:r>
            </w:del>
          </w:p>
          <w:p w:rsidR="00AF7719" w:rsidRDefault="00C46825">
            <w:pPr>
              <w:autoSpaceDE w:val="0"/>
              <w:autoSpaceDN w:val="0"/>
              <w:adjustRightInd w:val="0"/>
              <w:rPr>
                <w:del w:id="131" w:author="Zimberlin, Joy" w:date="2019-06-21T16:26:00Z"/>
              </w:rPr>
            </w:pPr>
          </w:p>
        </w:tc>
      </w:tr>
      <w:tr w:rsidR="009A51D5">
        <w:trPr>
          <w:del w:id="132" w:author="Zimberlin, Joy" w:date="2019-06-21T16:26:00Z"/>
        </w:trPr>
        <w:tc>
          <w:tcPr>
            <w:tcW w:w="3060" w:type="dxa"/>
          </w:tcPr>
          <w:p w:rsidR="00AF7719" w:rsidRDefault="00C46825">
            <w:pPr>
              <w:autoSpaceDE w:val="0"/>
              <w:autoSpaceDN w:val="0"/>
              <w:adjustRightInd w:val="0"/>
              <w:rPr>
                <w:del w:id="133" w:author="Zimberlin, Joy" w:date="2019-06-21T16:26:00Z"/>
                <w:vertAlign w:val="subscript"/>
              </w:rPr>
            </w:pPr>
            <w:del w:id="134" w:author="Zimberlin, Joy" w:date="2019-06-21T16:26:00Z">
              <w:r>
                <w:delText>MCP</w:delText>
              </w:r>
              <w:r>
                <w:rPr>
                  <w:vertAlign w:val="subscript"/>
                </w:rPr>
                <w:delText>Regh</w:delText>
              </w:r>
            </w:del>
          </w:p>
        </w:tc>
        <w:tc>
          <w:tcPr>
            <w:tcW w:w="720" w:type="dxa"/>
          </w:tcPr>
          <w:p w:rsidR="00AF7719" w:rsidRDefault="00C46825">
            <w:pPr>
              <w:autoSpaceDE w:val="0"/>
              <w:autoSpaceDN w:val="0"/>
              <w:adjustRightInd w:val="0"/>
              <w:rPr>
                <w:del w:id="135" w:author="Zimberlin, Joy" w:date="2019-06-21T16:26:00Z"/>
              </w:rPr>
            </w:pPr>
            <w:del w:id="136" w:author="Zimberlin, Joy" w:date="2019-06-21T16:26:00Z">
              <w:r>
                <w:delText>=</w:delText>
              </w:r>
            </w:del>
          </w:p>
        </w:tc>
        <w:tc>
          <w:tcPr>
            <w:tcW w:w="4590" w:type="dxa"/>
          </w:tcPr>
          <w:p w:rsidR="00AF7719" w:rsidRDefault="00C46825">
            <w:pPr>
              <w:autoSpaceDE w:val="0"/>
              <w:autoSpaceDN w:val="0"/>
              <w:adjustRightInd w:val="0"/>
              <w:rPr>
                <w:del w:id="137" w:author="Zimberlin, Joy" w:date="2019-06-21T16:26:00Z"/>
              </w:rPr>
            </w:pPr>
            <w:del w:id="138" w:author="Zimberlin, Joy" w:date="2019-06-21T16:26:00Z">
              <w:r>
                <w:delText xml:space="preserve">Hourly, time-weighted Market Clearing Price for Regulation  Services </w:delText>
              </w:r>
            </w:del>
          </w:p>
          <w:p w:rsidR="00AF7719" w:rsidRDefault="00C46825">
            <w:pPr>
              <w:autoSpaceDE w:val="0"/>
              <w:autoSpaceDN w:val="0"/>
              <w:adjustRightInd w:val="0"/>
              <w:ind w:left="720"/>
              <w:rPr>
                <w:del w:id="139" w:author="Zimberlin, Joy" w:date="2019-06-21T16:26:00Z"/>
              </w:rPr>
            </w:pPr>
          </w:p>
        </w:tc>
      </w:tr>
      <w:tr w:rsidR="009A51D5">
        <w:trPr>
          <w:del w:id="140" w:author="Zimberlin, Joy" w:date="2019-06-21T16:26:00Z"/>
        </w:trPr>
        <w:tc>
          <w:tcPr>
            <w:tcW w:w="3060" w:type="dxa"/>
          </w:tcPr>
          <w:p w:rsidR="00AF7719" w:rsidRDefault="00C46825">
            <w:pPr>
              <w:autoSpaceDE w:val="0"/>
              <w:autoSpaceDN w:val="0"/>
              <w:adjustRightInd w:val="0"/>
              <w:rPr>
                <w:del w:id="141" w:author="Zimberlin, Joy" w:date="2019-06-21T16:26:00Z"/>
              </w:rPr>
            </w:pPr>
            <w:del w:id="142" w:author="Zimberlin, Joy" w:date="2019-06-21T16:26:00Z">
              <w:r>
                <w:delText>Price Differential</w:delText>
              </w:r>
            </w:del>
          </w:p>
        </w:tc>
        <w:tc>
          <w:tcPr>
            <w:tcW w:w="720" w:type="dxa"/>
          </w:tcPr>
          <w:p w:rsidR="00AF7719" w:rsidRDefault="00C46825">
            <w:pPr>
              <w:autoSpaceDE w:val="0"/>
              <w:autoSpaceDN w:val="0"/>
              <w:adjustRightInd w:val="0"/>
              <w:rPr>
                <w:del w:id="143" w:author="Zimberlin, Joy" w:date="2019-06-21T16:26:00Z"/>
              </w:rPr>
            </w:pPr>
            <w:del w:id="144" w:author="Zimberlin, Joy" w:date="2019-06-21T16:26:00Z">
              <w:r>
                <w:delText>=</w:delText>
              </w:r>
            </w:del>
          </w:p>
        </w:tc>
        <w:tc>
          <w:tcPr>
            <w:tcW w:w="4590" w:type="dxa"/>
          </w:tcPr>
          <w:p w:rsidR="00AF7719" w:rsidRDefault="00C46825">
            <w:pPr>
              <w:autoSpaceDE w:val="0"/>
              <w:autoSpaceDN w:val="0"/>
              <w:adjustRightInd w:val="0"/>
              <w:rPr>
                <w:del w:id="145" w:author="Zimberlin, Joy" w:date="2019-06-21T16:26:00Z"/>
              </w:rPr>
            </w:pPr>
            <w:del w:id="146" w:author="Zimberlin, Joy" w:date="2019-06-21T16:26:00Z">
              <w:r>
                <w:delText>The hourly differential at the 97</w:delText>
              </w:r>
              <w:r>
                <w:rPr>
                  <w:vertAlign w:val="superscript"/>
                </w:rPr>
                <w:delText>th</w:delText>
              </w:r>
              <w:r>
                <w:delText xml:space="preserve">  percentile of all hourly differentials between the Day-Ahead and Hour-Ahead MCPRegh  for hours in the two-month period of the previous year when the Real-Time MCP exceeded the Day-Ahead MCP </w:delText>
              </w:r>
            </w:del>
          </w:p>
          <w:p w:rsidR="00AF7719" w:rsidRDefault="00C46825">
            <w:pPr>
              <w:autoSpaceDE w:val="0"/>
              <w:autoSpaceDN w:val="0"/>
              <w:adjustRightInd w:val="0"/>
              <w:rPr>
                <w:del w:id="147" w:author="Zimberlin, Joy" w:date="2019-06-21T16:26:00Z"/>
              </w:rPr>
            </w:pPr>
          </w:p>
        </w:tc>
      </w:tr>
    </w:tbl>
    <w:p w:rsidR="00AF7719" w:rsidRDefault="00C46825">
      <w:pPr>
        <w:pStyle w:val="Heading4"/>
      </w:pPr>
      <w:r>
        <w:t>26.4.2.9</w:t>
      </w:r>
      <w:r>
        <w:tab/>
        <w:t>Projected True-Up Exposure Component</w:t>
      </w:r>
    </w:p>
    <w:p w:rsidR="00AF7719" w:rsidRDefault="00C46825">
      <w:pPr>
        <w:pStyle w:val="Bodypara"/>
      </w:pPr>
      <w:r>
        <w:t xml:space="preserve">The Projected </w:t>
      </w:r>
      <w:r>
        <w:t xml:space="preserve">True-Up Exposure Component shall apply to any Customer whose average percentage credit exposure to the NYISO is greater than ten percent of the initial invoice settlements for the four-month true-ups over the most recent period, not to exceed four months, </w:t>
      </w:r>
      <w:r>
        <w:t>for which the Customer has been invoiced by the NYISO.  Customers subject to the Projected True-Up Exposure Component shall be required to provide secured credit to satisfy the requirement.  The Projected True-Up Exposure Component shall be determined acco</w:t>
      </w:r>
      <w:r>
        <w:t>rding to the following formula:</w:t>
      </w:r>
    </w:p>
    <w:p w:rsidR="00AF7719" w:rsidRDefault="00C46825">
      <w:pPr>
        <w:pStyle w:val="Bodypara"/>
      </w:pPr>
      <m:oMathPara>
        <m:oMath>
          <m:r>
            <w:rPr>
              <w:rFonts w:ascii="Cambria Math" w:hAnsi="Cambria Math"/>
            </w:rPr>
            <m:t>PTE</m:t>
          </m:r>
          <m:r>
            <w:rPr>
              <w:rFonts w:ascii="Cambria Math" w:hAnsi="Cambria Math"/>
            </w:rPr>
            <m:t>=</m:t>
          </m:r>
          <m:d>
            <m:dPr>
              <m:begChr m:val="["/>
              <m:endChr m:val="]"/>
              <m:ctrlPr>
                <w:rPr>
                  <w:rFonts w:ascii="Cambria Math" w:hAnsi="Cambria Math"/>
                  <w:i/>
                </w:rPr>
              </m:ctrlPr>
            </m:dPr>
            <m:e>
              <m:nary>
                <m:naryPr>
                  <m:chr m:val="∑"/>
                  <m:limLoc m:val="undOvr"/>
                  <m:supHide m:val="1"/>
                  <m:ctrlPr>
                    <w:rPr>
                      <w:rFonts w:ascii="Cambria Math" w:hAnsi="Cambria Math"/>
                      <w:i/>
                    </w:rPr>
                  </m:ctrlPr>
                </m:naryPr>
                <m:sub>
                  <m:r>
                    <w:rPr>
                      <w:rFonts w:ascii="Cambria Math" w:hAnsi="Cambria Math"/>
                    </w:rPr>
                    <m:t>N</m:t>
                  </m:r>
                  <m:r>
                    <w:rPr>
                      <w:rFonts w:ascii="Cambria Math" w:hAnsi="Cambria Math"/>
                    </w:rPr>
                    <m:t>4</m:t>
                  </m:r>
                </m:sub>
                <m:sup/>
                <m:e>
                  <m:d>
                    <m:dPr>
                      <m:ctrlPr>
                        <w:rPr>
                          <w:rFonts w:ascii="Cambria Math" w:hAnsi="Cambria Math"/>
                          <w:i/>
                        </w:rPr>
                      </m:ctrlPr>
                    </m:dPr>
                    <m:e>
                      <m:r>
                        <m:rPr>
                          <m:nor/>
                        </m:rPr>
                        <w:rPr>
                          <w:rFonts w:ascii="Cambria Math" w:hAnsi="Cambria Math"/>
                        </w:rPr>
                        <m:t>4 month settlement - associated initial settlement</m:t>
                      </m:r>
                    </m:e>
                  </m:d>
                </m:e>
              </m:nary>
            </m:e>
          </m:d>
          <m:r>
            <w:rPr>
              <w:rFonts w:ascii="Cambria Math" w:hAnsi="Cambria Math"/>
            </w:rPr>
            <m:t>+</m:t>
          </m:r>
          <m:d>
            <m:dPr>
              <m:begChr m:val="["/>
              <m:endChr m:val="]"/>
              <m:ctrlPr>
                <w:rPr>
                  <w:rFonts w:ascii="Cambria Math" w:hAnsi="Cambria Math"/>
                  <w:i/>
                </w:rPr>
              </m:ctrlPr>
            </m:dPr>
            <m:e>
              <m:nary>
                <m:naryPr>
                  <m:chr m:val="∑"/>
                  <m:limLoc m:val="undOvr"/>
                  <m:supHide m:val="1"/>
                  <m:ctrlPr>
                    <w:rPr>
                      <w:rFonts w:ascii="Cambria Math" w:hAnsi="Cambria Math"/>
                      <w:i/>
                    </w:rPr>
                  </m:ctrlPr>
                </m:naryPr>
                <m:sub>
                  <m:r>
                    <w:rPr>
                      <w:rFonts w:ascii="Cambria Math" w:hAnsi="Cambria Math"/>
                    </w:rPr>
                    <m:t>N</m:t>
                  </m:r>
                  <m:r>
                    <m:rPr>
                      <m:sty m:val="p"/>
                    </m:rPr>
                    <w:rPr>
                      <w:rFonts w:ascii="Cambria Math" w:hAnsi="Cambria Math"/>
                    </w:rPr>
                    <m:t>8</m:t>
                  </m:r>
                </m:sub>
                <m:sup/>
                <m:e>
                  <m:d>
                    <m:dPr>
                      <m:ctrlPr>
                        <w:rPr>
                          <w:rFonts w:ascii="Cambria Math" w:hAnsi="Cambria Math"/>
                          <w:i/>
                        </w:rPr>
                      </m:ctrlPr>
                    </m:dPr>
                    <m:e>
                      <m:r>
                        <m:rPr>
                          <m:nor/>
                        </m:rPr>
                        <w:rPr>
                          <w:rFonts w:ascii="Cambria Math" w:hAnsi="Cambria Math"/>
                        </w:rPr>
                        <m:t xml:space="preserve">Final bill </m:t>
                      </m:r>
                      <m:r>
                        <m:rPr>
                          <m:nor/>
                        </m:rPr>
                        <m:t xml:space="preserve">close-out </m:t>
                      </m:r>
                      <m:r>
                        <m:rPr>
                          <m:nor/>
                        </m:rPr>
                        <w:rPr>
                          <w:rFonts w:ascii="Cambria Math" w:hAnsi="Cambria Math"/>
                        </w:rPr>
                        <m:t>settlement - associated 4 month settlement</m:t>
                      </m:r>
                    </m:e>
                  </m:d>
                </m:e>
              </m:nary>
            </m:e>
          </m:d>
        </m:oMath>
      </m:oMathPara>
    </w:p>
    <w:p w:rsidR="00AF7719" w:rsidRDefault="00C46825">
      <w:pPr>
        <w:pStyle w:val="ListParagraph"/>
        <w:spacing w:line="480" w:lineRule="auto"/>
        <w:ind w:left="0"/>
        <w:jc w:val="center"/>
      </w:pPr>
    </w:p>
    <w:p w:rsidR="00AF7719" w:rsidRDefault="00C46825">
      <w:pPr>
        <w:spacing w:line="480" w:lineRule="auto"/>
      </w:pPr>
      <w:r>
        <w:t>Where:</w:t>
      </w:r>
    </w:p>
    <w:p w:rsidR="00AF7719" w:rsidRDefault="00C46825">
      <w:pPr>
        <w:tabs>
          <w:tab w:val="left" w:pos="1710"/>
        </w:tabs>
        <w:spacing w:after="240"/>
        <w:ind w:left="2160" w:hanging="2160"/>
      </w:pPr>
      <w:r>
        <w:t xml:space="preserve">PTE </w:t>
      </w:r>
      <w:r>
        <w:tab/>
        <w:t>=</w:t>
      </w:r>
      <w:r>
        <w:tab/>
        <w:t xml:space="preserve">The amount of secured credit support required for the Projected True-Up Exposure </w:t>
      </w:r>
      <w:r>
        <w:t>Component</w:t>
      </w:r>
    </w:p>
    <w:p w:rsidR="00AF7719" w:rsidRDefault="00C46825">
      <w:pPr>
        <w:tabs>
          <w:tab w:val="left" w:pos="1710"/>
        </w:tabs>
        <w:spacing w:after="240"/>
        <w:ind w:left="2160" w:hanging="2160"/>
      </w:pPr>
      <w:r>
        <w:t>N4</w:t>
      </w:r>
      <w:r>
        <w:tab/>
        <w:t>=</w:t>
      </w:r>
      <w:r>
        <w:tab/>
        <w:t>Each month in the most recent four-month period with a 4 month settlement</w:t>
      </w:r>
    </w:p>
    <w:p w:rsidR="00AF7719" w:rsidRDefault="00C46825">
      <w:pPr>
        <w:tabs>
          <w:tab w:val="left" w:pos="1710"/>
        </w:tabs>
        <w:spacing w:after="240"/>
        <w:ind w:left="2160" w:hanging="2160"/>
      </w:pPr>
      <w:r>
        <w:t>N8</w:t>
      </w:r>
      <w:r>
        <w:tab/>
        <w:t>=</w:t>
      </w:r>
      <w:r>
        <w:tab/>
        <w:t>Each month in the most recent eight-month period with a final bill close-out settlement</w:t>
      </w:r>
    </w:p>
    <w:p w:rsidR="00AF7719" w:rsidRDefault="00C46825">
      <w:pPr>
        <w:pStyle w:val="Heading4"/>
      </w:pPr>
      <w:bookmarkStart w:id="148" w:name="_Toc263691844"/>
      <w:r>
        <w:t>26.4.2.10</w:t>
      </w:r>
      <w:r>
        <w:tab/>
        <w:t>Former RMR Generator Component</w:t>
      </w:r>
    </w:p>
    <w:p w:rsidR="00AF7719" w:rsidRDefault="00C46825">
      <w:pPr>
        <w:pStyle w:val="Bodypara"/>
      </w:pPr>
      <w:r>
        <w:t>The Former RMR Generator Componen</w:t>
      </w:r>
      <w:r>
        <w:t>t shall apply to any Customer that is the financially responsible party under the ISO Tariffs for a former RMR Generator or former Interim Service Provider that is subject to a Monthly Repayment Obligation.  The Former RMR Generator Component will apply un</w:t>
      </w:r>
      <w:r>
        <w:t>til either (a) the Monthly Repayment Obligation associated with the former RMR Generator or former Interim Service Provider is paid in full, or (b) the former RMR Generator or former Interim Service Provider is not subject to a Monthly Repayment Obligation</w:t>
      </w:r>
      <w:r>
        <w:t xml:space="preserve">.  Customers subject to the Former RMR Generator Component shall be required to provide collateral to satisfy the requirement.  </w:t>
      </w:r>
    </w:p>
    <w:p w:rsidR="00AF7719" w:rsidRDefault="00C46825">
      <w:pPr>
        <w:pStyle w:val="Bodypara"/>
        <w:spacing w:line="240" w:lineRule="auto"/>
      </w:pPr>
      <w:r>
        <w:t>The Former RMR Generator Component shall be calculated as follows:</w:t>
      </w:r>
    </w:p>
    <w:p w:rsidR="00AF7719" w:rsidRDefault="00C46825">
      <w:pPr>
        <w:pStyle w:val="ListParagraph"/>
        <w:spacing w:line="360" w:lineRule="auto"/>
        <w:ind w:left="0"/>
        <w:jc w:val="center"/>
      </w:pPr>
    </w:p>
    <w:p w:rsidR="00AF7719" w:rsidRDefault="00C46825">
      <w:pPr>
        <w:pStyle w:val="ListParagraph"/>
        <w:spacing w:line="480" w:lineRule="auto"/>
        <w:ind w:left="0"/>
        <w:jc w:val="center"/>
        <w:rPr>
          <w:rFonts w:ascii="Cambria Math" w:hAnsi="Cambria Math"/>
          <w:oMath/>
        </w:rPr>
      </w:pPr>
      <m:oMathPara>
        <m:oMath>
          <m:nary>
            <m:naryPr>
              <m:chr m:val="∑"/>
              <m:limLoc m:val="undOvr"/>
              <m:supHide m:val="1"/>
              <m:ctrlPr>
                <w:rPr>
                  <w:rFonts w:ascii="Cambria Math" w:hAnsi="Cambria Math"/>
                  <w:i/>
                </w:rPr>
              </m:ctrlPr>
            </m:naryPr>
            <m:sub>
              <m:r>
                <w:rPr>
                  <w:rFonts w:ascii="Cambria Math" w:hAnsi="Cambria Math"/>
                </w:rPr>
                <m:t>G</m:t>
              </m:r>
              <m:r>
                <w:rPr>
                  <w:rFonts w:ascii="Cambria Math" w:hAnsi="Cambria Math"/>
                </w:rPr>
                <m:t>∈</m:t>
              </m:r>
              <m:r>
                <w:rPr>
                  <w:rFonts w:ascii="Cambria Math" w:hAnsi="Cambria Math"/>
                </w:rPr>
                <m:t>S</m:t>
              </m:r>
            </m:sub>
            <m:sup/>
            <m:e>
              <m:sSub>
                <m:sSubPr>
                  <m:ctrlPr>
                    <w:rPr>
                      <w:rFonts w:ascii="Cambria Math" w:hAnsi="Cambria Math"/>
                      <w:i/>
                    </w:rPr>
                  </m:ctrlPr>
                </m:sSubPr>
                <m:e>
                  <m:r>
                    <w:rPr>
                      <w:rFonts w:ascii="Cambria Math" w:hAnsi="Cambria Math"/>
                    </w:rPr>
                    <m:t>MRO</m:t>
                  </m:r>
                </m:e>
                <m:sub>
                  <m:r>
                    <w:rPr>
                      <w:rFonts w:ascii="Cambria Math" w:hAnsi="Cambria Math"/>
                    </w:rPr>
                    <m:t>G</m:t>
                  </m:r>
                </m:sub>
              </m:sSub>
              <m:r>
                <w:rPr>
                  <w:rFonts w:ascii="Cambria Math" w:hAnsi="Cambria Math"/>
                </w:rPr>
                <m:t xml:space="preserve">× </m:t>
              </m:r>
              <m:sSub>
                <m:sSubPr>
                  <m:ctrlPr>
                    <w:rPr>
                      <w:rFonts w:ascii="Cambria Math" w:hAnsi="Cambria Math"/>
                      <w:i/>
                    </w:rPr>
                  </m:ctrlPr>
                </m:sSubPr>
                <m:e>
                  <m:r>
                    <w:rPr>
                      <w:rFonts w:ascii="Cambria Math" w:hAnsi="Cambria Math"/>
                    </w:rPr>
                    <m:t>Term</m:t>
                  </m:r>
                </m:e>
                <m:sub>
                  <m:r>
                    <w:rPr>
                      <w:rFonts w:ascii="Cambria Math" w:hAnsi="Cambria Math"/>
                    </w:rPr>
                    <m:t>G</m:t>
                  </m:r>
                </m:sub>
              </m:sSub>
              <m:r>
                <w:rPr>
                  <w:rFonts w:ascii="Cambria Math" w:hAnsi="Cambria Math"/>
                </w:rPr>
                <m:t xml:space="preserve"> </m:t>
              </m:r>
            </m:e>
          </m:nary>
        </m:oMath>
      </m:oMathPara>
    </w:p>
    <w:p w:rsidR="00AF7719" w:rsidRDefault="00C46825">
      <w:pPr>
        <w:ind w:left="720" w:hanging="720"/>
      </w:pPr>
      <w:r>
        <w:rPr>
          <w:i/>
        </w:rPr>
        <w:t>S</w:t>
      </w:r>
      <w:r>
        <w:tab/>
        <w:t>=</w:t>
      </w:r>
      <w:r>
        <w:tab/>
        <w:t>the set of former RMR Genera</w:t>
      </w:r>
      <w:r>
        <w:t>tors and former Interim Service Providers for which Customer is the financially responsible party under the ISO Tariffs</w:t>
      </w:r>
    </w:p>
    <w:p w:rsidR="00AF7719" w:rsidRDefault="00C46825"/>
    <w:p w:rsidR="00AF7719" w:rsidRDefault="00C46825">
      <w:pPr>
        <w:spacing w:line="480" w:lineRule="auto"/>
      </w:pPr>
      <w:r>
        <w:rPr>
          <w:i/>
        </w:rPr>
        <w:t>G</w:t>
      </w:r>
      <w:r>
        <w:tab/>
        <w:t>=</w:t>
      </w:r>
      <w:r>
        <w:tab/>
        <w:t>a former RMR Generator or former Interim Service Provider in set S</w:t>
      </w:r>
    </w:p>
    <w:p w:rsidR="00AF7719" w:rsidRDefault="00C46825">
      <w:pPr>
        <w:spacing w:after="240"/>
        <w:ind w:left="720" w:hanging="720"/>
      </w:pPr>
      <w:r>
        <w:rPr>
          <w:i/>
        </w:rPr>
        <w:t>MRO</w:t>
      </w:r>
      <w:r>
        <w:rPr>
          <w:i/>
          <w:vertAlign w:val="subscript"/>
        </w:rPr>
        <w:t>G</w:t>
      </w:r>
      <w:r>
        <w:tab/>
        <w:t>=</w:t>
      </w:r>
      <w:r>
        <w:tab/>
        <w:t>the Monthly Repayment Obligation (as def</w:t>
      </w:r>
      <w:r>
        <w:t xml:space="preserve">ined in Section 15.8.7 of Rate Schedule 8 to the Services Tariff) for Generator </w:t>
      </w:r>
      <w:r>
        <w:rPr>
          <w:i/>
        </w:rPr>
        <w:t>G</w:t>
      </w:r>
    </w:p>
    <w:p w:rsidR="00AF7719" w:rsidRDefault="00C46825">
      <w:pPr>
        <w:spacing w:after="240"/>
        <w:ind w:left="720" w:hanging="720"/>
      </w:pPr>
      <w:r>
        <w:rPr>
          <w:i/>
        </w:rPr>
        <w:t>Term</w:t>
      </w:r>
      <w:r>
        <w:rPr>
          <w:i/>
          <w:vertAlign w:val="subscript"/>
        </w:rPr>
        <w:t>G</w:t>
      </w:r>
      <w:r>
        <w:rPr>
          <w:i/>
          <w:vertAlign w:val="subscript"/>
        </w:rPr>
        <w:tab/>
        <w:t>=</w:t>
      </w:r>
      <w:r>
        <w:rPr>
          <w:i/>
          <w:vertAlign w:val="subscript"/>
        </w:rPr>
        <w:tab/>
      </w:r>
      <w:r>
        <w:t>the lesser of 8 or the number of months remaining in the repayment term that the ISO determines in accordance with Rate Schedule 8 to the Services Tariff for Generato</w:t>
      </w:r>
      <w:r>
        <w:t xml:space="preserve">r </w:t>
      </w:r>
      <w:r>
        <w:rPr>
          <w:i/>
        </w:rPr>
        <w:t>G</w:t>
      </w:r>
    </w:p>
    <w:p w:rsidR="00AF7719" w:rsidRDefault="00C46825">
      <w:pPr>
        <w:pStyle w:val="Heading3"/>
      </w:pPr>
      <w:r>
        <w:t>26.4.3</w:t>
      </w:r>
      <w:r>
        <w:tab/>
        <w:t>Calculation of Bidding Requirement</w:t>
      </w:r>
      <w:bookmarkEnd w:id="148"/>
      <w:r>
        <w:t xml:space="preserve"> </w:t>
      </w:r>
    </w:p>
    <w:p w:rsidR="00AF7719" w:rsidRDefault="00C46825">
      <w:pPr>
        <w:pStyle w:val="Bodypara"/>
      </w:pPr>
      <w:r>
        <w:t>The Bidding Requirement shall be an amount equal to the sum of:</w:t>
      </w:r>
    </w:p>
    <w:p w:rsidR="00AF7719" w:rsidRDefault="00C46825">
      <w:pPr>
        <w:pStyle w:val="romannumeralpara"/>
      </w:pPr>
      <w:r>
        <w:t xml:space="preserve">(i) </w:t>
      </w:r>
      <w:r>
        <w:tab/>
        <w:t>the amount of bidding authorization that the Customer has requested for use in or during, as appropriate, an upcoming ISO-administered TCC a</w:t>
      </w:r>
      <w:r>
        <w:t xml:space="preserve">uction, which shall at least cover the sum of all positive bids to purchase TCCs, plus the absolute value of the sum of all negative offers to sell TCCs; </w:t>
      </w:r>
      <w:r>
        <w:rPr>
          <w:i/>
        </w:rPr>
        <w:t>provided, however,</w:t>
      </w:r>
      <w:r>
        <w:t xml:space="preserve"> that the amount of credit required for each TCC that the Customer bids to purchase,</w:t>
      </w:r>
      <w:r>
        <w:t xml:space="preserve"> whether positive, negative, or zero shall not be less than (a) $3,000 per MW for two-year TCCs, (b) $1,500 per MW for one-year TCCs, (c) $2,000 per MW for six-month TCCs, (d) $1,800 per MW for five-month TCCs, (e) $1,500 per MW for four-month TCCs, (f) $1</w:t>
      </w:r>
      <w:r>
        <w:t>,200 per MW for three-month TCCs, (g) $900 per MW for two-month TCCs, and (h) $600 per MW for one-month TCCs;</w:t>
      </w:r>
    </w:p>
    <w:p w:rsidR="00AF7719" w:rsidRDefault="00C46825">
      <w:pPr>
        <w:pStyle w:val="romannumeralpara"/>
      </w:pPr>
      <w:r>
        <w:t xml:space="preserve">(ii) </w:t>
      </w:r>
      <w:r>
        <w:tab/>
        <w:t>the remaining amount that the Customer owes following an upcoming Centralized TCC Auction as a result of purchasing a Fixed Price TCC;</w:t>
      </w:r>
    </w:p>
    <w:p w:rsidR="00AF7719" w:rsidRDefault="00C46825">
      <w:pPr>
        <w:pStyle w:val="romannumeralpara"/>
      </w:pPr>
      <w:r>
        <w:t xml:space="preserve">(iii) </w:t>
      </w:r>
      <w:r>
        <w:tab/>
        <w:t>the amount of bidding authorization that the Customer has requested for use in an upcoming ISO-administered ICAP auction; and</w:t>
      </w:r>
    </w:p>
    <w:p w:rsidR="00AF7719" w:rsidRDefault="00C46825">
      <w:pPr>
        <w:pStyle w:val="romannumeralpara"/>
      </w:pPr>
      <w:r>
        <w:t xml:space="preserve">(iv) </w:t>
      </w:r>
      <w:r>
        <w:tab/>
        <w:t xml:space="preserve">five (5) days prior to any ICAP Spot Market Auction, the amount that the Customer may be required to pay for UCAP in </w:t>
      </w:r>
      <w:r>
        <w:t>the auction, calculated as follows:</w:t>
      </w:r>
    </w:p>
    <w:p w:rsidR="00AF7719" w:rsidRDefault="00C46825">
      <w:pPr>
        <w:pStyle w:val="romannumeralpara"/>
      </w:pPr>
    </w:p>
    <w:p w:rsidR="00AF7719" w:rsidRDefault="00C46825">
      <w:pPr>
        <w:pStyle w:val="romannumeralpara"/>
        <w:ind w:left="-360" w:right="-360" w:firstLine="0"/>
        <w:rPr>
          <w:sz w:val="20"/>
        </w:rPr>
      </w:pPr>
      <m:oMathPara>
        <m:oMath>
          <m:nary>
            <m:naryPr>
              <m:chr m:val="∑"/>
              <m:limLoc m:val="undOvr"/>
              <m:supHide m:val="1"/>
              <m:ctrlPr>
                <w:rPr>
                  <w:rFonts w:ascii="Cambria Math" w:hAnsi="Cambria Math"/>
                  <w:i/>
                  <w:sz w:val="20"/>
                </w:rPr>
              </m:ctrlPr>
            </m:naryPr>
            <m:sub>
              <m:r>
                <w:rPr>
                  <w:rFonts w:ascii="Cambria Math" w:hAnsi="Cambria Math"/>
                  <w:sz w:val="20"/>
                </w:rPr>
                <m:t>L</m:t>
              </m:r>
              <m:r>
                <w:rPr>
                  <w:rFonts w:ascii="Cambria Math" w:hAnsi="Cambria Math"/>
                  <w:sz w:val="20"/>
                </w:rPr>
                <m:t>∈</m:t>
              </m:r>
              <m:r>
                <w:rPr>
                  <w:rFonts w:ascii="Cambria Math" w:hAnsi="Cambria Math"/>
                  <w:sz w:val="20"/>
                </w:rPr>
                <m:t>S</m:t>
              </m:r>
            </m:sub>
            <m:sup/>
            <m:e>
              <m:d>
                <m:dPr>
                  <m:begChr m:val="["/>
                  <m:endChr m:val="]"/>
                  <m:ctrlPr>
                    <w:rPr>
                      <w:rFonts w:ascii="Cambria Math" w:hAnsi="Cambria Math"/>
                      <w:i/>
                      <w:sz w:val="20"/>
                    </w:rPr>
                  </m:ctrlPr>
                </m:dPr>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ICPM</m:t>
                          </m:r>
                        </m:e>
                        <m:sub>
                          <m:r>
                            <w:rPr>
                              <w:rFonts w:ascii="Cambria Math" w:hAnsi="Cambria Math"/>
                              <w:sz w:val="20"/>
                            </w:rPr>
                            <m:t>L</m:t>
                          </m:r>
                        </m:sub>
                      </m:sSub>
                      <m:r>
                        <w:rPr>
                          <w:rFonts w:ascii="Cambria Math" w:hAnsi="Cambria Math"/>
                          <w:sz w:val="20"/>
                        </w:rPr>
                        <m:t xml:space="preserve">*1000* </m:t>
                      </m:r>
                      <m:sSub>
                        <m:sSubPr>
                          <m:ctrlPr>
                            <w:rPr>
                              <w:rFonts w:ascii="Cambria Math" w:hAnsi="Cambria Math"/>
                              <w:i/>
                              <w:sz w:val="20"/>
                            </w:rPr>
                          </m:ctrlPr>
                        </m:sSubPr>
                        <m:e>
                          <m:r>
                            <w:rPr>
                              <w:rFonts w:ascii="Cambria Math" w:hAnsi="Cambria Math"/>
                              <w:sz w:val="20"/>
                            </w:rPr>
                            <m:t>Deficiency</m:t>
                          </m:r>
                        </m:e>
                        <m:sub>
                          <m:r>
                            <w:rPr>
                              <w:rFonts w:ascii="Cambria Math" w:hAnsi="Cambria Math"/>
                              <w:sz w:val="20"/>
                            </w:rPr>
                            <m:t>L</m:t>
                          </m:r>
                        </m:sub>
                      </m:sSub>
                    </m:e>
                  </m:d>
                  <m:r>
                    <w:rPr>
                      <w:rFonts w:ascii="Cambria Math" w:hAnsi="Cambria Math"/>
                      <w:sz w:val="20"/>
                    </w:rPr>
                    <m:t>+</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ICPM</m:t>
                          </m:r>
                        </m:e>
                        <m:sub>
                          <m:r>
                            <w:rPr>
                              <w:rFonts w:ascii="Cambria Math" w:hAnsi="Cambria Math"/>
                              <w:sz w:val="20"/>
                            </w:rPr>
                            <m:t>L</m:t>
                          </m:r>
                        </m:sub>
                      </m:sSub>
                      <m:r>
                        <w:rPr>
                          <w:rFonts w:ascii="Cambria Math" w:hAnsi="Cambria Math"/>
                          <w:sz w:val="20"/>
                        </w:rPr>
                        <m:t>*1000*</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ZDOMW</m:t>
                              </m:r>
                            </m:e>
                            <m:sub>
                              <m:r>
                                <w:rPr>
                                  <w:rFonts w:ascii="Cambria Math" w:hAnsi="Cambria Math"/>
                                  <w:sz w:val="20"/>
                                </w:rPr>
                                <m:t>L</m:t>
                              </m:r>
                            </m:sub>
                          </m:sSub>
                          <m:r>
                            <w:rPr>
                              <w:rFonts w:ascii="Cambria Math" w:hAnsi="Cambria Math"/>
                              <w:sz w:val="20"/>
                            </w:rPr>
                            <m:t>*-1</m:t>
                          </m:r>
                        </m:e>
                      </m:d>
                    </m:e>
                  </m:d>
                  <m:r>
                    <w:rPr>
                      <w:rFonts w:ascii="Cambria Math" w:hAnsi="Cambria Math"/>
                      <w:sz w:val="20"/>
                    </w:rPr>
                    <m:t xml:space="preserve">+ </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ICPM</m:t>
                          </m:r>
                        </m:e>
                        <m:sub>
                          <m:r>
                            <w:rPr>
                              <w:rFonts w:ascii="Cambria Math" w:hAnsi="Cambria Math"/>
                              <w:sz w:val="20"/>
                            </w:rPr>
                            <m:t>L</m:t>
                          </m:r>
                        </m:sub>
                      </m:sSub>
                      <m:r>
                        <w:rPr>
                          <w:rFonts w:ascii="Cambria Math" w:hAnsi="Cambria Math"/>
                          <w:sz w:val="20"/>
                        </w:rPr>
                        <m:t xml:space="preserve">*1000* </m:t>
                      </m:r>
                      <m:d>
                        <m:dPr>
                          <m:ctrlPr>
                            <w:rPr>
                              <w:rFonts w:ascii="Cambria Math" w:hAnsi="Cambria Math"/>
                              <w:i/>
                              <w:sz w:val="20"/>
                            </w:rPr>
                          </m:ctrlPr>
                        </m:dPr>
                        <m:e>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ZCP</m:t>
                                  </m:r>
                                </m:e>
                                <m:sub>
                                  <m:r>
                                    <w:rPr>
                                      <w:rFonts w:ascii="Cambria Math" w:hAnsi="Cambria Math"/>
                                      <w:sz w:val="20"/>
                                    </w:rPr>
                                    <m:t>L</m:t>
                                  </m:r>
                                </m:sub>
                              </m:sSub>
                              <m:r>
                                <w:rPr>
                                  <w:rFonts w:ascii="Cambria Math" w:hAnsi="Cambria Math"/>
                                  <w:sz w:val="20"/>
                                </w:rPr>
                                <m:t>- 1</m:t>
                              </m:r>
                            </m:num>
                            <m:den>
                              <m:r>
                                <w:rPr>
                                  <w:rFonts w:ascii="Cambria Math" w:hAnsi="Cambria Math"/>
                                  <w:sz w:val="20"/>
                                </w:rPr>
                                <m:t>2</m:t>
                              </m:r>
                            </m:den>
                          </m:f>
                        </m:e>
                      </m:d>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RQT</m:t>
                          </m:r>
                        </m:e>
                        <m:sub>
                          <m:r>
                            <w:rPr>
                              <w:rFonts w:ascii="Cambria Math" w:hAnsi="Cambria Math"/>
                              <w:sz w:val="20"/>
                            </w:rPr>
                            <m:t>L</m:t>
                          </m:r>
                        </m:sub>
                      </m:sSub>
                    </m:e>
                  </m:d>
                </m:e>
              </m:d>
            </m:e>
          </m:nary>
        </m:oMath>
      </m:oMathPara>
    </w:p>
    <w:p w:rsidR="00AF7719" w:rsidRDefault="00C46825">
      <w:pPr>
        <w:spacing w:after="240"/>
      </w:pPr>
      <w:r>
        <w:t>Where:</w:t>
      </w:r>
    </w:p>
    <w:p w:rsidR="00AF7719" w:rsidRDefault="00C46825">
      <w:pPr>
        <w:spacing w:after="240"/>
        <w:ind w:left="1260" w:hanging="1260"/>
      </w:pPr>
      <w:r>
        <w:rPr>
          <w:i/>
        </w:rPr>
        <w:t>S</w:t>
      </w:r>
      <w:r>
        <w:tab/>
        <w:t>equals a set containing the following locations:   each Locality and Rest of State,</w:t>
      </w:r>
    </w:p>
    <w:p w:rsidR="00AF7719" w:rsidRDefault="00C46825">
      <w:pPr>
        <w:spacing w:after="240"/>
        <w:ind w:left="1260" w:hanging="1260"/>
        <w:rPr>
          <w:i/>
        </w:rPr>
      </w:pPr>
      <w:r>
        <w:rPr>
          <w:i/>
        </w:rPr>
        <w:t xml:space="preserve">L </w:t>
      </w:r>
      <w:r>
        <w:rPr>
          <w:i/>
        </w:rPr>
        <w:tab/>
      </w:r>
      <w:r>
        <w:t>equal</w:t>
      </w:r>
      <w:r>
        <w:t xml:space="preserve">s a location in the set </w:t>
      </w:r>
      <w:r>
        <w:rPr>
          <w:i/>
        </w:rPr>
        <w:t>S,</w:t>
      </w:r>
    </w:p>
    <w:p w:rsidR="00AF7719" w:rsidRDefault="00C46825">
      <w:pPr>
        <w:spacing w:after="240"/>
        <w:ind w:left="1260" w:hanging="1260"/>
      </w:pPr>
      <w:r>
        <w:rPr>
          <w:i/>
        </w:rPr>
        <w:t>ICPM</w:t>
      </w:r>
      <w:r>
        <w:rPr>
          <w:i/>
          <w:vertAlign w:val="subscript"/>
        </w:rPr>
        <w:t>L</w:t>
      </w:r>
      <w:r>
        <w:rPr>
          <w:i/>
        </w:rPr>
        <w:tab/>
      </w:r>
      <w:r>
        <w:t xml:space="preserve">equals the lesser of </w:t>
      </w:r>
      <w:r>
        <w:rPr>
          <w:i/>
        </w:rPr>
        <w:t>UBRP</w:t>
      </w:r>
      <w:r>
        <w:rPr>
          <w:i/>
          <w:vertAlign w:val="subscript"/>
        </w:rPr>
        <w:t>L</w:t>
      </w:r>
      <w:r>
        <w:t xml:space="preserve"> or </w:t>
      </w:r>
      <w:r>
        <w:rPr>
          <w:i/>
        </w:rPr>
        <w:t>LM</w:t>
      </w:r>
      <w:r>
        <w:rPr>
          <w:i/>
          <w:vertAlign w:val="subscript"/>
        </w:rPr>
        <w:t>L</w:t>
      </w:r>
      <w:r>
        <w:t>,</w:t>
      </w:r>
    </w:p>
    <w:p w:rsidR="00AF7719" w:rsidRDefault="00C46825">
      <w:pPr>
        <w:spacing w:after="240"/>
        <w:ind w:left="1260" w:hanging="1260"/>
        <w:rPr>
          <w:i/>
        </w:rPr>
      </w:pPr>
      <w:r>
        <w:rPr>
          <w:i/>
        </w:rPr>
        <w:t>UBRP</w:t>
      </w:r>
      <w:r>
        <w:rPr>
          <w:i/>
          <w:vertAlign w:val="subscript"/>
        </w:rPr>
        <w:t>L</w:t>
      </w:r>
      <w:r>
        <w:t xml:space="preserve"> </w:t>
      </w:r>
      <w:r>
        <w:tab/>
        <w:t xml:space="preserve">equals the UCAP based reference point </w:t>
      </w:r>
      <w:r>
        <w:rPr>
          <w:color w:val="1F497D"/>
        </w:rPr>
        <w:t>(</w:t>
      </w:r>
      <w:r>
        <w:t xml:space="preserve">in $/kW-Month) for location </w:t>
      </w:r>
      <w:r>
        <w:rPr>
          <w:i/>
          <w:iCs/>
        </w:rPr>
        <w:t>L</w:t>
      </w:r>
      <w:r>
        <w:t xml:space="preserve">, as determined on the ICAP Demand Curve for that location (or for NYCA, if </w:t>
      </w:r>
      <w:r>
        <w:rPr>
          <w:i/>
        </w:rPr>
        <w:t>L</w:t>
      </w:r>
      <w:r>
        <w:t xml:space="preserve"> is Rest of State) for the applicabl</w:t>
      </w:r>
      <w:r>
        <w:t>e Obligation Procurement Period</w:t>
      </w:r>
      <w:r>
        <w:rPr>
          <w:i/>
        </w:rPr>
        <w:t>,</w:t>
      </w:r>
    </w:p>
    <w:p w:rsidR="00AF7719" w:rsidRDefault="00C46825">
      <w:pPr>
        <w:spacing w:after="240"/>
        <w:ind w:left="1260" w:hanging="1260"/>
      </w:pPr>
      <w:r>
        <w:rPr>
          <w:i/>
        </w:rPr>
        <w:t>LM</w:t>
      </w:r>
      <w:r>
        <w:rPr>
          <w:i/>
          <w:vertAlign w:val="subscript"/>
        </w:rPr>
        <w:t>L</w:t>
      </w:r>
      <w:r>
        <w:tab/>
        <w:t xml:space="preserve">equals (1) for any Locality </w:t>
      </w:r>
      <w:r>
        <w:rPr>
          <w:i/>
        </w:rPr>
        <w:t>L</w:t>
      </w:r>
      <w:r>
        <w:t xml:space="preserve"> that is contained within another Locality </w:t>
      </w:r>
      <w:r>
        <w:rPr>
          <w:i/>
        </w:rPr>
        <w:t>X</w:t>
      </w:r>
      <w:r>
        <w:t xml:space="preserve">, the greater of </w:t>
      </w:r>
      <w:r>
        <w:rPr>
          <w:i/>
        </w:rPr>
        <w:t>CPM</w:t>
      </w:r>
      <w:r>
        <w:rPr>
          <w:i/>
          <w:vertAlign w:val="subscript"/>
        </w:rPr>
        <w:t>L</w:t>
      </w:r>
      <w:r>
        <w:t xml:space="preserve"> or </w:t>
      </w:r>
      <w:r>
        <w:rPr>
          <w:i/>
        </w:rPr>
        <w:t>CPM</w:t>
      </w:r>
      <w:r>
        <w:rPr>
          <w:i/>
          <w:vertAlign w:val="subscript"/>
        </w:rPr>
        <w:t>X</w:t>
      </w:r>
      <w:r>
        <w:t xml:space="preserve">, or (2) for any other Locality or Rest of State, </w:t>
      </w:r>
      <w:r>
        <w:rPr>
          <w:i/>
        </w:rPr>
        <w:t>CPM</w:t>
      </w:r>
      <w:r>
        <w:rPr>
          <w:i/>
          <w:vertAlign w:val="subscript"/>
        </w:rPr>
        <w:t>L</w:t>
      </w:r>
      <w:r>
        <w:t xml:space="preserve">,  </w:t>
      </w:r>
    </w:p>
    <w:p w:rsidR="00AF7719" w:rsidRDefault="00C46825">
      <w:pPr>
        <w:spacing w:after="240"/>
        <w:ind w:left="1260" w:hanging="1260"/>
        <w:rPr>
          <w:i/>
        </w:rPr>
      </w:pPr>
      <w:r>
        <w:rPr>
          <w:i/>
        </w:rPr>
        <w:t>CPM</w:t>
      </w:r>
      <w:r>
        <w:rPr>
          <w:i/>
          <w:vertAlign w:val="subscript"/>
        </w:rPr>
        <w:t>L</w:t>
      </w:r>
      <w:r>
        <w:tab/>
        <w:t xml:space="preserve">equals for location </w:t>
      </w:r>
      <w:r>
        <w:rPr>
          <w:i/>
        </w:rPr>
        <w:t>L</w:t>
      </w:r>
      <w:r>
        <w:t>,</w:t>
      </w:r>
      <w:r>
        <w:rPr>
          <w:i/>
        </w:rPr>
        <w:t xml:space="preserve"> </w:t>
      </w:r>
      <w:r>
        <w:t xml:space="preserve">(1 + </w:t>
      </w:r>
      <w:r>
        <w:rPr>
          <w:i/>
        </w:rPr>
        <w:t>Margin</w:t>
      </w:r>
      <w:r>
        <w:rPr>
          <w:i/>
          <w:vertAlign w:val="subscript"/>
        </w:rPr>
        <w:t>L</w:t>
      </w:r>
      <w:r>
        <w:rPr>
          <w:i/>
        </w:rPr>
        <w:t xml:space="preserve"> </w:t>
      </w:r>
      <w:r>
        <w:t>)*</w:t>
      </w:r>
      <w:r>
        <w:rPr>
          <w:i/>
        </w:rPr>
        <w:t>MCP</w:t>
      </w:r>
      <w:r>
        <w:rPr>
          <w:i/>
          <w:vertAlign w:val="subscript"/>
        </w:rPr>
        <w:t>L</w:t>
      </w:r>
      <w:r>
        <w:rPr>
          <w:i/>
        </w:rPr>
        <w:t xml:space="preserve"> ,</w:t>
      </w:r>
    </w:p>
    <w:p w:rsidR="00AF7719" w:rsidRDefault="00C46825">
      <w:pPr>
        <w:spacing w:after="240"/>
        <w:ind w:left="1260" w:hanging="1260"/>
      </w:pPr>
      <w:r>
        <w:rPr>
          <w:i/>
        </w:rPr>
        <w:t>CPM</w:t>
      </w:r>
      <w:r>
        <w:rPr>
          <w:i/>
          <w:vertAlign w:val="subscript"/>
        </w:rPr>
        <w:t>X</w:t>
      </w:r>
      <w:r>
        <w:tab/>
      </w:r>
      <w:r>
        <w:t xml:space="preserve">equals for location </w:t>
      </w:r>
      <w:r>
        <w:rPr>
          <w:i/>
        </w:rPr>
        <w:t>X</w:t>
      </w:r>
      <w:r>
        <w:t>,</w:t>
      </w:r>
      <w:r>
        <w:rPr>
          <w:i/>
        </w:rPr>
        <w:t xml:space="preserve"> </w:t>
      </w:r>
      <w:r>
        <w:t xml:space="preserve">(1 + </w:t>
      </w:r>
      <w:r>
        <w:rPr>
          <w:i/>
        </w:rPr>
        <w:t>Margin</w:t>
      </w:r>
      <w:r>
        <w:rPr>
          <w:i/>
          <w:vertAlign w:val="subscript"/>
        </w:rPr>
        <w:t>X</w:t>
      </w:r>
      <w:r>
        <w:rPr>
          <w:i/>
        </w:rPr>
        <w:t xml:space="preserve"> </w:t>
      </w:r>
      <w:r>
        <w:t>)*</w:t>
      </w:r>
      <w:r>
        <w:rPr>
          <w:i/>
        </w:rPr>
        <w:t>MCP</w:t>
      </w:r>
      <w:r>
        <w:rPr>
          <w:i/>
          <w:vertAlign w:val="subscript"/>
        </w:rPr>
        <w:t>X</w:t>
      </w:r>
      <w:r>
        <w:rPr>
          <w:i/>
        </w:rPr>
        <w:t xml:space="preserve"> ,</w:t>
      </w:r>
    </w:p>
    <w:p w:rsidR="00AF7719" w:rsidRDefault="00C46825">
      <w:pPr>
        <w:spacing w:after="240"/>
        <w:ind w:left="1260" w:hanging="1260"/>
      </w:pPr>
      <w:r>
        <w:rPr>
          <w:i/>
        </w:rPr>
        <w:t>Margin</w:t>
      </w:r>
      <w:r>
        <w:rPr>
          <w:i/>
          <w:vertAlign w:val="subscript"/>
        </w:rPr>
        <w:t>L</w:t>
      </w:r>
      <w:r>
        <w:tab/>
        <w:t xml:space="preserve">equals 25% if location </w:t>
      </w:r>
      <w:r>
        <w:rPr>
          <w:i/>
        </w:rPr>
        <w:t>L</w:t>
      </w:r>
      <w:r>
        <w:t xml:space="preserve"> is New York City and 100% if location </w:t>
      </w:r>
      <w:r>
        <w:rPr>
          <w:i/>
        </w:rPr>
        <w:t>L</w:t>
      </w:r>
      <w:r>
        <w:t xml:space="preserve"> is G-J Locality, Long Island or Rest of State,</w:t>
      </w:r>
    </w:p>
    <w:p w:rsidR="00AF7719" w:rsidRDefault="00C46825">
      <w:pPr>
        <w:spacing w:after="240"/>
        <w:ind w:left="1260" w:hanging="1260"/>
      </w:pPr>
      <w:r>
        <w:rPr>
          <w:i/>
        </w:rPr>
        <w:t>MCP</w:t>
      </w:r>
      <w:r>
        <w:rPr>
          <w:i/>
          <w:vertAlign w:val="subscript"/>
        </w:rPr>
        <w:t>L</w:t>
      </w:r>
      <w:r>
        <w:tab/>
        <w:t xml:space="preserve">equals the Market-Clearing Price for location </w:t>
      </w:r>
      <w:r>
        <w:rPr>
          <w:i/>
        </w:rPr>
        <w:t xml:space="preserve">L </w:t>
      </w:r>
      <w:r>
        <w:t>in the most recent Monthly Auction tha</w:t>
      </w:r>
      <w:r>
        <w:t>t established such a price for the month covered by the ICAP Spot Market Auction, measured in dollars per kilowatt-month,</w:t>
      </w:r>
    </w:p>
    <w:p w:rsidR="00AF7719" w:rsidRDefault="00C46825">
      <w:pPr>
        <w:spacing w:after="240"/>
        <w:ind w:left="1260" w:hanging="1260"/>
      </w:pPr>
      <w:r>
        <w:rPr>
          <w:i/>
        </w:rPr>
        <w:t>Deficiency</w:t>
      </w:r>
      <w:r>
        <w:rPr>
          <w:i/>
          <w:vertAlign w:val="subscript"/>
        </w:rPr>
        <w:t>L</w:t>
      </w:r>
      <w:r>
        <w:tab/>
        <w:t xml:space="preserve">equals the number of megawatts of Unforced Capacity that are to be procured in location </w:t>
      </w:r>
      <w:r>
        <w:rPr>
          <w:i/>
        </w:rPr>
        <w:t>L</w:t>
      </w:r>
      <w:r>
        <w:t xml:space="preserve"> on behalf of that Customer in th</w:t>
      </w:r>
      <w:r>
        <w:t>e ICAP Spot Market Auction in order to cover any deficiency for that Customer that exists in that location after the certification deadline for that ICAP Spot Market Auction less any deficiency calculated for that Customer for any Localities contained with</w:t>
      </w:r>
      <w:r>
        <w:t xml:space="preserve">in location </w:t>
      </w:r>
      <w:r>
        <w:rPr>
          <w:i/>
        </w:rPr>
        <w:t>L</w:t>
      </w:r>
      <w:r>
        <w:t>, such value not to be less than zero,</w:t>
      </w:r>
    </w:p>
    <w:p w:rsidR="00AF7719" w:rsidRDefault="00C46825">
      <w:pPr>
        <w:spacing w:after="240"/>
        <w:ind w:left="1260" w:hanging="1260"/>
      </w:pPr>
      <w:r>
        <w:rPr>
          <w:i/>
          <w:iCs/>
          <w:color w:val="000000"/>
        </w:rPr>
        <w:t>ZDOMW</w:t>
      </w:r>
      <w:r>
        <w:rPr>
          <w:i/>
          <w:iCs/>
          <w:color w:val="000000"/>
          <w:vertAlign w:val="subscript"/>
        </w:rPr>
        <w:t>L</w:t>
      </w:r>
      <w:r>
        <w:rPr>
          <w:i/>
        </w:rPr>
        <w:tab/>
      </w:r>
      <w:r>
        <w:t xml:space="preserve">equals the number of megawatts of unsold Unforced Capacity in location </w:t>
      </w:r>
      <w:r>
        <w:rPr>
          <w:i/>
        </w:rPr>
        <w:t>L</w:t>
      </w:r>
      <w:r>
        <w:t xml:space="preserve"> that the Customer committed as zero dollar offered megawatts for that ICAP Spot Market Auction, </w:t>
      </w:r>
    </w:p>
    <w:p w:rsidR="00AF7719" w:rsidRDefault="00C46825">
      <w:pPr>
        <w:spacing w:after="240"/>
        <w:ind w:left="1260" w:hanging="1260"/>
      </w:pPr>
      <w:r>
        <w:rPr>
          <w:i/>
        </w:rPr>
        <w:t>ZCP</w:t>
      </w:r>
      <w:r>
        <w:rPr>
          <w:i/>
          <w:vertAlign w:val="subscript"/>
        </w:rPr>
        <w:t>L</w:t>
      </w:r>
      <w:r>
        <w:rPr>
          <w:i/>
        </w:rPr>
        <w:tab/>
      </w:r>
      <w:r>
        <w:t xml:space="preserve">equals the percentage </w:t>
      </w:r>
      <w:r>
        <w:t>determined in accordance with Services Tariff Section 5.14.1.2 for the applicable ICAP Demand Curves as established at the $0.00 point for the appropriate Capability Year, and</w:t>
      </w:r>
    </w:p>
    <w:p w:rsidR="00AF7719" w:rsidRDefault="00C46825">
      <w:pPr>
        <w:spacing w:after="240"/>
        <w:ind w:left="1260" w:hanging="1260"/>
      </w:pPr>
      <w:r>
        <w:rPr>
          <w:i/>
        </w:rPr>
        <w:t>RQT</w:t>
      </w:r>
      <w:r>
        <w:rPr>
          <w:i/>
          <w:vertAlign w:val="subscript"/>
        </w:rPr>
        <w:t>L</w:t>
      </w:r>
      <w:r>
        <w:tab/>
        <w:t xml:space="preserve">equals (1) if </w:t>
      </w:r>
      <w:r>
        <w:rPr>
          <w:i/>
        </w:rPr>
        <w:t>L</w:t>
      </w:r>
      <w:r>
        <w:t xml:space="preserve"> is New York City or Long Island, that Customer’s share of t</w:t>
      </w:r>
      <w:r>
        <w:t xml:space="preserve">he Locational Minimum Unforced Capacity Requirement for location </w:t>
      </w:r>
      <w:r>
        <w:rPr>
          <w:i/>
        </w:rPr>
        <w:t>L</w:t>
      </w:r>
      <w:r>
        <w:t xml:space="preserve"> or (2) if </w:t>
      </w:r>
      <w:r>
        <w:rPr>
          <w:i/>
        </w:rPr>
        <w:t>L</w:t>
      </w:r>
      <w:r>
        <w:t xml:space="preserve"> is G-J Locality, that Customer’s share of the Locational Minimum Unforced Capacity Requirement for the G-J Locality that remains after reducing this amount by its share of the L</w:t>
      </w:r>
      <w:r>
        <w:t xml:space="preserve">ocational Minimum Unforced Capacity Requirements for New York City or, (3) if </w:t>
      </w:r>
      <w:r>
        <w:rPr>
          <w:i/>
        </w:rPr>
        <w:t xml:space="preserve">L </w:t>
      </w:r>
      <w:r>
        <w:t>is Rest of State, that Customer’s share of the NYCA Minimum Unforced Capacity Requirement that remains after reducing this amount by (a) its share of the Locational Minimum Unf</w:t>
      </w:r>
      <w:r>
        <w:t>orced Capacity Requirements for New York City and Long Island and (b) that Customer’s share of the Locational Minimum Unforced Capacity Requirement for the G-J Locality remaining after accounting for New York City, as calculated in (2) above; such value no</w:t>
      </w:r>
      <w:r>
        <w:t>t to be less than zero.</w:t>
      </w:r>
    </w:p>
    <w:sectPr w:rsidR="00AF7719">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46825">
      <w:r>
        <w:separator/>
      </w:r>
    </w:p>
  </w:endnote>
  <w:endnote w:type="continuationSeparator" w:id="0">
    <w:p w:rsidR="00000000" w:rsidRDefault="00C46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1D5" w:rsidRDefault="00C46825">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1D5" w:rsidRDefault="00C46825">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1D5" w:rsidRDefault="00C46825">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46825">
      <w:r>
        <w:separator/>
      </w:r>
    </w:p>
  </w:footnote>
  <w:footnote w:type="continuationSeparator" w:id="0">
    <w:p w:rsidR="00000000" w:rsidRDefault="00C46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1D5" w:rsidRDefault="00C46825">
    <w:r>
      <w:rPr>
        <w:rFonts w:ascii="Arial" w:eastAsia="Arial" w:hAnsi="Arial" w:cs="Arial"/>
        <w:color w:val="000000"/>
        <w:sz w:val="16"/>
      </w:rPr>
      <w:t>NYISO Tariffs --&gt; Market Administration and Control Area Services Tariff (MST) --&gt; 26 MST Attachment K - Creditworthiness Requirements For Cust --&gt; 26.4 MST Att K</w:t>
    </w:r>
    <w:r>
      <w:rPr>
        <w:rFonts w:ascii="Arial" w:eastAsia="Arial" w:hAnsi="Arial" w:cs="Arial"/>
        <w:color w:val="000000"/>
        <w:sz w:val="16"/>
      </w:rPr>
      <w:t xml:space="preserve"> Operating Requirement and Bidding Requirement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1D5" w:rsidRDefault="00C46825">
    <w:r>
      <w:rPr>
        <w:rFonts w:ascii="Arial" w:eastAsia="Arial" w:hAnsi="Arial" w:cs="Arial"/>
        <w:color w:val="000000"/>
        <w:sz w:val="16"/>
      </w:rPr>
      <w:t>NYISO Tariffs --&gt; Market Administration and Control Area Services Tariff (MST) --&gt; 26 MST Attachment K - Creditworthiness Requirements For Cust --&gt; 26.4 MST Att K Operating Requirement and Bidding Requirement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1D5" w:rsidRDefault="00C46825">
    <w:r>
      <w:rPr>
        <w:rFonts w:ascii="Arial" w:eastAsia="Arial" w:hAnsi="Arial" w:cs="Arial"/>
        <w:color w:val="000000"/>
        <w:sz w:val="16"/>
      </w:rPr>
      <w:t xml:space="preserve">NYISO Tariffs --&gt; Market Administration and Control Area Services Tariff (MST) --&gt; 26 MST Attachment K - Creditworthiness </w:t>
    </w:r>
    <w:r>
      <w:rPr>
        <w:rFonts w:ascii="Arial" w:eastAsia="Arial" w:hAnsi="Arial" w:cs="Arial"/>
        <w:color w:val="000000"/>
        <w:sz w:val="16"/>
      </w:rPr>
      <w:t>Requirements For Cust --&gt; 26.4 MST Att K Operating Requirement and Bidding Requirement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F0B283DA">
      <w:start w:val="1"/>
      <w:numFmt w:val="bullet"/>
      <w:pStyle w:val="Bulletpara"/>
      <w:lvlText w:val=""/>
      <w:lvlJc w:val="left"/>
      <w:pPr>
        <w:tabs>
          <w:tab w:val="num" w:pos="720"/>
        </w:tabs>
        <w:ind w:left="720" w:hanging="360"/>
      </w:pPr>
      <w:rPr>
        <w:rFonts w:ascii="Symbol" w:hAnsi="Symbol" w:hint="default"/>
      </w:rPr>
    </w:lvl>
    <w:lvl w:ilvl="1" w:tplc="DB4A5708" w:tentative="1">
      <w:start w:val="1"/>
      <w:numFmt w:val="bullet"/>
      <w:lvlText w:val="o"/>
      <w:lvlJc w:val="left"/>
      <w:pPr>
        <w:tabs>
          <w:tab w:val="num" w:pos="1440"/>
        </w:tabs>
        <w:ind w:left="1440" w:hanging="360"/>
      </w:pPr>
      <w:rPr>
        <w:rFonts w:ascii="Courier New" w:hAnsi="Courier New" w:hint="default"/>
      </w:rPr>
    </w:lvl>
    <w:lvl w:ilvl="2" w:tplc="6486F64E" w:tentative="1">
      <w:start w:val="1"/>
      <w:numFmt w:val="bullet"/>
      <w:lvlText w:val=""/>
      <w:lvlJc w:val="left"/>
      <w:pPr>
        <w:tabs>
          <w:tab w:val="num" w:pos="2160"/>
        </w:tabs>
        <w:ind w:left="2160" w:hanging="360"/>
      </w:pPr>
      <w:rPr>
        <w:rFonts w:ascii="Wingdings" w:hAnsi="Wingdings" w:hint="default"/>
      </w:rPr>
    </w:lvl>
    <w:lvl w:ilvl="3" w:tplc="C6AE82AE" w:tentative="1">
      <w:start w:val="1"/>
      <w:numFmt w:val="bullet"/>
      <w:lvlText w:val=""/>
      <w:lvlJc w:val="left"/>
      <w:pPr>
        <w:tabs>
          <w:tab w:val="num" w:pos="2880"/>
        </w:tabs>
        <w:ind w:left="2880" w:hanging="360"/>
      </w:pPr>
      <w:rPr>
        <w:rFonts w:ascii="Symbol" w:hAnsi="Symbol" w:hint="default"/>
      </w:rPr>
    </w:lvl>
    <w:lvl w:ilvl="4" w:tplc="B1522530" w:tentative="1">
      <w:start w:val="1"/>
      <w:numFmt w:val="bullet"/>
      <w:lvlText w:val="o"/>
      <w:lvlJc w:val="left"/>
      <w:pPr>
        <w:tabs>
          <w:tab w:val="num" w:pos="3600"/>
        </w:tabs>
        <w:ind w:left="3600" w:hanging="360"/>
      </w:pPr>
      <w:rPr>
        <w:rFonts w:ascii="Courier New" w:hAnsi="Courier New" w:hint="default"/>
      </w:rPr>
    </w:lvl>
    <w:lvl w:ilvl="5" w:tplc="2E165DA2" w:tentative="1">
      <w:start w:val="1"/>
      <w:numFmt w:val="bullet"/>
      <w:lvlText w:val=""/>
      <w:lvlJc w:val="left"/>
      <w:pPr>
        <w:tabs>
          <w:tab w:val="num" w:pos="4320"/>
        </w:tabs>
        <w:ind w:left="4320" w:hanging="360"/>
      </w:pPr>
      <w:rPr>
        <w:rFonts w:ascii="Wingdings" w:hAnsi="Wingdings" w:hint="default"/>
      </w:rPr>
    </w:lvl>
    <w:lvl w:ilvl="6" w:tplc="7F148BC8" w:tentative="1">
      <w:start w:val="1"/>
      <w:numFmt w:val="bullet"/>
      <w:lvlText w:val=""/>
      <w:lvlJc w:val="left"/>
      <w:pPr>
        <w:tabs>
          <w:tab w:val="num" w:pos="5040"/>
        </w:tabs>
        <w:ind w:left="5040" w:hanging="360"/>
      </w:pPr>
      <w:rPr>
        <w:rFonts w:ascii="Symbol" w:hAnsi="Symbol" w:hint="default"/>
      </w:rPr>
    </w:lvl>
    <w:lvl w:ilvl="7" w:tplc="15969E74" w:tentative="1">
      <w:start w:val="1"/>
      <w:numFmt w:val="bullet"/>
      <w:lvlText w:val="o"/>
      <w:lvlJc w:val="left"/>
      <w:pPr>
        <w:tabs>
          <w:tab w:val="num" w:pos="5760"/>
        </w:tabs>
        <w:ind w:left="5760" w:hanging="360"/>
      </w:pPr>
      <w:rPr>
        <w:rFonts w:ascii="Courier New" w:hAnsi="Courier New" w:hint="default"/>
      </w:rPr>
    </w:lvl>
    <w:lvl w:ilvl="8" w:tplc="73B2ED2C"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C1D3375"/>
    <w:multiLevelType w:val="hybridMultilevel"/>
    <w:tmpl w:val="711A5E0A"/>
    <w:lvl w:ilvl="0" w:tplc="E53249D0">
      <w:start w:val="3"/>
      <w:numFmt w:val="decimal"/>
      <w:lvlText w:val="(%1)"/>
      <w:lvlJc w:val="left"/>
      <w:pPr>
        <w:ind w:left="1440" w:hanging="360"/>
      </w:pPr>
      <w:rPr>
        <w:rFonts w:cs="Times New Roman" w:hint="default"/>
      </w:rPr>
    </w:lvl>
    <w:lvl w:ilvl="1" w:tplc="024A14F2" w:tentative="1">
      <w:start w:val="1"/>
      <w:numFmt w:val="lowerLetter"/>
      <w:lvlText w:val="%2."/>
      <w:lvlJc w:val="left"/>
      <w:pPr>
        <w:ind w:left="2160" w:hanging="360"/>
      </w:pPr>
      <w:rPr>
        <w:rFonts w:cs="Times New Roman"/>
      </w:rPr>
    </w:lvl>
    <w:lvl w:ilvl="2" w:tplc="DEF28AE8" w:tentative="1">
      <w:start w:val="1"/>
      <w:numFmt w:val="lowerRoman"/>
      <w:lvlText w:val="%3."/>
      <w:lvlJc w:val="right"/>
      <w:pPr>
        <w:ind w:left="2880" w:hanging="180"/>
      </w:pPr>
      <w:rPr>
        <w:rFonts w:cs="Times New Roman"/>
      </w:rPr>
    </w:lvl>
    <w:lvl w:ilvl="3" w:tplc="7720AB4A" w:tentative="1">
      <w:start w:val="1"/>
      <w:numFmt w:val="decimal"/>
      <w:lvlText w:val="%4."/>
      <w:lvlJc w:val="left"/>
      <w:pPr>
        <w:ind w:left="3600" w:hanging="360"/>
      </w:pPr>
      <w:rPr>
        <w:rFonts w:cs="Times New Roman"/>
      </w:rPr>
    </w:lvl>
    <w:lvl w:ilvl="4" w:tplc="B418AC06" w:tentative="1">
      <w:start w:val="1"/>
      <w:numFmt w:val="lowerLetter"/>
      <w:lvlText w:val="%5."/>
      <w:lvlJc w:val="left"/>
      <w:pPr>
        <w:ind w:left="4320" w:hanging="360"/>
      </w:pPr>
      <w:rPr>
        <w:rFonts w:cs="Times New Roman"/>
      </w:rPr>
    </w:lvl>
    <w:lvl w:ilvl="5" w:tplc="E11EE5AE" w:tentative="1">
      <w:start w:val="1"/>
      <w:numFmt w:val="lowerRoman"/>
      <w:lvlText w:val="%6."/>
      <w:lvlJc w:val="right"/>
      <w:pPr>
        <w:ind w:left="5040" w:hanging="180"/>
      </w:pPr>
      <w:rPr>
        <w:rFonts w:cs="Times New Roman"/>
      </w:rPr>
    </w:lvl>
    <w:lvl w:ilvl="6" w:tplc="DE84EAB4" w:tentative="1">
      <w:start w:val="1"/>
      <w:numFmt w:val="decimal"/>
      <w:lvlText w:val="%7."/>
      <w:lvlJc w:val="left"/>
      <w:pPr>
        <w:ind w:left="5760" w:hanging="360"/>
      </w:pPr>
      <w:rPr>
        <w:rFonts w:cs="Times New Roman"/>
      </w:rPr>
    </w:lvl>
    <w:lvl w:ilvl="7" w:tplc="C3DA1024" w:tentative="1">
      <w:start w:val="1"/>
      <w:numFmt w:val="lowerLetter"/>
      <w:lvlText w:val="%8."/>
      <w:lvlJc w:val="left"/>
      <w:pPr>
        <w:ind w:left="6480" w:hanging="360"/>
      </w:pPr>
      <w:rPr>
        <w:rFonts w:cs="Times New Roman"/>
      </w:rPr>
    </w:lvl>
    <w:lvl w:ilvl="8" w:tplc="85521880" w:tentative="1">
      <w:start w:val="1"/>
      <w:numFmt w:val="lowerRoman"/>
      <w:lvlText w:val="%9."/>
      <w:lvlJc w:val="right"/>
      <w:pPr>
        <w:ind w:left="720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FFB5F47"/>
    <w:multiLevelType w:val="hybridMultilevel"/>
    <w:tmpl w:val="662AF2FE"/>
    <w:lvl w:ilvl="0" w:tplc="CAD00F40">
      <w:start w:val="1"/>
      <w:numFmt w:val="bullet"/>
      <w:lvlText w:val="-"/>
      <w:lvlJc w:val="left"/>
      <w:pPr>
        <w:ind w:left="1080" w:hanging="360"/>
      </w:pPr>
      <w:rPr>
        <w:rFonts w:ascii="Times New Roman" w:eastAsia="Times New Roman" w:hAnsi="Times New Roman" w:cs="Times New Roman" w:hint="default"/>
      </w:rPr>
    </w:lvl>
    <w:lvl w:ilvl="1" w:tplc="737CEC1C" w:tentative="1">
      <w:start w:val="1"/>
      <w:numFmt w:val="bullet"/>
      <w:lvlText w:val="o"/>
      <w:lvlJc w:val="left"/>
      <w:pPr>
        <w:ind w:left="1800" w:hanging="360"/>
      </w:pPr>
      <w:rPr>
        <w:rFonts w:ascii="Courier New" w:hAnsi="Courier New" w:cs="Courier New" w:hint="default"/>
      </w:rPr>
    </w:lvl>
    <w:lvl w:ilvl="2" w:tplc="89E6BEA6" w:tentative="1">
      <w:start w:val="1"/>
      <w:numFmt w:val="bullet"/>
      <w:lvlText w:val=""/>
      <w:lvlJc w:val="left"/>
      <w:pPr>
        <w:ind w:left="2520" w:hanging="360"/>
      </w:pPr>
      <w:rPr>
        <w:rFonts w:ascii="Wingdings" w:hAnsi="Wingdings" w:hint="default"/>
      </w:rPr>
    </w:lvl>
    <w:lvl w:ilvl="3" w:tplc="7EBEA68C" w:tentative="1">
      <w:start w:val="1"/>
      <w:numFmt w:val="bullet"/>
      <w:lvlText w:val=""/>
      <w:lvlJc w:val="left"/>
      <w:pPr>
        <w:ind w:left="3240" w:hanging="360"/>
      </w:pPr>
      <w:rPr>
        <w:rFonts w:ascii="Symbol" w:hAnsi="Symbol" w:hint="default"/>
      </w:rPr>
    </w:lvl>
    <w:lvl w:ilvl="4" w:tplc="CD70C0BE" w:tentative="1">
      <w:start w:val="1"/>
      <w:numFmt w:val="bullet"/>
      <w:lvlText w:val="o"/>
      <w:lvlJc w:val="left"/>
      <w:pPr>
        <w:ind w:left="3960" w:hanging="360"/>
      </w:pPr>
      <w:rPr>
        <w:rFonts w:ascii="Courier New" w:hAnsi="Courier New" w:cs="Courier New" w:hint="default"/>
      </w:rPr>
    </w:lvl>
    <w:lvl w:ilvl="5" w:tplc="F35A836C" w:tentative="1">
      <w:start w:val="1"/>
      <w:numFmt w:val="bullet"/>
      <w:lvlText w:val=""/>
      <w:lvlJc w:val="left"/>
      <w:pPr>
        <w:ind w:left="4680" w:hanging="360"/>
      </w:pPr>
      <w:rPr>
        <w:rFonts w:ascii="Wingdings" w:hAnsi="Wingdings" w:hint="default"/>
      </w:rPr>
    </w:lvl>
    <w:lvl w:ilvl="6" w:tplc="562E8F2A" w:tentative="1">
      <w:start w:val="1"/>
      <w:numFmt w:val="bullet"/>
      <w:lvlText w:val=""/>
      <w:lvlJc w:val="left"/>
      <w:pPr>
        <w:ind w:left="5400" w:hanging="360"/>
      </w:pPr>
      <w:rPr>
        <w:rFonts w:ascii="Symbol" w:hAnsi="Symbol" w:hint="default"/>
      </w:rPr>
    </w:lvl>
    <w:lvl w:ilvl="7" w:tplc="CFF4541C" w:tentative="1">
      <w:start w:val="1"/>
      <w:numFmt w:val="bullet"/>
      <w:lvlText w:val="o"/>
      <w:lvlJc w:val="left"/>
      <w:pPr>
        <w:ind w:left="6120" w:hanging="360"/>
      </w:pPr>
      <w:rPr>
        <w:rFonts w:ascii="Courier New" w:hAnsi="Courier New" w:cs="Courier New" w:hint="default"/>
      </w:rPr>
    </w:lvl>
    <w:lvl w:ilvl="8" w:tplc="13782D46" w:tentative="1">
      <w:start w:val="1"/>
      <w:numFmt w:val="bullet"/>
      <w:lvlText w:val=""/>
      <w:lvlJc w:val="left"/>
      <w:pPr>
        <w:ind w:left="6840" w:hanging="360"/>
      </w:pPr>
      <w:rPr>
        <w:rFonts w:ascii="Wingdings" w:hAnsi="Wingdings" w:hint="default"/>
      </w:rPr>
    </w:lvl>
  </w:abstractNum>
  <w:abstractNum w:abstractNumId="10">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72A749B"/>
    <w:multiLevelType w:val="hybridMultilevel"/>
    <w:tmpl w:val="EBD879C0"/>
    <w:lvl w:ilvl="0" w:tplc="643A5948">
      <w:start w:val="1"/>
      <w:numFmt w:val="lowerRoman"/>
      <w:lvlText w:val="(%1)"/>
      <w:lvlJc w:val="left"/>
      <w:pPr>
        <w:tabs>
          <w:tab w:val="num" w:pos="2448"/>
        </w:tabs>
        <w:ind w:left="2448" w:hanging="648"/>
      </w:pPr>
      <w:rPr>
        <w:rFonts w:cs="Times New Roman" w:hint="default"/>
        <w:b w:val="0"/>
        <w:i w:val="0"/>
        <w:u w:val="none"/>
      </w:rPr>
    </w:lvl>
    <w:lvl w:ilvl="1" w:tplc="A252A802" w:tentative="1">
      <w:start w:val="1"/>
      <w:numFmt w:val="lowerLetter"/>
      <w:lvlText w:val="%2."/>
      <w:lvlJc w:val="left"/>
      <w:pPr>
        <w:tabs>
          <w:tab w:val="num" w:pos="1440"/>
        </w:tabs>
        <w:ind w:left="1440" w:hanging="360"/>
      </w:pPr>
      <w:rPr>
        <w:rFonts w:cs="Times New Roman"/>
      </w:rPr>
    </w:lvl>
    <w:lvl w:ilvl="2" w:tplc="CEECEE74" w:tentative="1">
      <w:start w:val="1"/>
      <w:numFmt w:val="lowerRoman"/>
      <w:lvlText w:val="%3."/>
      <w:lvlJc w:val="right"/>
      <w:pPr>
        <w:tabs>
          <w:tab w:val="num" w:pos="2160"/>
        </w:tabs>
        <w:ind w:left="2160" w:hanging="180"/>
      </w:pPr>
      <w:rPr>
        <w:rFonts w:cs="Times New Roman"/>
      </w:rPr>
    </w:lvl>
    <w:lvl w:ilvl="3" w:tplc="9C7E251A" w:tentative="1">
      <w:start w:val="1"/>
      <w:numFmt w:val="decimal"/>
      <w:lvlText w:val="%4."/>
      <w:lvlJc w:val="left"/>
      <w:pPr>
        <w:tabs>
          <w:tab w:val="num" w:pos="2880"/>
        </w:tabs>
        <w:ind w:left="2880" w:hanging="360"/>
      </w:pPr>
      <w:rPr>
        <w:rFonts w:cs="Times New Roman"/>
      </w:rPr>
    </w:lvl>
    <w:lvl w:ilvl="4" w:tplc="9FF88FAE" w:tentative="1">
      <w:start w:val="1"/>
      <w:numFmt w:val="lowerLetter"/>
      <w:lvlText w:val="%5."/>
      <w:lvlJc w:val="left"/>
      <w:pPr>
        <w:tabs>
          <w:tab w:val="num" w:pos="3600"/>
        </w:tabs>
        <w:ind w:left="3600" w:hanging="360"/>
      </w:pPr>
      <w:rPr>
        <w:rFonts w:cs="Times New Roman"/>
      </w:rPr>
    </w:lvl>
    <w:lvl w:ilvl="5" w:tplc="9A22A694" w:tentative="1">
      <w:start w:val="1"/>
      <w:numFmt w:val="lowerRoman"/>
      <w:lvlText w:val="%6."/>
      <w:lvlJc w:val="right"/>
      <w:pPr>
        <w:tabs>
          <w:tab w:val="num" w:pos="4320"/>
        </w:tabs>
        <w:ind w:left="4320" w:hanging="180"/>
      </w:pPr>
      <w:rPr>
        <w:rFonts w:cs="Times New Roman"/>
      </w:rPr>
    </w:lvl>
    <w:lvl w:ilvl="6" w:tplc="2214BF86" w:tentative="1">
      <w:start w:val="1"/>
      <w:numFmt w:val="decimal"/>
      <w:lvlText w:val="%7."/>
      <w:lvlJc w:val="left"/>
      <w:pPr>
        <w:tabs>
          <w:tab w:val="num" w:pos="5040"/>
        </w:tabs>
        <w:ind w:left="5040" w:hanging="360"/>
      </w:pPr>
      <w:rPr>
        <w:rFonts w:cs="Times New Roman"/>
      </w:rPr>
    </w:lvl>
    <w:lvl w:ilvl="7" w:tplc="1BC6DF50" w:tentative="1">
      <w:start w:val="1"/>
      <w:numFmt w:val="lowerLetter"/>
      <w:lvlText w:val="%8."/>
      <w:lvlJc w:val="left"/>
      <w:pPr>
        <w:tabs>
          <w:tab w:val="num" w:pos="5760"/>
        </w:tabs>
        <w:ind w:left="5760" w:hanging="360"/>
      </w:pPr>
      <w:rPr>
        <w:rFonts w:cs="Times New Roman"/>
      </w:rPr>
    </w:lvl>
    <w:lvl w:ilvl="8" w:tplc="A23AF1EE" w:tentative="1">
      <w:start w:val="1"/>
      <w:numFmt w:val="lowerRoman"/>
      <w:lvlText w:val="%9."/>
      <w:lvlJc w:val="right"/>
      <w:pPr>
        <w:tabs>
          <w:tab w:val="num" w:pos="6480"/>
        </w:tabs>
        <w:ind w:left="6480" w:hanging="180"/>
      </w:pPr>
      <w:rPr>
        <w:rFonts w:cs="Times New Roman"/>
      </w:rPr>
    </w:lvl>
  </w:abstractNum>
  <w:abstractNum w:abstractNumId="12">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6">
    <w:nsid w:val="41115CAB"/>
    <w:multiLevelType w:val="hybridMultilevel"/>
    <w:tmpl w:val="E6202038"/>
    <w:lvl w:ilvl="0" w:tplc="F056C0AC">
      <w:start w:val="1"/>
      <w:numFmt w:val="decimal"/>
      <w:lvlText w:val="(%1)"/>
      <w:lvlJc w:val="left"/>
      <w:pPr>
        <w:ind w:left="1710" w:hanging="360"/>
      </w:pPr>
      <w:rPr>
        <w:rFonts w:cs="Times New Roman" w:hint="default"/>
      </w:rPr>
    </w:lvl>
    <w:lvl w:ilvl="1" w:tplc="FB06D9AA" w:tentative="1">
      <w:start w:val="1"/>
      <w:numFmt w:val="lowerLetter"/>
      <w:lvlText w:val="%2."/>
      <w:lvlJc w:val="left"/>
      <w:pPr>
        <w:ind w:left="1440" w:hanging="360"/>
      </w:pPr>
      <w:rPr>
        <w:rFonts w:cs="Times New Roman"/>
      </w:rPr>
    </w:lvl>
    <w:lvl w:ilvl="2" w:tplc="E526A394" w:tentative="1">
      <w:start w:val="1"/>
      <w:numFmt w:val="lowerRoman"/>
      <w:lvlText w:val="%3."/>
      <w:lvlJc w:val="right"/>
      <w:pPr>
        <w:ind w:left="2160" w:hanging="180"/>
      </w:pPr>
      <w:rPr>
        <w:rFonts w:cs="Times New Roman"/>
      </w:rPr>
    </w:lvl>
    <w:lvl w:ilvl="3" w:tplc="EF5AE932" w:tentative="1">
      <w:start w:val="1"/>
      <w:numFmt w:val="decimal"/>
      <w:lvlText w:val="%4."/>
      <w:lvlJc w:val="left"/>
      <w:pPr>
        <w:ind w:left="2880" w:hanging="360"/>
      </w:pPr>
      <w:rPr>
        <w:rFonts w:cs="Times New Roman"/>
      </w:rPr>
    </w:lvl>
    <w:lvl w:ilvl="4" w:tplc="A32C6404" w:tentative="1">
      <w:start w:val="1"/>
      <w:numFmt w:val="lowerLetter"/>
      <w:lvlText w:val="%5."/>
      <w:lvlJc w:val="left"/>
      <w:pPr>
        <w:ind w:left="3600" w:hanging="360"/>
      </w:pPr>
      <w:rPr>
        <w:rFonts w:cs="Times New Roman"/>
      </w:rPr>
    </w:lvl>
    <w:lvl w:ilvl="5" w:tplc="4EAA31E4" w:tentative="1">
      <w:start w:val="1"/>
      <w:numFmt w:val="lowerRoman"/>
      <w:lvlText w:val="%6."/>
      <w:lvlJc w:val="right"/>
      <w:pPr>
        <w:ind w:left="4320" w:hanging="180"/>
      </w:pPr>
      <w:rPr>
        <w:rFonts w:cs="Times New Roman"/>
      </w:rPr>
    </w:lvl>
    <w:lvl w:ilvl="6" w:tplc="6406B81C" w:tentative="1">
      <w:start w:val="1"/>
      <w:numFmt w:val="decimal"/>
      <w:lvlText w:val="%7."/>
      <w:lvlJc w:val="left"/>
      <w:pPr>
        <w:ind w:left="5040" w:hanging="360"/>
      </w:pPr>
      <w:rPr>
        <w:rFonts w:cs="Times New Roman"/>
      </w:rPr>
    </w:lvl>
    <w:lvl w:ilvl="7" w:tplc="9328E44E" w:tentative="1">
      <w:start w:val="1"/>
      <w:numFmt w:val="lowerLetter"/>
      <w:lvlText w:val="%8."/>
      <w:lvlJc w:val="left"/>
      <w:pPr>
        <w:ind w:left="5760" w:hanging="360"/>
      </w:pPr>
      <w:rPr>
        <w:rFonts w:cs="Times New Roman"/>
      </w:rPr>
    </w:lvl>
    <w:lvl w:ilvl="8" w:tplc="2EF258F0" w:tentative="1">
      <w:start w:val="1"/>
      <w:numFmt w:val="lowerRoman"/>
      <w:lvlText w:val="%9."/>
      <w:lvlJc w:val="right"/>
      <w:pPr>
        <w:ind w:left="6480" w:hanging="180"/>
      </w:pPr>
      <w:rPr>
        <w:rFonts w:cs="Times New Roman"/>
      </w:rPr>
    </w:lvl>
  </w:abstractNum>
  <w:abstractNum w:abstractNumId="17">
    <w:nsid w:val="423B0DCC"/>
    <w:multiLevelType w:val="hybridMultilevel"/>
    <w:tmpl w:val="FF1CA042"/>
    <w:lvl w:ilvl="0" w:tplc="99F6EC6A">
      <w:start w:val="1"/>
      <w:numFmt w:val="decimal"/>
      <w:lvlText w:val="(%1)"/>
      <w:lvlJc w:val="left"/>
      <w:pPr>
        <w:ind w:left="1440" w:hanging="360"/>
      </w:pPr>
      <w:rPr>
        <w:rFonts w:cs="Times New Roman" w:hint="default"/>
      </w:rPr>
    </w:lvl>
    <w:lvl w:ilvl="1" w:tplc="264A57E8" w:tentative="1">
      <w:start w:val="1"/>
      <w:numFmt w:val="lowerLetter"/>
      <w:lvlText w:val="%2."/>
      <w:lvlJc w:val="left"/>
      <w:pPr>
        <w:ind w:left="2160" w:hanging="360"/>
      </w:pPr>
      <w:rPr>
        <w:rFonts w:cs="Times New Roman"/>
      </w:rPr>
    </w:lvl>
    <w:lvl w:ilvl="2" w:tplc="C268825E" w:tentative="1">
      <w:start w:val="1"/>
      <w:numFmt w:val="lowerRoman"/>
      <w:lvlText w:val="%3."/>
      <w:lvlJc w:val="right"/>
      <w:pPr>
        <w:ind w:left="2880" w:hanging="180"/>
      </w:pPr>
      <w:rPr>
        <w:rFonts w:cs="Times New Roman"/>
      </w:rPr>
    </w:lvl>
    <w:lvl w:ilvl="3" w:tplc="F6B8A798" w:tentative="1">
      <w:start w:val="1"/>
      <w:numFmt w:val="decimal"/>
      <w:lvlText w:val="%4."/>
      <w:lvlJc w:val="left"/>
      <w:pPr>
        <w:ind w:left="3600" w:hanging="360"/>
      </w:pPr>
      <w:rPr>
        <w:rFonts w:cs="Times New Roman"/>
      </w:rPr>
    </w:lvl>
    <w:lvl w:ilvl="4" w:tplc="01B60A1E" w:tentative="1">
      <w:start w:val="1"/>
      <w:numFmt w:val="lowerLetter"/>
      <w:lvlText w:val="%5."/>
      <w:lvlJc w:val="left"/>
      <w:pPr>
        <w:ind w:left="4320" w:hanging="360"/>
      </w:pPr>
      <w:rPr>
        <w:rFonts w:cs="Times New Roman"/>
      </w:rPr>
    </w:lvl>
    <w:lvl w:ilvl="5" w:tplc="64625ADA" w:tentative="1">
      <w:start w:val="1"/>
      <w:numFmt w:val="lowerRoman"/>
      <w:lvlText w:val="%6."/>
      <w:lvlJc w:val="right"/>
      <w:pPr>
        <w:ind w:left="5040" w:hanging="180"/>
      </w:pPr>
      <w:rPr>
        <w:rFonts w:cs="Times New Roman"/>
      </w:rPr>
    </w:lvl>
    <w:lvl w:ilvl="6" w:tplc="BC1C1856" w:tentative="1">
      <w:start w:val="1"/>
      <w:numFmt w:val="decimal"/>
      <w:lvlText w:val="%7."/>
      <w:lvlJc w:val="left"/>
      <w:pPr>
        <w:ind w:left="5760" w:hanging="360"/>
      </w:pPr>
      <w:rPr>
        <w:rFonts w:cs="Times New Roman"/>
      </w:rPr>
    </w:lvl>
    <w:lvl w:ilvl="7" w:tplc="FD704878" w:tentative="1">
      <w:start w:val="1"/>
      <w:numFmt w:val="lowerLetter"/>
      <w:lvlText w:val="%8."/>
      <w:lvlJc w:val="left"/>
      <w:pPr>
        <w:ind w:left="6480" w:hanging="360"/>
      </w:pPr>
      <w:rPr>
        <w:rFonts w:cs="Times New Roman"/>
      </w:rPr>
    </w:lvl>
    <w:lvl w:ilvl="8" w:tplc="83888CDC" w:tentative="1">
      <w:start w:val="1"/>
      <w:numFmt w:val="lowerRoman"/>
      <w:lvlText w:val="%9."/>
      <w:lvlJc w:val="right"/>
      <w:pPr>
        <w:ind w:left="7200" w:hanging="180"/>
      </w:pPr>
      <w:rPr>
        <w:rFonts w:cs="Times New Roman"/>
      </w:rPr>
    </w:lvl>
  </w:abstractNum>
  <w:abstractNum w:abstractNumId="18">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06A2B64"/>
    <w:multiLevelType w:val="hybridMultilevel"/>
    <w:tmpl w:val="BFF24B80"/>
    <w:lvl w:ilvl="0" w:tplc="5D82D184">
      <w:start w:val="1"/>
      <w:numFmt w:val="decimal"/>
      <w:lvlText w:val="%1."/>
      <w:lvlJc w:val="left"/>
      <w:pPr>
        <w:tabs>
          <w:tab w:val="num" w:pos="720"/>
        </w:tabs>
        <w:ind w:left="720" w:hanging="360"/>
      </w:pPr>
      <w:rPr>
        <w:rFonts w:cs="Times New Roman"/>
      </w:rPr>
    </w:lvl>
    <w:lvl w:ilvl="1" w:tplc="750A8F08" w:tentative="1">
      <w:start w:val="1"/>
      <w:numFmt w:val="lowerLetter"/>
      <w:lvlText w:val="%2."/>
      <w:lvlJc w:val="left"/>
      <w:pPr>
        <w:tabs>
          <w:tab w:val="num" w:pos="1440"/>
        </w:tabs>
        <w:ind w:left="1440" w:hanging="360"/>
      </w:pPr>
      <w:rPr>
        <w:rFonts w:cs="Times New Roman"/>
      </w:rPr>
    </w:lvl>
    <w:lvl w:ilvl="2" w:tplc="CCF2FF5A" w:tentative="1">
      <w:start w:val="1"/>
      <w:numFmt w:val="lowerRoman"/>
      <w:lvlText w:val="%3."/>
      <w:lvlJc w:val="right"/>
      <w:pPr>
        <w:tabs>
          <w:tab w:val="num" w:pos="2160"/>
        </w:tabs>
        <w:ind w:left="2160" w:hanging="180"/>
      </w:pPr>
      <w:rPr>
        <w:rFonts w:cs="Times New Roman"/>
      </w:rPr>
    </w:lvl>
    <w:lvl w:ilvl="3" w:tplc="BFA80A26" w:tentative="1">
      <w:start w:val="1"/>
      <w:numFmt w:val="decimal"/>
      <w:lvlText w:val="%4."/>
      <w:lvlJc w:val="left"/>
      <w:pPr>
        <w:tabs>
          <w:tab w:val="num" w:pos="2880"/>
        </w:tabs>
        <w:ind w:left="2880" w:hanging="360"/>
      </w:pPr>
      <w:rPr>
        <w:rFonts w:cs="Times New Roman"/>
      </w:rPr>
    </w:lvl>
    <w:lvl w:ilvl="4" w:tplc="C13C9254" w:tentative="1">
      <w:start w:val="1"/>
      <w:numFmt w:val="lowerLetter"/>
      <w:lvlText w:val="%5."/>
      <w:lvlJc w:val="left"/>
      <w:pPr>
        <w:tabs>
          <w:tab w:val="num" w:pos="3600"/>
        </w:tabs>
        <w:ind w:left="3600" w:hanging="360"/>
      </w:pPr>
      <w:rPr>
        <w:rFonts w:cs="Times New Roman"/>
      </w:rPr>
    </w:lvl>
    <w:lvl w:ilvl="5" w:tplc="37D2F372" w:tentative="1">
      <w:start w:val="1"/>
      <w:numFmt w:val="lowerRoman"/>
      <w:lvlText w:val="%6."/>
      <w:lvlJc w:val="right"/>
      <w:pPr>
        <w:tabs>
          <w:tab w:val="num" w:pos="4320"/>
        </w:tabs>
        <w:ind w:left="4320" w:hanging="180"/>
      </w:pPr>
      <w:rPr>
        <w:rFonts w:cs="Times New Roman"/>
      </w:rPr>
    </w:lvl>
    <w:lvl w:ilvl="6" w:tplc="04AEFD5E" w:tentative="1">
      <w:start w:val="1"/>
      <w:numFmt w:val="decimal"/>
      <w:lvlText w:val="%7."/>
      <w:lvlJc w:val="left"/>
      <w:pPr>
        <w:tabs>
          <w:tab w:val="num" w:pos="5040"/>
        </w:tabs>
        <w:ind w:left="5040" w:hanging="360"/>
      </w:pPr>
      <w:rPr>
        <w:rFonts w:cs="Times New Roman"/>
      </w:rPr>
    </w:lvl>
    <w:lvl w:ilvl="7" w:tplc="9B1E47F2" w:tentative="1">
      <w:start w:val="1"/>
      <w:numFmt w:val="lowerLetter"/>
      <w:lvlText w:val="%8."/>
      <w:lvlJc w:val="left"/>
      <w:pPr>
        <w:tabs>
          <w:tab w:val="num" w:pos="5760"/>
        </w:tabs>
        <w:ind w:left="5760" w:hanging="360"/>
      </w:pPr>
      <w:rPr>
        <w:rFonts w:cs="Times New Roman"/>
      </w:rPr>
    </w:lvl>
    <w:lvl w:ilvl="8" w:tplc="6EF2B7FE" w:tentative="1">
      <w:start w:val="1"/>
      <w:numFmt w:val="lowerRoman"/>
      <w:lvlText w:val="%9."/>
      <w:lvlJc w:val="right"/>
      <w:pPr>
        <w:tabs>
          <w:tab w:val="num" w:pos="6480"/>
        </w:tabs>
        <w:ind w:left="6480" w:hanging="180"/>
      </w:pPr>
      <w:rPr>
        <w:rFonts w:cs="Times New Roman"/>
      </w:rPr>
    </w:lvl>
  </w:abstractNum>
  <w:abstractNum w:abstractNumId="25">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6B40156"/>
    <w:multiLevelType w:val="hybridMultilevel"/>
    <w:tmpl w:val="B4AEE59C"/>
    <w:lvl w:ilvl="0" w:tplc="F19686FC">
      <w:start w:val="1"/>
      <w:numFmt w:val="decimal"/>
      <w:lvlText w:val="(%1)"/>
      <w:lvlJc w:val="left"/>
      <w:pPr>
        <w:ind w:left="1440" w:hanging="360"/>
      </w:pPr>
      <w:rPr>
        <w:rFonts w:cs="Times New Roman" w:hint="default"/>
      </w:rPr>
    </w:lvl>
    <w:lvl w:ilvl="1" w:tplc="0534DC42" w:tentative="1">
      <w:start w:val="1"/>
      <w:numFmt w:val="lowerLetter"/>
      <w:lvlText w:val="%2."/>
      <w:lvlJc w:val="left"/>
      <w:pPr>
        <w:ind w:left="1440" w:hanging="360"/>
      </w:pPr>
      <w:rPr>
        <w:rFonts w:cs="Times New Roman"/>
      </w:rPr>
    </w:lvl>
    <w:lvl w:ilvl="2" w:tplc="598A7E78" w:tentative="1">
      <w:start w:val="1"/>
      <w:numFmt w:val="lowerRoman"/>
      <w:lvlText w:val="%3."/>
      <w:lvlJc w:val="right"/>
      <w:pPr>
        <w:ind w:left="2160" w:hanging="180"/>
      </w:pPr>
      <w:rPr>
        <w:rFonts w:cs="Times New Roman"/>
      </w:rPr>
    </w:lvl>
    <w:lvl w:ilvl="3" w:tplc="24C02914" w:tentative="1">
      <w:start w:val="1"/>
      <w:numFmt w:val="decimal"/>
      <w:lvlText w:val="%4."/>
      <w:lvlJc w:val="left"/>
      <w:pPr>
        <w:ind w:left="2880" w:hanging="360"/>
      </w:pPr>
      <w:rPr>
        <w:rFonts w:cs="Times New Roman"/>
      </w:rPr>
    </w:lvl>
    <w:lvl w:ilvl="4" w:tplc="35A0BEC4" w:tentative="1">
      <w:start w:val="1"/>
      <w:numFmt w:val="lowerLetter"/>
      <w:lvlText w:val="%5."/>
      <w:lvlJc w:val="left"/>
      <w:pPr>
        <w:ind w:left="3600" w:hanging="360"/>
      </w:pPr>
      <w:rPr>
        <w:rFonts w:cs="Times New Roman"/>
      </w:rPr>
    </w:lvl>
    <w:lvl w:ilvl="5" w:tplc="D4848DDA" w:tentative="1">
      <w:start w:val="1"/>
      <w:numFmt w:val="lowerRoman"/>
      <w:lvlText w:val="%6."/>
      <w:lvlJc w:val="right"/>
      <w:pPr>
        <w:ind w:left="4320" w:hanging="180"/>
      </w:pPr>
      <w:rPr>
        <w:rFonts w:cs="Times New Roman"/>
      </w:rPr>
    </w:lvl>
    <w:lvl w:ilvl="6" w:tplc="4A945E26" w:tentative="1">
      <w:start w:val="1"/>
      <w:numFmt w:val="decimal"/>
      <w:lvlText w:val="%7."/>
      <w:lvlJc w:val="left"/>
      <w:pPr>
        <w:ind w:left="5040" w:hanging="360"/>
      </w:pPr>
      <w:rPr>
        <w:rFonts w:cs="Times New Roman"/>
      </w:rPr>
    </w:lvl>
    <w:lvl w:ilvl="7" w:tplc="4A8E7AEC" w:tentative="1">
      <w:start w:val="1"/>
      <w:numFmt w:val="lowerLetter"/>
      <w:lvlText w:val="%8."/>
      <w:lvlJc w:val="left"/>
      <w:pPr>
        <w:ind w:left="5760" w:hanging="360"/>
      </w:pPr>
      <w:rPr>
        <w:rFonts w:cs="Times New Roman"/>
      </w:rPr>
    </w:lvl>
    <w:lvl w:ilvl="8" w:tplc="43B2813E" w:tentative="1">
      <w:start w:val="1"/>
      <w:numFmt w:val="lowerRoman"/>
      <w:lvlText w:val="%9."/>
      <w:lvlJc w:val="right"/>
      <w:pPr>
        <w:ind w:left="6480" w:hanging="180"/>
      </w:pPr>
      <w:rPr>
        <w:rFonts w:cs="Times New Roman"/>
      </w:rPr>
    </w:lvl>
  </w:abstractNum>
  <w:abstractNum w:abstractNumId="28">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71739E9"/>
    <w:multiLevelType w:val="hybridMultilevel"/>
    <w:tmpl w:val="B29C98A0"/>
    <w:lvl w:ilvl="0" w:tplc="ACBE7D2A">
      <w:start w:val="1"/>
      <w:numFmt w:val="bullet"/>
      <w:lvlText w:val=""/>
      <w:lvlJc w:val="left"/>
      <w:pPr>
        <w:tabs>
          <w:tab w:val="num" w:pos="5760"/>
        </w:tabs>
        <w:ind w:left="5760" w:hanging="360"/>
      </w:pPr>
      <w:rPr>
        <w:rFonts w:ascii="Symbol" w:hAnsi="Symbol" w:hint="default"/>
        <w:color w:val="auto"/>
        <w:u w:val="none"/>
      </w:rPr>
    </w:lvl>
    <w:lvl w:ilvl="1" w:tplc="1EEA53C2" w:tentative="1">
      <w:start w:val="1"/>
      <w:numFmt w:val="bullet"/>
      <w:lvlText w:val="o"/>
      <w:lvlJc w:val="left"/>
      <w:pPr>
        <w:tabs>
          <w:tab w:val="num" w:pos="3600"/>
        </w:tabs>
        <w:ind w:left="3600" w:hanging="360"/>
      </w:pPr>
      <w:rPr>
        <w:rFonts w:ascii="Courier New" w:hAnsi="Courier New" w:hint="default"/>
      </w:rPr>
    </w:lvl>
    <w:lvl w:ilvl="2" w:tplc="8A44D690" w:tentative="1">
      <w:start w:val="1"/>
      <w:numFmt w:val="bullet"/>
      <w:lvlText w:val=""/>
      <w:lvlJc w:val="left"/>
      <w:pPr>
        <w:tabs>
          <w:tab w:val="num" w:pos="4320"/>
        </w:tabs>
        <w:ind w:left="4320" w:hanging="360"/>
      </w:pPr>
      <w:rPr>
        <w:rFonts w:ascii="Wingdings" w:hAnsi="Wingdings" w:hint="default"/>
      </w:rPr>
    </w:lvl>
    <w:lvl w:ilvl="3" w:tplc="D4403708">
      <w:start w:val="1"/>
      <w:numFmt w:val="bullet"/>
      <w:lvlText w:val=""/>
      <w:lvlJc w:val="left"/>
      <w:pPr>
        <w:tabs>
          <w:tab w:val="num" w:pos="5040"/>
        </w:tabs>
        <w:ind w:left="5040" w:hanging="360"/>
      </w:pPr>
      <w:rPr>
        <w:rFonts w:ascii="Symbol" w:hAnsi="Symbol" w:hint="default"/>
      </w:rPr>
    </w:lvl>
    <w:lvl w:ilvl="4" w:tplc="ADF4F5AE" w:tentative="1">
      <w:start w:val="1"/>
      <w:numFmt w:val="bullet"/>
      <w:lvlText w:val="o"/>
      <w:lvlJc w:val="left"/>
      <w:pPr>
        <w:tabs>
          <w:tab w:val="num" w:pos="5760"/>
        </w:tabs>
        <w:ind w:left="5760" w:hanging="360"/>
      </w:pPr>
      <w:rPr>
        <w:rFonts w:ascii="Courier New" w:hAnsi="Courier New" w:hint="default"/>
      </w:rPr>
    </w:lvl>
    <w:lvl w:ilvl="5" w:tplc="D13ED76A" w:tentative="1">
      <w:start w:val="1"/>
      <w:numFmt w:val="bullet"/>
      <w:lvlText w:val=""/>
      <w:lvlJc w:val="left"/>
      <w:pPr>
        <w:tabs>
          <w:tab w:val="num" w:pos="6480"/>
        </w:tabs>
        <w:ind w:left="6480" w:hanging="360"/>
      </w:pPr>
      <w:rPr>
        <w:rFonts w:ascii="Wingdings" w:hAnsi="Wingdings" w:hint="default"/>
      </w:rPr>
    </w:lvl>
    <w:lvl w:ilvl="6" w:tplc="7BF26516" w:tentative="1">
      <w:start w:val="1"/>
      <w:numFmt w:val="bullet"/>
      <w:lvlText w:val=""/>
      <w:lvlJc w:val="left"/>
      <w:pPr>
        <w:tabs>
          <w:tab w:val="num" w:pos="7200"/>
        </w:tabs>
        <w:ind w:left="7200" w:hanging="360"/>
      </w:pPr>
      <w:rPr>
        <w:rFonts w:ascii="Symbol" w:hAnsi="Symbol" w:hint="default"/>
      </w:rPr>
    </w:lvl>
    <w:lvl w:ilvl="7" w:tplc="518257EA" w:tentative="1">
      <w:start w:val="1"/>
      <w:numFmt w:val="bullet"/>
      <w:lvlText w:val="o"/>
      <w:lvlJc w:val="left"/>
      <w:pPr>
        <w:tabs>
          <w:tab w:val="num" w:pos="7920"/>
        </w:tabs>
        <w:ind w:left="7920" w:hanging="360"/>
      </w:pPr>
      <w:rPr>
        <w:rFonts w:ascii="Courier New" w:hAnsi="Courier New" w:hint="default"/>
      </w:rPr>
    </w:lvl>
    <w:lvl w:ilvl="8" w:tplc="1368FB2C" w:tentative="1">
      <w:start w:val="1"/>
      <w:numFmt w:val="bullet"/>
      <w:lvlText w:val=""/>
      <w:lvlJc w:val="left"/>
      <w:pPr>
        <w:tabs>
          <w:tab w:val="num" w:pos="8640"/>
        </w:tabs>
        <w:ind w:left="8640" w:hanging="360"/>
      </w:pPr>
      <w:rPr>
        <w:rFonts w:ascii="Wingdings" w:hAnsi="Wingdings" w:hint="default"/>
      </w:rPr>
    </w:lvl>
  </w:abstractNum>
  <w:abstractNum w:abstractNumId="32">
    <w:nsid w:val="6782372F"/>
    <w:multiLevelType w:val="hybridMultilevel"/>
    <w:tmpl w:val="9042AA22"/>
    <w:lvl w:ilvl="0" w:tplc="D7DA3F4A">
      <w:start w:val="1"/>
      <w:numFmt w:val="lowerRoman"/>
      <w:lvlText w:val="%1."/>
      <w:lvlJc w:val="right"/>
      <w:pPr>
        <w:ind w:left="2160" w:hanging="720"/>
      </w:pPr>
      <w:rPr>
        <w:rFonts w:cs="Times New Roman" w:hint="default"/>
        <w:b/>
      </w:rPr>
    </w:lvl>
    <w:lvl w:ilvl="1" w:tplc="583C7C48">
      <w:start w:val="1"/>
      <w:numFmt w:val="lowerLetter"/>
      <w:lvlText w:val="%2."/>
      <w:lvlJc w:val="left"/>
      <w:pPr>
        <w:ind w:left="2520" w:hanging="360"/>
      </w:pPr>
      <w:rPr>
        <w:rFonts w:cs="Times New Roman"/>
      </w:rPr>
    </w:lvl>
    <w:lvl w:ilvl="2" w:tplc="44025AB8" w:tentative="1">
      <w:start w:val="1"/>
      <w:numFmt w:val="lowerRoman"/>
      <w:lvlText w:val="%3."/>
      <w:lvlJc w:val="right"/>
      <w:pPr>
        <w:ind w:left="3240" w:hanging="180"/>
      </w:pPr>
      <w:rPr>
        <w:rFonts w:cs="Times New Roman"/>
      </w:rPr>
    </w:lvl>
    <w:lvl w:ilvl="3" w:tplc="CF8CB946" w:tentative="1">
      <w:start w:val="1"/>
      <w:numFmt w:val="decimal"/>
      <w:lvlText w:val="%4."/>
      <w:lvlJc w:val="left"/>
      <w:pPr>
        <w:ind w:left="3960" w:hanging="360"/>
      </w:pPr>
      <w:rPr>
        <w:rFonts w:cs="Times New Roman"/>
      </w:rPr>
    </w:lvl>
    <w:lvl w:ilvl="4" w:tplc="665EBD12" w:tentative="1">
      <w:start w:val="1"/>
      <w:numFmt w:val="lowerLetter"/>
      <w:lvlText w:val="%5."/>
      <w:lvlJc w:val="left"/>
      <w:pPr>
        <w:ind w:left="4680" w:hanging="360"/>
      </w:pPr>
      <w:rPr>
        <w:rFonts w:cs="Times New Roman"/>
      </w:rPr>
    </w:lvl>
    <w:lvl w:ilvl="5" w:tplc="F414456E" w:tentative="1">
      <w:start w:val="1"/>
      <w:numFmt w:val="lowerRoman"/>
      <w:lvlText w:val="%6."/>
      <w:lvlJc w:val="right"/>
      <w:pPr>
        <w:ind w:left="5400" w:hanging="180"/>
      </w:pPr>
      <w:rPr>
        <w:rFonts w:cs="Times New Roman"/>
      </w:rPr>
    </w:lvl>
    <w:lvl w:ilvl="6" w:tplc="0768A24E" w:tentative="1">
      <w:start w:val="1"/>
      <w:numFmt w:val="decimal"/>
      <w:lvlText w:val="%7."/>
      <w:lvlJc w:val="left"/>
      <w:pPr>
        <w:ind w:left="6120" w:hanging="360"/>
      </w:pPr>
      <w:rPr>
        <w:rFonts w:cs="Times New Roman"/>
      </w:rPr>
    </w:lvl>
    <w:lvl w:ilvl="7" w:tplc="062E8EA2" w:tentative="1">
      <w:start w:val="1"/>
      <w:numFmt w:val="lowerLetter"/>
      <w:lvlText w:val="%8."/>
      <w:lvlJc w:val="left"/>
      <w:pPr>
        <w:ind w:left="6840" w:hanging="360"/>
      </w:pPr>
      <w:rPr>
        <w:rFonts w:cs="Times New Roman"/>
      </w:rPr>
    </w:lvl>
    <w:lvl w:ilvl="8" w:tplc="52C81238" w:tentative="1">
      <w:start w:val="1"/>
      <w:numFmt w:val="lowerRoman"/>
      <w:lvlText w:val="%9."/>
      <w:lvlJc w:val="right"/>
      <w:pPr>
        <w:ind w:left="7560" w:hanging="180"/>
      </w:pPr>
      <w:rPr>
        <w:rFonts w:cs="Times New Roman"/>
      </w:rPr>
    </w:lvl>
  </w:abstractNum>
  <w:abstractNum w:abstractNumId="33">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C6C4BCD"/>
    <w:multiLevelType w:val="hybridMultilevel"/>
    <w:tmpl w:val="D486CF1A"/>
    <w:lvl w:ilvl="0" w:tplc="4454C1D6">
      <w:start w:val="1"/>
      <w:numFmt w:val="decimal"/>
      <w:lvlText w:val="(%1)"/>
      <w:lvlJc w:val="left"/>
      <w:pPr>
        <w:tabs>
          <w:tab w:val="num" w:pos="2520"/>
        </w:tabs>
        <w:ind w:left="2520" w:hanging="720"/>
      </w:pPr>
      <w:rPr>
        <w:rFonts w:cs="Times New Roman" w:hint="default"/>
      </w:rPr>
    </w:lvl>
    <w:lvl w:ilvl="1" w:tplc="D1240072">
      <w:start w:val="1"/>
      <w:numFmt w:val="lowerRoman"/>
      <w:lvlText w:val="(%2)"/>
      <w:lvlJc w:val="left"/>
      <w:pPr>
        <w:tabs>
          <w:tab w:val="num" w:pos="1800"/>
        </w:tabs>
        <w:ind w:left="1800" w:hanging="720"/>
      </w:pPr>
      <w:rPr>
        <w:rFonts w:cs="Times New Roman" w:hint="default"/>
        <w:b w:val="0"/>
      </w:rPr>
    </w:lvl>
    <w:lvl w:ilvl="2" w:tplc="87C2A308">
      <w:start w:val="1"/>
      <w:numFmt w:val="decimal"/>
      <w:lvlText w:val="(%3)"/>
      <w:lvlJc w:val="right"/>
      <w:pPr>
        <w:tabs>
          <w:tab w:val="num" w:pos="2160"/>
        </w:tabs>
        <w:ind w:left="2160" w:hanging="180"/>
      </w:pPr>
      <w:rPr>
        <w:rFonts w:ascii="Times New Roman" w:eastAsia="Times New Roman" w:hAnsi="Times New Roman" w:cs="Times New Roman"/>
        <w:b w:val="0"/>
      </w:rPr>
    </w:lvl>
    <w:lvl w:ilvl="3" w:tplc="F09AC580">
      <w:start w:val="1"/>
      <w:numFmt w:val="lowerRoman"/>
      <w:lvlText w:val="(%4)"/>
      <w:lvlJc w:val="left"/>
      <w:pPr>
        <w:tabs>
          <w:tab w:val="num" w:pos="2520"/>
        </w:tabs>
        <w:ind w:left="2880" w:hanging="360"/>
      </w:pPr>
      <w:rPr>
        <w:rFonts w:cs="Times New Roman" w:hint="default"/>
        <w:b w:val="0"/>
      </w:rPr>
    </w:lvl>
    <w:lvl w:ilvl="4" w:tplc="75EC799E" w:tentative="1">
      <w:start w:val="1"/>
      <w:numFmt w:val="lowerLetter"/>
      <w:lvlText w:val="%5."/>
      <w:lvlJc w:val="left"/>
      <w:pPr>
        <w:tabs>
          <w:tab w:val="num" w:pos="3600"/>
        </w:tabs>
        <w:ind w:left="3600" w:hanging="360"/>
      </w:pPr>
      <w:rPr>
        <w:rFonts w:cs="Times New Roman"/>
      </w:rPr>
    </w:lvl>
    <w:lvl w:ilvl="5" w:tplc="08447AD0" w:tentative="1">
      <w:start w:val="1"/>
      <w:numFmt w:val="lowerRoman"/>
      <w:lvlText w:val="%6."/>
      <w:lvlJc w:val="right"/>
      <w:pPr>
        <w:tabs>
          <w:tab w:val="num" w:pos="4320"/>
        </w:tabs>
        <w:ind w:left="4320" w:hanging="180"/>
      </w:pPr>
      <w:rPr>
        <w:rFonts w:cs="Times New Roman"/>
      </w:rPr>
    </w:lvl>
    <w:lvl w:ilvl="6" w:tplc="1E1A3FD4" w:tentative="1">
      <w:start w:val="1"/>
      <w:numFmt w:val="decimal"/>
      <w:lvlText w:val="%7."/>
      <w:lvlJc w:val="left"/>
      <w:pPr>
        <w:tabs>
          <w:tab w:val="num" w:pos="5040"/>
        </w:tabs>
        <w:ind w:left="5040" w:hanging="360"/>
      </w:pPr>
      <w:rPr>
        <w:rFonts w:cs="Times New Roman"/>
      </w:rPr>
    </w:lvl>
    <w:lvl w:ilvl="7" w:tplc="0498BD14" w:tentative="1">
      <w:start w:val="1"/>
      <w:numFmt w:val="lowerLetter"/>
      <w:lvlText w:val="%8."/>
      <w:lvlJc w:val="left"/>
      <w:pPr>
        <w:tabs>
          <w:tab w:val="num" w:pos="5760"/>
        </w:tabs>
        <w:ind w:left="5760" w:hanging="360"/>
      </w:pPr>
      <w:rPr>
        <w:rFonts w:cs="Times New Roman"/>
      </w:rPr>
    </w:lvl>
    <w:lvl w:ilvl="8" w:tplc="485C6ACA" w:tentative="1">
      <w:start w:val="1"/>
      <w:numFmt w:val="lowerRoman"/>
      <w:lvlText w:val="%9."/>
      <w:lvlJc w:val="right"/>
      <w:pPr>
        <w:tabs>
          <w:tab w:val="num" w:pos="6480"/>
        </w:tabs>
        <w:ind w:left="6480" w:hanging="180"/>
      </w:pPr>
      <w:rPr>
        <w:rFonts w:cs="Times New Roman"/>
      </w:rPr>
    </w:lvl>
  </w:abstractNum>
  <w:abstractNum w:abstractNumId="35">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6">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9">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4"/>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41"/>
  </w:num>
  <w:num w:numId="6">
    <w:abstractNumId w:val="34"/>
  </w:num>
  <w:num w:numId="7">
    <w:abstractNumId w:val="8"/>
  </w:num>
  <w:num w:numId="8">
    <w:abstractNumId w:val="6"/>
  </w:num>
  <w:num w:numId="9">
    <w:abstractNumId w:val="28"/>
  </w:num>
  <w:num w:numId="10">
    <w:abstractNumId w:val="25"/>
  </w:num>
  <w:num w:numId="11">
    <w:abstractNumId w:val="5"/>
  </w:num>
  <w:num w:numId="12">
    <w:abstractNumId w:val="30"/>
  </w:num>
  <w:num w:numId="13">
    <w:abstractNumId w:val="10"/>
  </w:num>
  <w:num w:numId="14">
    <w:abstractNumId w:val="26"/>
  </w:num>
  <w:num w:numId="15">
    <w:abstractNumId w:val="22"/>
  </w:num>
  <w:num w:numId="16">
    <w:abstractNumId w:val="19"/>
  </w:num>
  <w:num w:numId="17">
    <w:abstractNumId w:val="18"/>
  </w:num>
  <w:num w:numId="18">
    <w:abstractNumId w:val="7"/>
  </w:num>
  <w:num w:numId="19">
    <w:abstractNumId w:val="23"/>
  </w:num>
  <w:num w:numId="20">
    <w:abstractNumId w:val="1"/>
  </w:num>
  <w:num w:numId="21">
    <w:abstractNumId w:val="39"/>
  </w:num>
  <w:num w:numId="22">
    <w:abstractNumId w:val="29"/>
  </w:num>
  <w:num w:numId="23">
    <w:abstractNumId w:val="33"/>
  </w:num>
  <w:num w:numId="24">
    <w:abstractNumId w:val="3"/>
  </w:num>
  <w:num w:numId="25">
    <w:abstractNumId w:val="40"/>
  </w:num>
  <w:num w:numId="26">
    <w:abstractNumId w:val="37"/>
  </w:num>
  <w:num w:numId="27">
    <w:abstractNumId w:val="38"/>
  </w:num>
  <w:num w:numId="28">
    <w:abstractNumId w:val="13"/>
  </w:num>
  <w:num w:numId="29">
    <w:abstractNumId w:val="14"/>
  </w:num>
  <w:num w:numId="30">
    <w:abstractNumId w:val="35"/>
  </w:num>
  <w:num w:numId="31">
    <w:abstractNumId w:val="12"/>
  </w:num>
  <w:num w:numId="32">
    <w:abstractNumId w:val="36"/>
  </w:num>
  <w:num w:numId="33">
    <w:abstractNumId w:val="21"/>
  </w:num>
  <w:num w:numId="34">
    <w:abstractNumId w:val="20"/>
  </w:num>
  <w:num w:numId="35">
    <w:abstractNumId w:val="15"/>
  </w:num>
  <w:num w:numId="36">
    <w:abstractNumId w:val="11"/>
  </w:num>
  <w:num w:numId="37">
    <w:abstractNumId w:val="31"/>
  </w:num>
  <w:num w:numId="38">
    <w:abstractNumId w:val="17"/>
  </w:num>
  <w:num w:numId="39">
    <w:abstractNumId w:val="16"/>
  </w:num>
  <w:num w:numId="40">
    <w:abstractNumId w:val="4"/>
  </w:num>
  <w:num w:numId="41">
    <w:abstractNumId w:val="27"/>
  </w:num>
  <w:num w:numId="42">
    <w:abstractNumId w:val="32"/>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87"/>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ocation" w:val="0"/>
  </w:docVars>
  <w:rsids>
    <w:rsidRoot w:val="009A51D5"/>
    <w:rsid w:val="009A51D5"/>
    <w:rsid w:val="00C4682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attachedSchema w:val="schemas-workshare-com/workshare"/>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martTagType w:namespaceuri="urn:schemas-microsoft-com:office:smarttags" w:name="place"/>
  <w:smartTagType w:namespaceuri="schemas-workshare-com/workshare" w:name="confidentialinformationexposur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z w:val="24"/>
      <w:szCs w:val="24"/>
    </w:rPr>
  </w:style>
  <w:style w:type="character" w:customStyle="1" w:styleId="Heading2Char">
    <w:name w:val="Heading 2 Char"/>
    <w:basedOn w:val="DefaultParagraphFont"/>
    <w:link w:val="Heading2"/>
    <w:uiPriority w:val="99"/>
    <w:locked/>
    <w:rPr>
      <w:rFonts w:cs="Times New Roman"/>
      <w:b/>
      <w:sz w:val="24"/>
      <w:szCs w:val="24"/>
    </w:rPr>
  </w:style>
  <w:style w:type="character" w:customStyle="1" w:styleId="Heading3Char">
    <w:name w:val="Heading 3 Char"/>
    <w:basedOn w:val="DefaultParagraphFont"/>
    <w:link w:val="Heading3"/>
    <w:uiPriority w:val="99"/>
    <w:locked/>
    <w:rPr>
      <w:rFonts w:cs="Times New Roman"/>
      <w:b/>
      <w:sz w:val="24"/>
      <w:szCs w:val="24"/>
    </w:rPr>
  </w:style>
  <w:style w:type="character" w:customStyle="1" w:styleId="Heading4Char">
    <w:name w:val="Heading 4 Char"/>
    <w:basedOn w:val="DefaultParagraphFont"/>
    <w:link w:val="Heading4"/>
    <w:uiPriority w:val="99"/>
    <w:locked/>
    <w:rPr>
      <w:rFonts w:cs="Times New Roman"/>
      <w:b/>
      <w:sz w:val="24"/>
      <w:szCs w:val="24"/>
    </w:rPr>
  </w:style>
  <w:style w:type="character" w:customStyle="1" w:styleId="Heading5Char">
    <w:name w:val="Heading 5 Char"/>
    <w:basedOn w:val="DefaultParagraphFont"/>
    <w:link w:val="Heading5"/>
    <w:uiPriority w:val="99"/>
    <w:locked/>
    <w:rPr>
      <w:rFonts w:cs="Times New Roman"/>
      <w:b/>
      <w:sz w:val="24"/>
      <w:szCs w:val="24"/>
    </w:rPr>
  </w:style>
  <w:style w:type="character" w:customStyle="1" w:styleId="Heading6Char">
    <w:name w:val="Heading 6 Char"/>
    <w:basedOn w:val="DefaultParagraphFont"/>
    <w:link w:val="Heading6"/>
    <w:uiPriority w:val="99"/>
    <w:locked/>
    <w:rPr>
      <w:rFonts w:cs="Times New Roman"/>
      <w:b/>
      <w:sz w:val="24"/>
      <w:szCs w:val="24"/>
    </w:rPr>
  </w:style>
  <w:style w:type="character" w:customStyle="1" w:styleId="Heading7Char">
    <w:name w:val="Heading 7 Char"/>
    <w:basedOn w:val="DefaultParagraphFont"/>
    <w:link w:val="Heading7"/>
    <w:uiPriority w:val="99"/>
    <w:locked/>
    <w:rPr>
      <w:rFonts w:cs="Times New Roman"/>
      <w:b/>
      <w:sz w:val="24"/>
      <w:szCs w:val="24"/>
    </w:rPr>
  </w:style>
  <w:style w:type="character" w:customStyle="1" w:styleId="Heading8Char">
    <w:name w:val="Heading 8 Char"/>
    <w:basedOn w:val="DefaultParagraphFont"/>
    <w:link w:val="Heading8"/>
    <w:uiPriority w:val="99"/>
    <w:locked/>
    <w:rPr>
      <w:rFonts w:cs="Times New Roman"/>
      <w:b/>
      <w:sz w:val="24"/>
      <w:szCs w:val="24"/>
    </w:rPr>
  </w:style>
  <w:style w:type="character" w:customStyle="1" w:styleId="Heading9Char">
    <w:name w:val="Heading 9 Char"/>
    <w:basedOn w:val="DefaultParagraphFont"/>
    <w:link w:val="Heading9"/>
    <w:uiPriority w:val="99"/>
    <w:locked/>
    <w:rPr>
      <w:rFonts w:cs="Times New Roman"/>
      <w:b/>
      <w:sz w:val="24"/>
      <w:szCs w:val="24"/>
    </w:rPr>
  </w:style>
  <w:style w:type="character" w:customStyle="1" w:styleId="romannumeralparaChar">
    <w:name w:val="roman numeral para Char"/>
    <w:link w:val="romannumeralpara"/>
    <w:uiPriority w:val="99"/>
    <w:locked/>
    <w:rPr>
      <w:sz w:val="24"/>
    </w:rPr>
  </w:style>
  <w:style w:type="paragraph" w:customStyle="1" w:styleId="romannumeralpara">
    <w:name w:val="roman numeral para"/>
    <w:basedOn w:val="Normal"/>
    <w:link w:val="romannumeralparaChar"/>
    <w:pPr>
      <w:spacing w:line="480" w:lineRule="auto"/>
      <w:ind w:left="144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sz w:val="24"/>
      <w:szCs w:val="24"/>
    </w:rPr>
  </w:style>
  <w:style w:type="paragraph" w:customStyle="1" w:styleId="equationtext">
    <w:name w:val="equation text"/>
    <w:basedOn w:val="Normal"/>
    <w:pPr>
      <w:tabs>
        <w:tab w:val="left" w:pos="1620"/>
        <w:tab w:val="left" w:pos="2160"/>
      </w:tabs>
      <w:spacing w:before="120" w:after="120"/>
      <w:ind w:left="2160" w:hanging="1440"/>
    </w:p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locked/>
    <w:rPr>
      <w:rFonts w:cs="Arial"/>
      <w:bCs/>
      <w:sz w:val="32"/>
      <w:szCs w:val="32"/>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paragraph" w:styleId="Subtitle">
    <w:name w:val="Subtitle"/>
    <w:basedOn w:val="Normal"/>
    <w:link w:val="SubtitleChar"/>
    <w:uiPriority w:val="11"/>
    <w:qFormat/>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11"/>
    <w:locked/>
    <w:rPr>
      <w:rFonts w:asciiTheme="majorHAnsi" w:eastAsiaTheme="majorEastAsia" w:hAnsiTheme="majorHAnsi" w:cstheme="majorBidi"/>
      <w:sz w:val="24"/>
      <w:szCs w:val="24"/>
    </w:rPr>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Address">
    <w:name w:val="Address"/>
    <w:basedOn w:val="Normal"/>
    <w:pPr>
      <w:keepLines/>
    </w:pPr>
  </w:style>
  <w:style w:type="paragraph" w:styleId="FootnoteText">
    <w:name w:val="footnote text"/>
    <w:basedOn w:val="Normal"/>
    <w:link w:val="FootnoteTextChar"/>
    <w:uiPriority w:val="99"/>
    <w:semiHidden/>
    <w:pPr>
      <w:jc w:val="both"/>
    </w:pPr>
    <w:rPr>
      <w:sz w:val="20"/>
    </w:rPr>
  </w:style>
  <w:style w:type="character" w:customStyle="1" w:styleId="FootnoteTextChar">
    <w:name w:val="Footnote Text Char"/>
    <w:basedOn w:val="DefaultParagraphFont"/>
    <w:link w:val="FootnoteText"/>
    <w:uiPriority w:val="99"/>
    <w:semiHidden/>
    <w:locked/>
    <w:rPr>
      <w:rFonts w:cs="Times New Roman"/>
      <w:sz w:val="24"/>
      <w:szCs w:val="24"/>
    </w:rPr>
  </w:style>
  <w:style w:type="table" w:styleId="TableGrid">
    <w:name w:val="Table Grid"/>
    <w:basedOn w:val="TableNormal"/>
    <w:uiPriority w:val="59"/>
    <w:tbl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locked/>
    <w:rPr>
      <w:rFonts w:cs="Times New Roman"/>
      <w:sz w:val="24"/>
      <w:szCs w:val="24"/>
    </w:r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 w:val="24"/>
      <w:szCs w:val="24"/>
      <w:shd w:val="clear" w:color="auto" w:fill="00008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Tablecaption">
    <w:name w:val="Table caption"/>
    <w:basedOn w:val="Bodypara"/>
    <w:pPr>
      <w:ind w:firstLine="0"/>
      <w:jc w:val="center"/>
    </w:pPr>
    <w:rPr>
      <w:b/>
    </w:rPr>
  </w:style>
  <w:style w:type="paragraph" w:customStyle="1" w:styleId="Level1">
    <w:name w:val="Level 1"/>
    <w:basedOn w:val="Normal"/>
    <w:uiPriority w:val="99"/>
    <w:pPr>
      <w:ind w:left="1890" w:hanging="720"/>
    </w:pPr>
  </w:style>
  <w:style w:type="paragraph" w:customStyle="1" w:styleId="Footers">
    <w:name w:val="Footers"/>
    <w:basedOn w:val="Heading1"/>
    <w:uiPriority w:val="99"/>
    <w:pPr>
      <w:tabs>
        <w:tab w:val="left" w:pos="1440"/>
        <w:tab w:val="left" w:pos="7020"/>
        <w:tab w:val="right" w:pos="9360"/>
      </w:tabs>
    </w:pPr>
    <w:rPr>
      <w:b w:val="0"/>
      <w:sz w:val="20"/>
    </w:rPr>
  </w:style>
  <w:style w:type="character" w:styleId="CommentReference">
    <w:name w:val="annotation reference"/>
    <w:basedOn w:val="DefaultParagraphFont"/>
    <w:uiPriority w:val="99"/>
    <w:rPr>
      <w:rFonts w:cs="Times New Roman"/>
      <w:sz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rFonts w:cs="Times New Roman"/>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rFonts w:cs="Times New Roman"/>
      <w:b/>
    </w:rPr>
  </w:style>
  <w:style w:type="character" w:styleId="PageNumber">
    <w:name w:val="page number"/>
    <w:basedOn w:val="DefaultParagraphFont"/>
    <w:uiPriority w:val="99"/>
    <w:rPr>
      <w:rFonts w:cs="Times New Roman"/>
    </w:rPr>
  </w:style>
  <w:style w:type="paragraph" w:customStyle="1" w:styleId="Definitionhead">
    <w:name w:val="Definition head"/>
    <w:basedOn w:val="subhead"/>
    <w:uiPriority w:val="99"/>
    <w:pPr>
      <w:spacing w:after="0"/>
      <w:ind w:left="0"/>
    </w:pPr>
  </w:style>
  <w:style w:type="character" w:styleId="FollowedHyperlink">
    <w:name w:val="FollowedHyperlink"/>
    <w:basedOn w:val="DefaultParagraphFont"/>
    <w:uiPriority w:val="99"/>
    <w:rPr>
      <w:rFonts w:cs="Times New Roman"/>
      <w:color w:val="800080"/>
      <w:u w:val="single"/>
    </w:rPr>
  </w:style>
  <w:style w:type="character" w:customStyle="1" w:styleId="alphaparaChar">
    <w:name w:val="alpha para Char"/>
    <w:basedOn w:val="DefaultParagraphFont"/>
    <w:link w:val="alphapara"/>
    <w:uiPriority w:val="99"/>
    <w:locked/>
    <w:rPr>
      <w:rFonts w:cs="Times New Roman"/>
      <w:sz w:val="24"/>
      <w:szCs w:val="24"/>
    </w:rPr>
  </w:style>
  <w:style w:type="paragraph" w:styleId="Revision">
    <w:name w:val="Revision"/>
    <w:hidden/>
    <w:uiPriority w:val="99"/>
    <w:semiHidden/>
    <w:rPr>
      <w:rFonts w:ascii="Calibri" w:hAnsi="Calibri"/>
      <w:sz w:val="22"/>
      <w:szCs w:val="22"/>
    </w:r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rPr>
      <w:color w:val="808080"/>
    </w:rPr>
  </w:style>
  <w:style w:type="paragraph" w:customStyle="1" w:styleId="Default">
    <w:name w:val="Default"/>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z w:val="24"/>
      <w:szCs w:val="24"/>
    </w:rPr>
  </w:style>
  <w:style w:type="character" w:customStyle="1" w:styleId="Heading2Char">
    <w:name w:val="Heading 2 Char"/>
    <w:basedOn w:val="DefaultParagraphFont"/>
    <w:link w:val="Heading2"/>
    <w:uiPriority w:val="99"/>
    <w:locked/>
    <w:rPr>
      <w:rFonts w:cs="Times New Roman"/>
      <w:b/>
      <w:sz w:val="24"/>
      <w:szCs w:val="24"/>
    </w:rPr>
  </w:style>
  <w:style w:type="character" w:customStyle="1" w:styleId="Heading3Char">
    <w:name w:val="Heading 3 Char"/>
    <w:basedOn w:val="DefaultParagraphFont"/>
    <w:link w:val="Heading3"/>
    <w:uiPriority w:val="99"/>
    <w:locked/>
    <w:rPr>
      <w:rFonts w:cs="Times New Roman"/>
      <w:b/>
      <w:sz w:val="24"/>
      <w:szCs w:val="24"/>
    </w:rPr>
  </w:style>
  <w:style w:type="character" w:customStyle="1" w:styleId="Heading4Char">
    <w:name w:val="Heading 4 Char"/>
    <w:basedOn w:val="DefaultParagraphFont"/>
    <w:link w:val="Heading4"/>
    <w:uiPriority w:val="99"/>
    <w:locked/>
    <w:rPr>
      <w:rFonts w:cs="Times New Roman"/>
      <w:b/>
      <w:sz w:val="24"/>
      <w:szCs w:val="24"/>
    </w:rPr>
  </w:style>
  <w:style w:type="character" w:customStyle="1" w:styleId="Heading5Char">
    <w:name w:val="Heading 5 Char"/>
    <w:basedOn w:val="DefaultParagraphFont"/>
    <w:link w:val="Heading5"/>
    <w:uiPriority w:val="99"/>
    <w:locked/>
    <w:rPr>
      <w:rFonts w:cs="Times New Roman"/>
      <w:b/>
      <w:sz w:val="24"/>
      <w:szCs w:val="24"/>
    </w:rPr>
  </w:style>
  <w:style w:type="character" w:customStyle="1" w:styleId="Heading6Char">
    <w:name w:val="Heading 6 Char"/>
    <w:basedOn w:val="DefaultParagraphFont"/>
    <w:link w:val="Heading6"/>
    <w:uiPriority w:val="99"/>
    <w:locked/>
    <w:rPr>
      <w:rFonts w:cs="Times New Roman"/>
      <w:b/>
      <w:sz w:val="24"/>
      <w:szCs w:val="24"/>
    </w:rPr>
  </w:style>
  <w:style w:type="character" w:customStyle="1" w:styleId="Heading7Char">
    <w:name w:val="Heading 7 Char"/>
    <w:basedOn w:val="DefaultParagraphFont"/>
    <w:link w:val="Heading7"/>
    <w:uiPriority w:val="99"/>
    <w:locked/>
    <w:rPr>
      <w:rFonts w:cs="Times New Roman"/>
      <w:b/>
      <w:sz w:val="24"/>
      <w:szCs w:val="24"/>
    </w:rPr>
  </w:style>
  <w:style w:type="character" w:customStyle="1" w:styleId="Heading8Char">
    <w:name w:val="Heading 8 Char"/>
    <w:basedOn w:val="DefaultParagraphFont"/>
    <w:link w:val="Heading8"/>
    <w:uiPriority w:val="99"/>
    <w:locked/>
    <w:rPr>
      <w:rFonts w:cs="Times New Roman"/>
      <w:b/>
      <w:sz w:val="24"/>
      <w:szCs w:val="24"/>
    </w:rPr>
  </w:style>
  <w:style w:type="character" w:customStyle="1" w:styleId="Heading9Char">
    <w:name w:val="Heading 9 Char"/>
    <w:basedOn w:val="DefaultParagraphFont"/>
    <w:link w:val="Heading9"/>
    <w:uiPriority w:val="99"/>
    <w:locked/>
    <w:rPr>
      <w:rFonts w:cs="Times New Roman"/>
      <w:b/>
      <w:sz w:val="24"/>
      <w:szCs w:val="24"/>
    </w:rPr>
  </w:style>
  <w:style w:type="character" w:customStyle="1" w:styleId="romannumeralparaChar">
    <w:name w:val="roman numeral para Char"/>
    <w:link w:val="romannumeralpara"/>
    <w:uiPriority w:val="99"/>
    <w:locked/>
    <w:rPr>
      <w:sz w:val="24"/>
    </w:rPr>
  </w:style>
  <w:style w:type="paragraph" w:customStyle="1" w:styleId="romannumeralpara">
    <w:name w:val="roman numeral para"/>
    <w:basedOn w:val="Normal"/>
    <w:link w:val="romannumeralparaChar"/>
    <w:pPr>
      <w:spacing w:line="480" w:lineRule="auto"/>
      <w:ind w:left="144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sz w:val="24"/>
      <w:szCs w:val="24"/>
    </w:rPr>
  </w:style>
  <w:style w:type="paragraph" w:customStyle="1" w:styleId="equationtext">
    <w:name w:val="equation text"/>
    <w:basedOn w:val="Normal"/>
    <w:pPr>
      <w:tabs>
        <w:tab w:val="left" w:pos="1620"/>
        <w:tab w:val="left" w:pos="2160"/>
      </w:tabs>
      <w:spacing w:before="120" w:after="120"/>
      <w:ind w:left="2160" w:hanging="1440"/>
    </w:p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locked/>
    <w:rPr>
      <w:rFonts w:cs="Arial"/>
      <w:bCs/>
      <w:sz w:val="32"/>
      <w:szCs w:val="32"/>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paragraph" w:styleId="Subtitle">
    <w:name w:val="Subtitle"/>
    <w:basedOn w:val="Normal"/>
    <w:link w:val="SubtitleChar"/>
    <w:uiPriority w:val="11"/>
    <w:qFormat/>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11"/>
    <w:locked/>
    <w:rPr>
      <w:rFonts w:asciiTheme="majorHAnsi" w:eastAsiaTheme="majorEastAsia" w:hAnsiTheme="majorHAnsi" w:cstheme="majorBidi"/>
      <w:sz w:val="24"/>
      <w:szCs w:val="24"/>
    </w:rPr>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Address">
    <w:name w:val="Address"/>
    <w:basedOn w:val="Normal"/>
    <w:pPr>
      <w:keepLines/>
    </w:pPr>
  </w:style>
  <w:style w:type="paragraph" w:styleId="FootnoteText">
    <w:name w:val="footnote text"/>
    <w:basedOn w:val="Normal"/>
    <w:link w:val="FootnoteTextChar"/>
    <w:uiPriority w:val="99"/>
    <w:semiHidden/>
    <w:pPr>
      <w:jc w:val="both"/>
    </w:pPr>
    <w:rPr>
      <w:sz w:val="20"/>
    </w:rPr>
  </w:style>
  <w:style w:type="character" w:customStyle="1" w:styleId="FootnoteTextChar">
    <w:name w:val="Footnote Text Char"/>
    <w:basedOn w:val="DefaultParagraphFont"/>
    <w:link w:val="FootnoteText"/>
    <w:uiPriority w:val="99"/>
    <w:semiHidden/>
    <w:locked/>
    <w:rPr>
      <w:rFonts w:cs="Times New Roman"/>
      <w:sz w:val="24"/>
      <w:szCs w:val="24"/>
    </w:rPr>
  </w:style>
  <w:style w:type="table" w:styleId="TableGrid">
    <w:name w:val="Table Grid"/>
    <w:basedOn w:val="TableNormal"/>
    <w:uiPriority w:val="59"/>
    <w:tbl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locked/>
    <w:rPr>
      <w:rFonts w:cs="Times New Roman"/>
      <w:sz w:val="24"/>
      <w:szCs w:val="24"/>
    </w:r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 w:val="24"/>
      <w:szCs w:val="24"/>
      <w:shd w:val="clear" w:color="auto" w:fill="00008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Tablecaption">
    <w:name w:val="Table caption"/>
    <w:basedOn w:val="Bodypara"/>
    <w:pPr>
      <w:ind w:firstLine="0"/>
      <w:jc w:val="center"/>
    </w:pPr>
    <w:rPr>
      <w:b/>
    </w:rPr>
  </w:style>
  <w:style w:type="paragraph" w:customStyle="1" w:styleId="Level1">
    <w:name w:val="Level 1"/>
    <w:basedOn w:val="Normal"/>
    <w:uiPriority w:val="99"/>
    <w:pPr>
      <w:ind w:left="1890" w:hanging="720"/>
    </w:pPr>
  </w:style>
  <w:style w:type="paragraph" w:customStyle="1" w:styleId="Footers">
    <w:name w:val="Footers"/>
    <w:basedOn w:val="Heading1"/>
    <w:uiPriority w:val="99"/>
    <w:pPr>
      <w:tabs>
        <w:tab w:val="left" w:pos="1440"/>
        <w:tab w:val="left" w:pos="7020"/>
        <w:tab w:val="right" w:pos="9360"/>
      </w:tabs>
    </w:pPr>
    <w:rPr>
      <w:b w:val="0"/>
      <w:sz w:val="20"/>
    </w:rPr>
  </w:style>
  <w:style w:type="character" w:styleId="CommentReference">
    <w:name w:val="annotation reference"/>
    <w:basedOn w:val="DefaultParagraphFont"/>
    <w:uiPriority w:val="99"/>
    <w:rPr>
      <w:rFonts w:cs="Times New Roman"/>
      <w:sz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rFonts w:cs="Times New Roman"/>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rFonts w:cs="Times New Roman"/>
      <w:b/>
    </w:rPr>
  </w:style>
  <w:style w:type="character" w:styleId="PageNumber">
    <w:name w:val="page number"/>
    <w:basedOn w:val="DefaultParagraphFont"/>
    <w:uiPriority w:val="99"/>
    <w:rPr>
      <w:rFonts w:cs="Times New Roman"/>
    </w:rPr>
  </w:style>
  <w:style w:type="paragraph" w:customStyle="1" w:styleId="Definitionhead">
    <w:name w:val="Definition head"/>
    <w:basedOn w:val="subhead"/>
    <w:uiPriority w:val="99"/>
    <w:pPr>
      <w:spacing w:after="0"/>
      <w:ind w:left="0"/>
    </w:pPr>
  </w:style>
  <w:style w:type="character" w:styleId="FollowedHyperlink">
    <w:name w:val="FollowedHyperlink"/>
    <w:basedOn w:val="DefaultParagraphFont"/>
    <w:uiPriority w:val="99"/>
    <w:rPr>
      <w:rFonts w:cs="Times New Roman"/>
      <w:color w:val="800080"/>
      <w:u w:val="single"/>
    </w:rPr>
  </w:style>
  <w:style w:type="character" w:customStyle="1" w:styleId="alphaparaChar">
    <w:name w:val="alpha para Char"/>
    <w:basedOn w:val="DefaultParagraphFont"/>
    <w:link w:val="alphapara"/>
    <w:uiPriority w:val="99"/>
    <w:locked/>
    <w:rPr>
      <w:rFonts w:cs="Times New Roman"/>
      <w:sz w:val="24"/>
      <w:szCs w:val="24"/>
    </w:rPr>
  </w:style>
  <w:style w:type="paragraph" w:styleId="Revision">
    <w:name w:val="Revision"/>
    <w:hidden/>
    <w:uiPriority w:val="99"/>
    <w:semiHidden/>
    <w:rPr>
      <w:rFonts w:ascii="Calibri" w:hAnsi="Calibri"/>
      <w:sz w:val="22"/>
      <w:szCs w:val="22"/>
    </w:r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rPr>
      <w:color w:val="808080"/>
    </w:rPr>
  </w:style>
  <w:style w:type="paragraph" w:customStyle="1" w:styleId="Default">
    <w:name w:val="Default"/>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1CEFE8-B0A8-4EC5-AE1B-E28466C2F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9064</Words>
  <Characters>51671</Characters>
  <Application>Microsoft Office Word</Application>
  <DocSecurity>4</DocSecurity>
  <Lines>430</Lines>
  <Paragraphs>121</Paragraphs>
  <ScaleCrop>false</ScaleCrop>
  <HeadingPairs>
    <vt:vector size="2" baseType="variant">
      <vt:variant>
        <vt:lpstr>Title</vt:lpstr>
      </vt:variant>
      <vt:variant>
        <vt:i4>1</vt:i4>
      </vt:variant>
    </vt:vector>
  </HeadingPairs>
  <TitlesOfParts>
    <vt:vector size="1" baseType="lpstr">
      <vt:lpstr>26</vt:lpstr>
    </vt:vector>
  </TitlesOfParts>
  <Company>NYISO</Company>
  <LinksUpToDate>false</LinksUpToDate>
  <CharactersWithSpaces>60614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schnell</dc:creator>
  <cp:lastModifiedBy>TMS IIS</cp:lastModifiedBy>
  <cp:revision>2</cp:revision>
  <cp:lastPrinted>2019-03-06T15:53:00Z</cp:lastPrinted>
  <dcterms:created xsi:type="dcterms:W3CDTF">2024-04-17T15:17:00Z</dcterms:created>
  <dcterms:modified xsi:type="dcterms:W3CDTF">2024-04-17T15:17:00Z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ABAAVOAfoSrQoyycapbsM60xPH+IWsyadjWmgHCSlB3jZ3Ed1ki5o1pqpV7RnqFYnAFL</vt:lpwstr>
  </property>
  <property fmtid="{D5CDD505-2E9C-101B-9397-08002B2CF9AE}" pid="4" name="MAIL_MSG_ID2">
    <vt:lpwstr>bZXJWa1ts5Pvi7tpGFAxB0t2d1AAixdl1qMGDveRM+4ID09GU8deuPjQ5iMAw5tc02NRlQi9FhWSyk3QWr91VkW/gbpHeRrIg==</vt:lpwstr>
  </property>
  <property fmtid="{D5CDD505-2E9C-101B-9397-08002B2CF9AE}" pid="5" name="RESPONSE_SENDER_NAME">
    <vt:lpwstr>gAAAdya76B99d4hLGUR1rQ+8TxTv0GGEPdix</vt:lpwstr>
  </property>
  <property fmtid="{D5CDD505-2E9C-101B-9397-08002B2CF9AE}" pid="6" name="SWDocID">
    <vt:lpwstr/>
  </property>
  <property fmtid="{D5CDD505-2E9C-101B-9397-08002B2CF9AE}" pid="7" name="_AdHocReviewCycleID">
    <vt:i4>-1140150630</vt:i4>
  </property>
  <property fmtid="{D5CDD505-2E9C-101B-9397-08002B2CF9AE}" pid="8" name="_AuthorEmail">
    <vt:lpwstr>ajamieson@nyiso.com</vt:lpwstr>
  </property>
  <property fmtid="{D5CDD505-2E9C-101B-9397-08002B2CF9AE}" pid="9" name="_AuthorEmailDisplayName">
    <vt:lpwstr>Jamieson, Amie</vt:lpwstr>
  </property>
  <property fmtid="{D5CDD505-2E9C-101B-9397-08002B2CF9AE}" pid="10" name="_EmailSubject">
    <vt:lpwstr>Current version - MST 26.4   RE: Filing Letter for Fixed Price TCC Changes</vt:lpwstr>
  </property>
  <property fmtid="{D5CDD505-2E9C-101B-9397-08002B2CF9AE}" pid="11" name="_NewReviewCycle">
    <vt:lpwstr/>
  </property>
  <property fmtid="{D5CDD505-2E9C-101B-9397-08002B2CF9AE}" pid="12" name="_PreviousAdHocReviewCycleID">
    <vt:i4>-1784289687</vt:i4>
  </property>
  <property fmtid="{D5CDD505-2E9C-101B-9397-08002B2CF9AE}" pid="13" name="_ReviewingToolsShownOnce">
    <vt:lpwstr/>
  </property>
</Properties>
</file>