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2B" w:rsidRDefault="00574D61">
      <w:pPr>
        <w:pStyle w:val="Heading2"/>
      </w:pPr>
      <w:bookmarkStart w:id="0" w:name="_GoBack"/>
      <w:bookmarkEnd w:id="0"/>
      <w:r>
        <w:t>2.15</w:t>
      </w:r>
      <w:r>
        <w:tab/>
        <w:t>Definitions - O</w:t>
      </w:r>
    </w:p>
    <w:p w:rsidR="00100B2B" w:rsidRDefault="00574D61">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100B2B" w:rsidRDefault="00574D61">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100B2B" w:rsidRDefault="00574D61">
      <w:pPr>
        <w:pStyle w:val="Definition"/>
      </w:pPr>
      <w:r>
        <w:rPr>
          <w:b/>
        </w:rPr>
        <w:t>Offeror</w:t>
      </w:r>
      <w:r>
        <w:t>: An entity that offers to sell Unforced Capacity in an auction.</w:t>
      </w:r>
    </w:p>
    <w:p w:rsidR="00100B2B" w:rsidRDefault="00574D61">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100B2B" w:rsidRDefault="00574D61">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100B2B" w:rsidRDefault="00574D61">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w:t>
      </w:r>
      <w:r>
        <w:t>1.11) of Attachment Y of the OATT.</w:t>
      </w:r>
    </w:p>
    <w:p w:rsidR="00100B2B" w:rsidRDefault="00574D61">
      <w:pPr>
        <w:pStyle w:val="Definition"/>
      </w:pPr>
      <w:r>
        <w:rPr>
          <w:b/>
          <w:bCs/>
        </w:rPr>
        <w:t>Operating Capacity</w:t>
      </w:r>
      <w:r>
        <w:t>: Capacity that is readily converted to Energy and is measured in MW.</w:t>
      </w:r>
    </w:p>
    <w:p w:rsidR="00100B2B" w:rsidRDefault="00574D61">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100B2B" w:rsidRDefault="00574D61">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100B2B" w:rsidRDefault="00574D61">
      <w:pPr>
        <w:pStyle w:val="Definition"/>
      </w:pPr>
      <w:r>
        <w:rPr>
          <w:b/>
          <w:bCs/>
        </w:rPr>
        <w:t>Operating Requirement</w:t>
      </w:r>
      <w:r>
        <w:t>: The amount calculated in accordance with Section 26.4.2 of Attachment K to this Services Tariff.</w:t>
      </w:r>
    </w:p>
    <w:p w:rsidR="00100B2B" w:rsidRDefault="00574D61">
      <w:pPr>
        <w:pStyle w:val="Definition"/>
      </w:pPr>
      <w:r>
        <w:rPr>
          <w:b/>
          <w:bCs/>
        </w:rPr>
        <w:t xml:space="preserve">Operating Reserves </w:t>
      </w:r>
      <w:r>
        <w:t xml:space="preserve">: Capacity that is available to </w:t>
      </w:r>
      <w:del w:id="1" w:author="Zimberlin, Joy" w:date="2019-06-14T15:27:00Z">
        <w:r>
          <w:delText xml:space="preserve">supply </w:delText>
        </w:r>
      </w:del>
      <w:ins w:id="2" w:author="Zimberlin, Joy" w:date="2019-06-14T15:27:00Z">
        <w:r>
          <w:t xml:space="preserve">provide </w:t>
        </w:r>
      </w:ins>
      <w:r>
        <w:t>Ener</w:t>
      </w:r>
      <w:r>
        <w:t xml:space="preserve">gy </w:t>
      </w:r>
      <w:del w:id="3" w:author="Zimberlin, Joy" w:date="2019-06-14T15:27:00Z">
        <w:r>
          <w:delText xml:space="preserve">or reduce demand </w:delText>
        </w:r>
      </w:del>
      <w:r>
        <w:t xml:space="preserve">and that meets </w:t>
      </w:r>
      <w:del w:id="4" w:author="Zimberlin, Joy" w:date="2019-06-14T15:28:00Z">
        <w:r>
          <w:delText xml:space="preserve">the </w:delText>
        </w:r>
      </w:del>
      <w:ins w:id="5" w:author="Zimberlin, Joy" w:date="2019-06-14T15:28:00Z">
        <w:r>
          <w:t>all applicable</w:t>
        </w:r>
        <w:del w:id="6" w:author="Greg Campbell" w:date="2019-04-12T17:28:00Z">
          <w:r>
            <w:delText xml:space="preserve"> </w:delText>
          </w:r>
        </w:del>
        <w:r>
          <w:t xml:space="preserve"> </w:t>
        </w:r>
      </w:ins>
      <w:r>
        <w:t>requirements of the ISO</w:t>
      </w:r>
      <w:ins w:id="7" w:author="Zimberlin, Joy" w:date="2019-06-14T15:28:00Z">
        <w:r>
          <w:t>, NERC, NPCC and New York State Reliability Council</w:t>
        </w:r>
      </w:ins>
      <w:r>
        <w:t>.  The ISO will administer Operating Reserves markets, in the manner described in this Article 4 and Rate Schedule 4 of this IS</w:t>
      </w:r>
      <w:r>
        <w:t>O Services Tariff, to satisfy the various Operating Reserves requirements, including locational requirements, established by the Reliability Rules and other applicable reliability standards.  The basic Operating Reserves products that will be procured by t</w:t>
      </w:r>
      <w:r>
        <w:t>he ISO on behalf of the market are classified as follows:</w:t>
      </w:r>
    </w:p>
    <w:p w:rsidR="00100B2B" w:rsidRDefault="00574D61">
      <w:pPr>
        <w:pStyle w:val="Definitionindent"/>
        <w:ind w:left="1260" w:hanging="360"/>
      </w:pPr>
      <w:r>
        <w:lastRenderedPageBreak/>
        <w:t>(1)</w:t>
      </w:r>
      <w:r>
        <w:tab/>
        <w:t xml:space="preserve">Spinning Reserve:  Operating Reserves provided by Generators </w:t>
      </w:r>
      <w:del w:id="8" w:author="Zimberlin, Joy" w:date="2019-06-14T15:28:00Z">
        <w:r>
          <w:delText>and Demand Side Resources</w:delText>
        </w:r>
      </w:del>
      <w:ins w:id="9" w:author="Zimberlin, Joy" w:date="2019-06-14T15:28:00Z">
        <w:r>
          <w:t xml:space="preserve"> and Aggregations</w:t>
        </w:r>
      </w:ins>
      <w:r>
        <w:t xml:space="preserve"> that meet the eligibility criteria set forth in Rate Schedule 4 of this ISO Services Tarif</w:t>
      </w:r>
      <w:r>
        <w:t>f, are already synchronized to the NYS Power System, and can respond to instructions to change their output level, or reduce their Energy usage, within ten (10) minutes.  Generators utilizing inverter-based energy storage technology and that otherwise meet</w:t>
      </w:r>
      <w:r>
        <w:t xml:space="preserve"> the eligibility criteria set forth in this ISO Services Tariff may provide Spinning Reserves.  Spinning Reserves may not be provided </w:t>
      </w:r>
      <w:del w:id="10" w:author="Zimberlin, Joy" w:date="2019-06-14T15:29:00Z">
        <w:r>
          <w:delText>a Demand Side Resource that facilitates demand reduction using a Local Generator, unless that Local Generator utilizes inv</w:delText>
        </w:r>
        <w:r>
          <w:delText xml:space="preserve">erter-based energy storage technology, or </w:delText>
        </w:r>
      </w:del>
      <w:r>
        <w:t>by Behind-the-Meter Net Generation Resources that are comprised of more than one generating unit that are dispatched as a single aggregate unit</w:t>
      </w:r>
      <w:ins w:id="11" w:author="Zimberlin, Joy" w:date="2019-06-14T15:29:00Z">
        <w:r>
          <w:t>, or Aggregations comprised of one or more (i) generating units (unless</w:t>
        </w:r>
        <w:r>
          <w:t xml:space="preserve"> each of the generating units use inverter-based energy storage technology) or (ii) Demand Side Resources where at least one Demand Side Resource facilitates its Demand Reduction using a Local Generator (unless the Local Generator(s) use inverter-based ene</w:t>
        </w:r>
        <w:r>
          <w:t>rgy storage technology)</w:t>
        </w:r>
      </w:ins>
      <w:r>
        <w:t>;</w:t>
      </w:r>
    </w:p>
    <w:p w:rsidR="00100B2B" w:rsidRDefault="00574D61">
      <w:pPr>
        <w:pStyle w:val="Definitionindent"/>
        <w:ind w:left="1260" w:hanging="360"/>
      </w:pPr>
      <w:r>
        <w:t>(2)</w:t>
      </w:r>
      <w:r>
        <w:tab/>
        <w:t>10-Minute Non-Synchronized Reserve:  Operating Reserves provided by Generators</w:t>
      </w:r>
      <w:r>
        <w:rPr>
          <w:rPrChange w:id="12" w:author="Zimberlin, Joy" w:date="2019-06-14T16:22:00Z">
            <w:rPr>
              <w:i/>
            </w:rPr>
          </w:rPrChange>
        </w:rPr>
        <w:t>,</w:t>
      </w:r>
      <w:r>
        <w:rPr>
          <w:snapToGrid w:val="0"/>
          <w:szCs w:val="20"/>
        </w:rPr>
        <w:t xml:space="preserve"> </w:t>
      </w:r>
      <w:ins w:id="13" w:author="Zimberlin, Joy" w:date="2019-06-14T15:29:00Z">
        <w:r>
          <w:rPr>
            <w:snapToGrid w:val="0"/>
            <w:szCs w:val="20"/>
          </w:rPr>
          <w:t xml:space="preserve">Aggregations, or </w:t>
        </w:r>
      </w:ins>
      <w:r>
        <w:rPr>
          <w:snapToGrid w:val="0"/>
          <w:szCs w:val="20"/>
        </w:rPr>
        <w:t>Behind-the-Meter Net Generation Resources that are comprised of more than one generating unit that are dispatched as a single aggr</w:t>
      </w:r>
      <w:r>
        <w:rPr>
          <w:snapToGrid w:val="0"/>
          <w:szCs w:val="20"/>
        </w:rPr>
        <w:t>egate unit,</w:t>
      </w:r>
      <w:r>
        <w:t xml:space="preserve"> </w:t>
      </w:r>
      <w:del w:id="14" w:author="Zimberlin, Joy" w:date="2019-06-14T15:29:00Z">
        <w:r>
          <w:delText>or Demand Side Resources, including Demand Side Resources using Local Generators,</w:delText>
        </w:r>
      </w:del>
      <w:r>
        <w:t xml:space="preserve"> that meet the eligibility criteria set forth in Rate Schedule 4 of this ISO Services Tariff and that can be started, synchronized and can change their output leve</w:t>
      </w:r>
      <w:r>
        <w:t>l within ten (10) minutes; and</w:t>
      </w:r>
    </w:p>
    <w:p w:rsidR="00100B2B" w:rsidRDefault="00574D61">
      <w:pPr>
        <w:pStyle w:val="Definitionindent"/>
        <w:ind w:left="1260" w:hanging="360"/>
      </w:pPr>
      <w:r>
        <w:t>(3)</w:t>
      </w:r>
      <w:r>
        <w:tab/>
        <w:t>30</w:t>
      </w:r>
      <w:r>
        <w:noBreakHyphen/>
        <w:t>Minute Reserve:  Synchronized Operating Reserves provided by Generators</w:t>
      </w:r>
      <w:ins w:id="15" w:author="Zimberlin, Joy" w:date="2019-06-14T15:30:00Z">
        <w:r>
          <w:t xml:space="preserve"> and Aggregations</w:t>
        </w:r>
      </w:ins>
      <w:r>
        <w:t xml:space="preserve">, </w:t>
      </w:r>
      <w:r>
        <w:rPr>
          <w:snapToGrid w:val="0"/>
          <w:szCs w:val="20"/>
        </w:rPr>
        <w:t xml:space="preserve">except </w:t>
      </w:r>
      <w:r>
        <w:t>Behind</w:t>
      </w:r>
      <w:r>
        <w:rPr>
          <w:snapToGrid w:val="0"/>
          <w:szCs w:val="20"/>
        </w:rPr>
        <w:t xml:space="preserve">-the-Meter Net Generation Resources that are comprised of more than one generating unit and dispatched as a single </w:t>
      </w:r>
      <w:r>
        <w:rPr>
          <w:snapToGrid w:val="0"/>
          <w:szCs w:val="20"/>
        </w:rPr>
        <w:t>aggregate unit</w:t>
      </w:r>
      <w:del w:id="16" w:author="Zimberlin, Joy" w:date="2019-06-14T15:30:00Z">
        <w:r>
          <w:rPr>
            <w:snapToGrid w:val="0"/>
            <w:szCs w:val="20"/>
          </w:rPr>
          <w:delText>,</w:delText>
        </w:r>
        <w:r>
          <w:delText xml:space="preserve"> and Demand Side Resources that do not facilitate demand reduction using Local Generators, or that facilitate demand reduction using a Local Generator utilizing inverter-based energy storage technology</w:delText>
        </w:r>
      </w:del>
      <w:ins w:id="17" w:author="Zimberlin, Joy" w:date="2019-06-14T15:30:00Z">
        <w:r>
          <w:rPr>
            <w:snapToGrid w:val="0"/>
            <w:szCs w:val="20"/>
          </w:rPr>
          <w:t xml:space="preserve"> or</w:t>
        </w:r>
        <w:r>
          <w:t xml:space="preserve"> Aggregations that are comprised of o</w:t>
        </w:r>
        <w:r>
          <w:t xml:space="preserve">ne or more (i) generating units (unless each of the generating units use inverter-based energy storage technology) or (ii) Demand Side Resource(s) where at least one Demand Side Resource facilitates its Demand Reduction using a Local Generator (unless the </w:t>
        </w:r>
        <w:r>
          <w:t>Local Generator(s) use inverter-based energy storage technology)</w:t>
        </w:r>
      </w:ins>
      <w:r>
        <w:t>; or non-synchronized Operating Reserves provided by Generators</w:t>
      </w:r>
      <w:r>
        <w:rPr>
          <w:snapToGrid w:val="0"/>
          <w:szCs w:val="20"/>
        </w:rPr>
        <w:t xml:space="preserve">, </w:t>
      </w:r>
      <w:ins w:id="18" w:author="Zimberlin, Joy" w:date="2019-06-14T15:31:00Z">
        <w:r>
          <w:rPr>
            <w:snapToGrid w:val="0"/>
            <w:szCs w:val="20"/>
          </w:rPr>
          <w:t xml:space="preserve">Aggregations, or </w:t>
        </w:r>
      </w:ins>
      <w:r>
        <w:rPr>
          <w:snapToGrid w:val="0"/>
          <w:szCs w:val="20"/>
        </w:rPr>
        <w:t>Behind-the-Meter Net Generation Resources that are comprised of more than one generating unit and dispatched a</w:t>
      </w:r>
      <w:r>
        <w:rPr>
          <w:snapToGrid w:val="0"/>
          <w:szCs w:val="20"/>
        </w:rPr>
        <w:t>s a single aggregate unit</w:t>
      </w:r>
      <w:del w:id="19" w:author="Zimberlin, Joy" w:date="2019-06-14T15:31:00Z">
        <w:r>
          <w:rPr>
            <w:snapToGrid w:val="0"/>
            <w:szCs w:val="20"/>
          </w:rPr>
          <w:delText>,</w:delText>
        </w:r>
        <w:r>
          <w:delText xml:space="preserve"> or Demand Side Resources</w:delText>
        </w:r>
      </w:del>
      <w:r>
        <w:t xml:space="preserve"> that meet the eligibility criteria set forth in Rate Schedule 4 of this ISO Services Tariff and that can respond to instructions to change their output level within thirty (30) minutes, including starting</w:t>
      </w:r>
      <w:r>
        <w:t xml:space="preserve"> and synchronizing to the NYS Power System. </w:t>
      </w:r>
    </w:p>
    <w:p w:rsidR="00100B2B" w:rsidRDefault="00574D61">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w:t>
      </w:r>
      <w:r>
        <w:rPr>
          <w:iCs/>
        </w:rPr>
        <w:t xml:space="preserve">antity of Resources that the ISO’s software may schedule to meet that requirement.  </w:t>
      </w:r>
    </w:p>
    <w:p w:rsidR="00100B2B" w:rsidRDefault="00574D61">
      <w:pPr>
        <w:pStyle w:val="Definition"/>
      </w:pPr>
      <w:r>
        <w:rPr>
          <w:b/>
          <w:bCs/>
        </w:rPr>
        <w:lastRenderedPageBreak/>
        <w:t xml:space="preserve">Operating </w:t>
      </w:r>
      <w:r>
        <w:rPr>
          <w:b/>
        </w:rPr>
        <w:t>Study</w:t>
      </w:r>
      <w:r>
        <w:rPr>
          <w:b/>
          <w:bCs/>
        </w:rPr>
        <w:t xml:space="preserve"> Power Flow</w:t>
      </w:r>
      <w:r>
        <w:t>: A Power Flow analysis that is performed at least once before each Capability Period that is used to determine each Interface Transfer Capabilit</w:t>
      </w:r>
      <w:r>
        <w:t>y for the Capability Period (</w:t>
      </w:r>
      <w:r>
        <w:rPr>
          <w:u w:val="single"/>
        </w:rPr>
        <w:t>See</w:t>
      </w:r>
      <w:r>
        <w:t xml:space="preserve"> Attachment M to the ISO OATT).</w:t>
      </w:r>
    </w:p>
    <w:p w:rsidR="00100B2B" w:rsidRDefault="00574D61">
      <w:pPr>
        <w:pStyle w:val="Definition"/>
      </w:pPr>
      <w:r>
        <w:rPr>
          <w:b/>
          <w:bCs/>
        </w:rPr>
        <w:t xml:space="preserve">Operational </w:t>
      </w:r>
      <w:r>
        <w:rPr>
          <w:b/>
        </w:rPr>
        <w:t>Control</w:t>
      </w:r>
      <w:r>
        <w:t>: Directing the operation of the Transmission Facilities Under ISO Operational Control to maintain these facilities in a reliable state, as defined by the Reliability Rules.</w:t>
      </w:r>
      <w:r>
        <w:t xml:space="preserve">  The ISO shall approve operational decisions concerning these facilities, made by each Transmission Owner before the Transmission Owner implements those decisions.  In accordance with ISO Procedures, the ISO shall direct each Transmission Owner to take ce</w:t>
      </w:r>
      <w:r>
        <w:t>rtain actions to restore the system to the Normal State.  Operational Control includes security monitoring, adjustment of generation and transmission resources, coordination and approval of changes in transmission status for maintenance, determination of c</w:t>
      </w:r>
      <w:r>
        <w:t xml:space="preserve">hanges in transmission status for reliability, coordination with other Control Areas, voltage reductions and Load Shedding, except that each Transmission Owner continues to physically operate and maintain its facilities, including those facilities that it </w:t>
      </w:r>
      <w:r>
        <w:t>has agreed to operate and maintain in accordance with an operation and maintenance agreement.</w:t>
      </w:r>
    </w:p>
    <w:p w:rsidR="00100B2B" w:rsidRDefault="00574D61">
      <w:pPr>
        <w:pStyle w:val="Definition"/>
      </w:pPr>
      <w:r>
        <w:rPr>
          <w:b/>
          <w:bCs/>
        </w:rPr>
        <w:t xml:space="preserve">Optimal Power </w:t>
      </w:r>
      <w:r>
        <w:rPr>
          <w:b/>
        </w:rPr>
        <w:t>Flow</w:t>
      </w:r>
      <w:r>
        <w:rPr>
          <w:b/>
          <w:bCs/>
        </w:rPr>
        <w:t xml:space="preserve"> (“OPF”)</w:t>
      </w:r>
      <w:r>
        <w:t xml:space="preserve">: </w:t>
      </w:r>
      <w:del w:id="20" w:author="Zimberlin, Joy" w:date="2019-06-14T15:31:00Z">
        <w:r>
          <w:delText xml:space="preserve"> </w:delText>
        </w:r>
      </w:del>
      <w:r>
        <w:t>As defined in the ISO OATT.</w:t>
      </w:r>
    </w:p>
    <w:p w:rsidR="00100B2B" w:rsidRDefault="00574D61">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w:t>
      </w:r>
      <w:r>
        <w:rPr>
          <w:u w:val="single"/>
        </w:rPr>
        <w:t>iscriminatory Transmission Services by Public Utilities; Recovery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w:t>
      </w:r>
      <w:r>
        <w:t>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Cs/>
          <w:rPrChange w:id="21" w:author="Zimberlin, Joy" w:date="2019-06-14T16:22:00Z">
            <w:rPr>
              <w:i/>
              <w:iCs/>
            </w:rPr>
          </w:rPrChange>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Cs/>
          <w:rPrChange w:id="22" w:author="Zimberlin, Joy" w:date="2019-06-14T16:22:00Z">
            <w:rPr>
              <w:i/>
              <w:iCs/>
            </w:rPr>
          </w:rPrChange>
        </w:rPr>
        <w:t xml:space="preserve"> </w:t>
      </w:r>
      <w:r>
        <w:rPr>
          <w:u w:val="single"/>
        </w:rPr>
        <w:t>reh’g</w:t>
      </w:r>
      <w:r>
        <w:t xml:space="preserve">, 82 </w:t>
      </w:r>
      <w:r>
        <w:t>FERC ¶ 61,046 (1998) (“Order No. 888</w:t>
      </w:r>
      <w:r>
        <w:noBreakHyphen/>
        <w:t>C”)).</w:t>
      </w:r>
    </w:p>
    <w:p w:rsidR="00100B2B" w:rsidRDefault="00574D61">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w:t>
      </w:r>
      <w:r>
        <w:t>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Cs/>
          <w:rPrChange w:id="23" w:author="Zimberlin, Joy" w:date="2019-06-14T16:22:00Z">
            <w:rPr>
              <w:i/>
              <w:iCs/>
            </w:rPr>
          </w:rPrChange>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Cs/>
          <w:rPrChange w:id="24" w:author="Zimberlin, Joy" w:date="2019-06-14T16:23:00Z">
            <w:rPr>
              <w:i/>
              <w:iCs/>
            </w:rPr>
          </w:rPrChange>
        </w:rPr>
        <w:t xml:space="preserve"> </w:t>
      </w:r>
      <w:r>
        <w:rPr>
          <w:u w:val="single"/>
        </w:rPr>
        <w:t>reh’g</w:t>
      </w:r>
      <w:r>
        <w:t>, 81 FERC ¶ 61,253 (1997) (“Ord</w:t>
      </w:r>
      <w:r>
        <w:t>er No. 889</w:t>
      </w:r>
      <w:r>
        <w:noBreakHyphen/>
        <w:t>B”)).</w:t>
      </w:r>
    </w:p>
    <w:p w:rsidR="00100B2B" w:rsidRDefault="00574D61">
      <w:pPr>
        <w:pStyle w:val="Definition"/>
      </w:pPr>
      <w:r>
        <w:rPr>
          <w:b/>
          <w:bCs/>
        </w:rPr>
        <w:t xml:space="preserve">Original </w:t>
      </w:r>
      <w:r>
        <w:rPr>
          <w:b/>
        </w:rPr>
        <w:t>Residual</w:t>
      </w:r>
      <w:r>
        <w:rPr>
          <w:b/>
          <w:bCs/>
        </w:rPr>
        <w:t xml:space="preserve"> TCC:</w:t>
      </w:r>
      <w:r>
        <w:t xml:space="preserve"> As defined in the ISO OATT.</w:t>
      </w:r>
    </w:p>
    <w:p w:rsidR="00100B2B" w:rsidRDefault="00574D61">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for specified time periods to meet Load and/or reliability requirements that di</w:t>
      </w:r>
      <w:r>
        <w:t>ffer from or supplement the ISO’s security constrained economic commitment and/or dispatch.</w:t>
      </w:r>
      <w:r>
        <w:rPr>
          <w:strike/>
        </w:rPr>
        <w:t xml:space="preserve"> </w:t>
      </w:r>
    </w:p>
    <w:p w:rsidR="00100B2B" w:rsidRDefault="00574D61">
      <w:pPr>
        <w:tabs>
          <w:tab w:val="right" w:pos="9360"/>
        </w:tabs>
      </w:pPr>
    </w:p>
    <w:sectPr w:rsidR="00100B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4D61">
      <w:r>
        <w:separator/>
      </w:r>
    </w:p>
  </w:endnote>
  <w:endnote w:type="continuationSeparator" w:id="0">
    <w:p w:rsidR="00000000" w:rsidRDefault="005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8D" w:rsidRDefault="00574D6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8D" w:rsidRDefault="00574D61">
    <w:pPr>
      <w:jc w:val="right"/>
    </w:pPr>
    <w:r>
      <w:rPr>
        <w:rFonts w:ascii="Arial" w:eastAsia="Arial" w:hAnsi="Arial" w:cs="Arial"/>
        <w:color w:val="000000"/>
        <w:sz w:val="16"/>
      </w:rPr>
      <w:t>Effective Date: 12</w:t>
    </w:r>
    <w:r>
      <w:rPr>
        <w:rFonts w:ascii="Arial" w:eastAsia="Arial" w:hAnsi="Arial" w:cs="Arial"/>
        <w:color w:val="000000"/>
        <w:sz w:val="16"/>
      </w:rPr>
      <w:t xml:space="preserve">/31/9998 -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8D" w:rsidRDefault="00574D6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4D61">
      <w:r>
        <w:separator/>
      </w:r>
    </w:p>
  </w:footnote>
  <w:footnote w:type="continuationSeparator" w:id="0">
    <w:p w:rsidR="00000000" w:rsidRDefault="00574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8D" w:rsidRDefault="00574D61">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8D" w:rsidRDefault="00574D61">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8D" w:rsidRDefault="00574D61">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E1E6C00">
      <w:start w:val="1"/>
      <w:numFmt w:val="bullet"/>
      <w:pStyle w:val="Bulletpara"/>
      <w:lvlText w:val=""/>
      <w:lvlJc w:val="left"/>
      <w:pPr>
        <w:tabs>
          <w:tab w:val="num" w:pos="720"/>
        </w:tabs>
        <w:ind w:left="720" w:hanging="360"/>
      </w:pPr>
      <w:rPr>
        <w:rFonts w:ascii="Symbol" w:hAnsi="Symbol" w:hint="default"/>
      </w:rPr>
    </w:lvl>
    <w:lvl w:ilvl="1" w:tplc="AB06B910" w:tentative="1">
      <w:start w:val="1"/>
      <w:numFmt w:val="bullet"/>
      <w:lvlText w:val="o"/>
      <w:lvlJc w:val="left"/>
      <w:pPr>
        <w:tabs>
          <w:tab w:val="num" w:pos="1440"/>
        </w:tabs>
        <w:ind w:left="1440" w:hanging="360"/>
      </w:pPr>
      <w:rPr>
        <w:rFonts w:ascii="Courier New" w:hAnsi="Courier New" w:hint="default"/>
      </w:rPr>
    </w:lvl>
    <w:lvl w:ilvl="2" w:tplc="4850A062" w:tentative="1">
      <w:start w:val="1"/>
      <w:numFmt w:val="bullet"/>
      <w:lvlText w:val=""/>
      <w:lvlJc w:val="left"/>
      <w:pPr>
        <w:tabs>
          <w:tab w:val="num" w:pos="2160"/>
        </w:tabs>
        <w:ind w:left="2160" w:hanging="360"/>
      </w:pPr>
      <w:rPr>
        <w:rFonts w:ascii="Wingdings" w:hAnsi="Wingdings" w:hint="default"/>
      </w:rPr>
    </w:lvl>
    <w:lvl w:ilvl="3" w:tplc="42A2D0FC" w:tentative="1">
      <w:start w:val="1"/>
      <w:numFmt w:val="bullet"/>
      <w:lvlText w:val=""/>
      <w:lvlJc w:val="left"/>
      <w:pPr>
        <w:tabs>
          <w:tab w:val="num" w:pos="2880"/>
        </w:tabs>
        <w:ind w:left="2880" w:hanging="360"/>
      </w:pPr>
      <w:rPr>
        <w:rFonts w:ascii="Symbol" w:hAnsi="Symbol" w:hint="default"/>
      </w:rPr>
    </w:lvl>
    <w:lvl w:ilvl="4" w:tplc="F6F6FA4E" w:tentative="1">
      <w:start w:val="1"/>
      <w:numFmt w:val="bullet"/>
      <w:lvlText w:val="o"/>
      <w:lvlJc w:val="left"/>
      <w:pPr>
        <w:tabs>
          <w:tab w:val="num" w:pos="3600"/>
        </w:tabs>
        <w:ind w:left="3600" w:hanging="360"/>
      </w:pPr>
      <w:rPr>
        <w:rFonts w:ascii="Courier New" w:hAnsi="Courier New" w:hint="default"/>
      </w:rPr>
    </w:lvl>
    <w:lvl w:ilvl="5" w:tplc="07B2A900" w:tentative="1">
      <w:start w:val="1"/>
      <w:numFmt w:val="bullet"/>
      <w:lvlText w:val=""/>
      <w:lvlJc w:val="left"/>
      <w:pPr>
        <w:tabs>
          <w:tab w:val="num" w:pos="4320"/>
        </w:tabs>
        <w:ind w:left="4320" w:hanging="360"/>
      </w:pPr>
      <w:rPr>
        <w:rFonts w:ascii="Wingdings" w:hAnsi="Wingdings" w:hint="default"/>
      </w:rPr>
    </w:lvl>
    <w:lvl w:ilvl="6" w:tplc="FF7269F4" w:tentative="1">
      <w:start w:val="1"/>
      <w:numFmt w:val="bullet"/>
      <w:lvlText w:val=""/>
      <w:lvlJc w:val="left"/>
      <w:pPr>
        <w:tabs>
          <w:tab w:val="num" w:pos="5040"/>
        </w:tabs>
        <w:ind w:left="5040" w:hanging="360"/>
      </w:pPr>
      <w:rPr>
        <w:rFonts w:ascii="Symbol" w:hAnsi="Symbol" w:hint="default"/>
      </w:rPr>
    </w:lvl>
    <w:lvl w:ilvl="7" w:tplc="1430D026" w:tentative="1">
      <w:start w:val="1"/>
      <w:numFmt w:val="bullet"/>
      <w:lvlText w:val="o"/>
      <w:lvlJc w:val="left"/>
      <w:pPr>
        <w:tabs>
          <w:tab w:val="num" w:pos="5760"/>
        </w:tabs>
        <w:ind w:left="5760" w:hanging="360"/>
      </w:pPr>
      <w:rPr>
        <w:rFonts w:ascii="Courier New" w:hAnsi="Courier New" w:hint="default"/>
      </w:rPr>
    </w:lvl>
    <w:lvl w:ilvl="8" w:tplc="DC8433B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8D"/>
    <w:rsid w:val="00574D61"/>
    <w:rsid w:val="00CF5E8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2024-04-17T15:06:00Z</dcterms:created>
  <dcterms:modified xsi:type="dcterms:W3CDTF">2024-04-17T15:06:00Z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