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FA609E">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FA609E">
      <w:pPr>
        <w:pStyle w:val="Heading3"/>
      </w:pPr>
      <w:bookmarkStart w:id="3" w:name="_DV_M8"/>
      <w:bookmarkStart w:id="4" w:name="_Toc261252162"/>
      <w:bookmarkEnd w:id="3"/>
      <w:r>
        <w:t>23.2.1</w:t>
      </w:r>
      <w:r>
        <w:tab/>
        <w:t>Definitions</w:t>
      </w:r>
      <w:bookmarkEnd w:id="4"/>
    </w:p>
    <w:p w:rsidR="00C17202" w:rsidRDefault="00FA609E">
      <w:pPr>
        <w:pStyle w:val="Bodypara"/>
      </w:pPr>
      <w:r>
        <w:t>The following definitions are applicable to this Attachment H:</w:t>
      </w:r>
    </w:p>
    <w:p w:rsidR="00C17202" w:rsidRDefault="00FA609E">
      <w:pPr>
        <w:pStyle w:val="Definition"/>
      </w:pPr>
      <w:r>
        <w:t>For purposes of Section 23.4.5 of this Attachment H,</w:t>
      </w:r>
      <w:r>
        <w:rPr>
          <w:b/>
        </w:rPr>
        <w:t xml:space="preserve"> “Affiliated Entity” </w:t>
      </w:r>
      <w:r>
        <w:t xml:space="preserve">shall mean, with respect to a person or Entity: </w:t>
      </w:r>
    </w:p>
    <w:p w:rsidR="00C17202" w:rsidRDefault="00FA609E">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FA609E">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an In-City Installed Capacity Supplier;</w:t>
      </w:r>
    </w:p>
    <w:p w:rsidR="00C17202" w:rsidRDefault="00FA609E">
      <w:pPr>
        <w:pStyle w:val="romannumeralpara"/>
        <w:spacing w:before="120" w:after="120" w:line="240" w:lineRule="auto"/>
        <w:rPr>
          <w:bCs/>
        </w:rPr>
      </w:pPr>
      <w:r>
        <w:rPr>
          <w:bCs/>
        </w:rPr>
        <w:t xml:space="preserve">iii)  </w:t>
      </w:r>
      <w:r>
        <w:rPr>
          <w:bCs/>
        </w:rPr>
        <w:tab/>
        <w:t>all persons or Entities that provi</w:t>
      </w:r>
      <w:r>
        <w:rPr>
          <w:bCs/>
        </w:rPr>
        <w:t xml:space="preserve">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FA609E">
      <w:pPr>
        <w:pStyle w:val="romannumeralpara"/>
        <w:spacing w:before="120" w:after="120" w:line="240" w:lineRule="auto"/>
        <w:rPr>
          <w:bCs/>
        </w:rPr>
      </w:pPr>
      <w:r>
        <w:rPr>
          <w:bCs/>
        </w:rPr>
        <w:t xml:space="preserve">iv)  </w:t>
      </w:r>
      <w:r>
        <w:rPr>
          <w:bCs/>
        </w:rPr>
        <w:tab/>
        <w:t xml:space="preserve">all </w:t>
      </w:r>
      <w:r>
        <w:t>persons</w:t>
      </w:r>
      <w:r>
        <w:rPr>
          <w:bCs/>
        </w:rPr>
        <w:t xml:space="preserve"> or Entities wi</w:t>
      </w:r>
      <w:r>
        <w:rPr>
          <w:bCs/>
        </w:rPr>
        <w:t xml:space="preserve">th which such person or Entity has any form of agreement under which such person or </w:t>
      </w:r>
      <w:r>
        <w:t>Entity</w:t>
      </w:r>
      <w:r>
        <w:rPr>
          <w:bCs/>
        </w:rPr>
        <w:t xml:space="preserve"> has retained or has conferred rights of Control of Unforced Capacity.</w:t>
      </w:r>
    </w:p>
    <w:p w:rsidR="00C17202" w:rsidRDefault="00FA609E">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 of the pow</w:t>
      </w:r>
      <w:r>
        <w:rPr>
          <w:bCs/>
        </w:rPr>
        <w:t xml:space="preserve">er to direct the management </w:t>
      </w:r>
      <w:r>
        <w:t>or</w:t>
      </w:r>
      <w:r>
        <w:rPr>
          <w:bCs/>
        </w:rPr>
        <w:t xml:space="preserve"> policies of a person or Entity, and shall be rebuttably presumed from an ownership, voting or equivalent interest of ten percent or more.  </w:t>
      </w:r>
    </w:p>
    <w:p w:rsidR="00C17202" w:rsidRDefault="00FA609E">
      <w:pPr>
        <w:pStyle w:val="Definition"/>
      </w:pPr>
      <w:r>
        <w:rPr>
          <w:b/>
        </w:rPr>
        <w:t xml:space="preserve">“Constrained Area” </w:t>
      </w:r>
      <w:r>
        <w:t xml:space="preserve">shall mean:  (a) the In-City area, including any areas subject to </w:t>
      </w:r>
      <w:r>
        <w:t>transmission constraints within the In-City area that give rise to significant locational market power; and (b) any other area in the New York Control Area that has been identified by the ISO as subject to transmission constraints that give rise to signifi</w:t>
      </w:r>
      <w:r>
        <w:t>cant locational market power, and that has been approved by the Commission for designation as a Constrained Area.</w:t>
      </w:r>
    </w:p>
    <w:p w:rsidR="00C17202" w:rsidRDefault="00FA609E">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w:t>
      </w:r>
      <w:r>
        <w:rPr>
          <w:bCs/>
        </w:rPr>
        <w:t xml:space="preserve">ity or price of offers to supply Unforced Capacity from an In-City Installed Capacity Supplier submitted into an ICAP Spot Market Auction.  </w:t>
      </w:r>
    </w:p>
    <w:p w:rsidR="00C17202" w:rsidRDefault="00FA609E">
      <w:pPr>
        <w:pStyle w:val="Definition"/>
      </w:pPr>
      <w:r>
        <w:rPr>
          <w:b/>
          <w:bCs/>
        </w:rPr>
        <w:t>“Developer”</w:t>
      </w:r>
      <w:r>
        <w:rPr>
          <w:bCs/>
        </w:rPr>
        <w:t xml:space="preserve"> </w:t>
      </w:r>
      <w:r>
        <w:t>shall</w:t>
      </w:r>
      <w:r>
        <w:rPr>
          <w:bCs/>
        </w:rPr>
        <w:t xml:space="preserve"> have the meaning specified in the ISO’s Open Access Transmission Tariff.</w:t>
      </w:r>
    </w:p>
    <w:p w:rsidR="00C17202" w:rsidRDefault="00FA609E">
      <w:pPr>
        <w:pStyle w:val="Definition"/>
      </w:pPr>
      <w:r>
        <w:rPr>
          <w:b/>
        </w:rPr>
        <w:lastRenderedPageBreak/>
        <w:t>“Electric Facility”</w:t>
      </w:r>
      <w:r>
        <w:t xml:space="preserve"> shal</w:t>
      </w:r>
      <w:r>
        <w:t>l mean a Generator or an electric transmission facility.</w:t>
      </w:r>
    </w:p>
    <w:p w:rsidR="00C17202" w:rsidRDefault="00FA609E">
      <w:pPr>
        <w:pStyle w:val="Definition"/>
        <w:rPr>
          <w:bCs/>
        </w:rPr>
      </w:pPr>
      <w:r>
        <w:t xml:space="preserve">For purposes of Section 23.4.5 of this Attachment H, </w:t>
      </w:r>
      <w:r>
        <w:rPr>
          <w:b/>
        </w:rPr>
        <w:t>“Entity”</w:t>
      </w:r>
      <w:r>
        <w:t xml:space="preserve"> shall mean a corporation, partnership, limited liability corporation or partnership, firm, joint venture, association, joint-stock compan</w:t>
      </w:r>
      <w:r>
        <w:t xml:space="preserve">y, trust, unincorporated organization or other form of legal or juridical organization or entity. </w:t>
      </w:r>
    </w:p>
    <w:p w:rsidR="00C17202" w:rsidRDefault="00FA609E">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w:t>
      </w:r>
      <w:r>
        <w:rPr>
          <w:bCs/>
        </w:rPr>
        <w:t xml:space="preserve">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w:t>
      </w:r>
      <w:r>
        <w:rPr>
          <w:bCs/>
        </w:rPr>
        <w:t>d in Section 23.4.5.3, for each of the following instances, as applicable, of supplying Installed Capacity that could be avoided if an Installed Capacity Supplier otherwise capable of supplying Installed Capacity were either (1) to cease supplying Installe</w:t>
      </w:r>
      <w:r>
        <w:rPr>
          <w:bCs/>
        </w:rPr>
        <w:t xml:space="preserv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the New York C</w:t>
      </w:r>
      <w:r>
        <w:rPr>
          <w:bCs/>
        </w:rPr>
        <w:t xml:space="preserve">ity Locality, net of costs that would have been incurred as a result of the foregone sale if it had taken place. </w:t>
      </w:r>
    </w:p>
    <w:p w:rsidR="00C17202" w:rsidRDefault="00FA609E">
      <w:pPr>
        <w:pStyle w:val="Definition"/>
        <w:rPr>
          <w:bCs/>
        </w:rPr>
      </w:pPr>
      <w:r>
        <w:rPr>
          <w:b/>
        </w:rPr>
        <w:t xml:space="preserve">“Initial Decision Period” </w:t>
      </w:r>
      <w:r>
        <w:t xml:space="preserve">shall have the meaning specified in Attachment S of the ISO’s Open Access Transmission Tariff. </w:t>
      </w:r>
    </w:p>
    <w:p w:rsidR="00C17202" w:rsidRDefault="00FA609E">
      <w:pPr>
        <w:pStyle w:val="Definition"/>
        <w:rPr>
          <w:bCs/>
        </w:rPr>
      </w:pPr>
      <w:r>
        <w:rPr>
          <w:b/>
        </w:rPr>
        <w:t>“Interconnection Cus</w:t>
      </w:r>
      <w:r>
        <w:rPr>
          <w:b/>
        </w:rPr>
        <w:t>tomer”</w:t>
      </w:r>
      <w:r>
        <w:t xml:space="preserve"> shall have the meaning specified in Attachment Z of the ISO’s Open Access Transmission Tariff.</w:t>
      </w:r>
    </w:p>
    <w:p w:rsidR="00C17202" w:rsidRDefault="00FA609E">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C17202" w:rsidRDefault="00FA609E">
      <w:pPr>
        <w:pStyle w:val="Definition"/>
      </w:pPr>
      <w:r>
        <w:rPr>
          <w:b/>
        </w:rPr>
        <w:t>“Market Monito</w:t>
      </w:r>
      <w:r>
        <w:rPr>
          <w:b/>
        </w:rPr>
        <w:t xml:space="preserve">ring Unit” </w:t>
      </w:r>
      <w:r>
        <w:t xml:space="preserve">shall have the same meaning in these Mitigation Measures as it has in Attachment O.  </w:t>
      </w:r>
    </w:p>
    <w:p w:rsidR="00C17202" w:rsidRDefault="00FA609E">
      <w:pPr>
        <w:pStyle w:val="Definition"/>
      </w:pPr>
      <w:r>
        <w:rPr>
          <w:b/>
        </w:rPr>
        <w:t>“Market Party”</w:t>
      </w:r>
      <w:r>
        <w:t xml:space="preserve"> shall mean any person or entity that is a buyer or a seller in, or that makes bids or offers to buy or sell in, or that schedules or seeks to sc</w:t>
      </w:r>
      <w:r>
        <w:t>hedule Transactions with the ISO in or affecting any of the ISO Administered Markets, or any combination of the foregoing.</w:t>
      </w:r>
    </w:p>
    <w:p w:rsidR="00C17202" w:rsidRDefault="00FA609E">
      <w:pPr>
        <w:pStyle w:val="Definition"/>
      </w:pPr>
      <w:r>
        <w:rPr>
          <w:bCs/>
        </w:rPr>
        <w:t>For purposes of Section 23.4.5 of this Attachment H,</w:t>
      </w:r>
      <w:r>
        <w:rPr>
          <w:b/>
          <w:bCs/>
        </w:rPr>
        <w:t xml:space="preserve"> “Mitigated UCAP”</w:t>
      </w:r>
      <w:r>
        <w:rPr>
          <w:bCs/>
        </w:rPr>
        <w:t xml:space="preserve"> shall mean one or more megawatts of Unforced </w:t>
      </w:r>
      <w:r>
        <w:t xml:space="preserve">Capacity that are </w:t>
      </w:r>
      <w:r>
        <w:t>subject to Control by a Market Party that has been identified by the ISO as a Pivotal Supplier.</w:t>
      </w:r>
    </w:p>
    <w:p w:rsidR="00C17202" w:rsidRDefault="00FA609E">
      <w:pPr>
        <w:pStyle w:val="Definition"/>
        <w:spacing w:before="0" w:after="0"/>
      </w:pPr>
    </w:p>
    <w:p w:rsidR="00C17202" w:rsidRPr="00976B69" w:rsidRDefault="00FA609E">
      <w:pPr>
        <w:pStyle w:val="Definition"/>
        <w:spacing w:before="0" w:after="0"/>
        <w:rPr>
          <w:color w:val="000000"/>
          <w:u w:val="double"/>
        </w:rPr>
      </w:pPr>
      <w:r w:rsidRPr="00976B69">
        <w:rPr>
          <w:color w:val="000000"/>
          <w:u w:val="double"/>
        </w:rPr>
        <w:lastRenderedPageBreak/>
        <w:t>For purposes of Section 23.4.5 of this Attachment H, “</w:t>
      </w:r>
      <w:r w:rsidRPr="00976B69">
        <w:rPr>
          <w:b/>
          <w:color w:val="000000"/>
          <w:u w:val="double"/>
        </w:rPr>
        <w:t>Mitigation Net CONE</w:t>
      </w:r>
      <w:r w:rsidRPr="00976B69">
        <w:rPr>
          <w:color w:val="000000"/>
          <w:u w:val="double"/>
        </w:rPr>
        <w:t xml:space="preserve">” </w:t>
      </w:r>
      <w:r w:rsidRPr="00976B69">
        <w:rPr>
          <w:bCs/>
          <w:color w:val="000000"/>
          <w:u w:val="double"/>
        </w:rPr>
        <w:t xml:space="preserve">shall mean the capacity price on the currently effective In-City Demand Curve </w:t>
      </w:r>
      <w:r w:rsidRPr="00976B69">
        <w:rPr>
          <w:bCs/>
          <w:color w:val="000000"/>
          <w:u w:val="double"/>
        </w:rPr>
        <w:t>corresponding to the average amount of excess capacity above the In-City Installed Capacity requirement, expressed as a percentage of that requirement, that formed the basis for the Demand Curve approved by the Commission.</w:t>
      </w:r>
    </w:p>
    <w:p w:rsidR="00C17202" w:rsidRDefault="00FA609E">
      <w:pPr>
        <w:pStyle w:val="Definition"/>
        <w:spacing w:before="0" w:after="0"/>
        <w:rPr>
          <w:b/>
        </w:rPr>
      </w:pPr>
    </w:p>
    <w:p w:rsidR="00C17202" w:rsidRDefault="00FA609E">
      <w:pPr>
        <w:pStyle w:val="Definition"/>
        <w:rPr>
          <w:bCs/>
        </w:rPr>
      </w:pPr>
      <w:r>
        <w:t>For purposes of Section 23.4.5 o</w:t>
      </w:r>
      <w:r>
        <w:t xml:space="preserve">f this Attachment H, </w:t>
      </w:r>
      <w:r>
        <w:rPr>
          <w:b/>
        </w:rPr>
        <w:t xml:space="preserve">“Net CONE” </w:t>
      </w:r>
      <w:r>
        <w:t>shall mean the localized levelized embedded costs of a peaking unit in the New York City Locality, net of the likely projected annual Energy and Ancillary Services revenues of such unit, as determined in connection with esta</w:t>
      </w:r>
      <w:r>
        <w:t xml:space="preserve">blishing the Demand Curve for the New York City Locality pursuant to </w:t>
      </w:r>
      <w:r>
        <w:rPr>
          <w:bCs/>
        </w:rPr>
        <w:t xml:space="preserve">Section </w:t>
      </w:r>
      <w:r>
        <w:t xml:space="preserve">5.14.1.2 of the Services Tariff, or as escalated as specified in </w:t>
      </w:r>
      <w:r>
        <w:rPr>
          <w:bCs/>
        </w:rPr>
        <w:t xml:space="preserve">Section 23. </w:t>
      </w:r>
      <w:r>
        <w:t>4.5.7 of Attachment H.</w:t>
      </w:r>
    </w:p>
    <w:p w:rsidR="00C17202" w:rsidRDefault="00FA609E">
      <w:pPr>
        <w:pStyle w:val="Definition"/>
      </w:pPr>
      <w:r>
        <w:rPr>
          <w:b/>
        </w:rPr>
        <w:t>“New Capacity”</w:t>
      </w:r>
      <w:r>
        <w:t xml:space="preserve"> shall mean a new Generator, a substantial addition to the capaci</w:t>
      </w:r>
      <w:r>
        <w:t>ty of an existing Generator, or the reactivation of all or a portion of a Generator that has been out of service for five years or more that commences commercial service after the effective date of this definition.</w:t>
      </w:r>
    </w:p>
    <w:p w:rsidR="00C17202" w:rsidRDefault="00FA609E">
      <w:pPr>
        <w:pStyle w:val="Definition"/>
        <w:rPr>
          <w:bCs/>
        </w:rPr>
      </w:pPr>
      <w:r>
        <w:rPr>
          <w:bCs/>
        </w:rPr>
        <w:t>For purposes of Section 23.4.5 of</w:t>
      </w:r>
      <w:r>
        <w:t xml:space="preserve"> this Attachment H,</w:t>
      </w:r>
      <w:r>
        <w:rPr>
          <w:b/>
        </w:rPr>
        <w:t xml:space="preserve"> “Offer Floor”</w:t>
      </w:r>
      <w:r>
        <w:t xml:space="preserve"> for an In-City Installed Capacity Supplier that is not a Special Case Resource shall mean the lesser of a numerical value equal to 75% </w:t>
      </w:r>
      <w:r>
        <w:rPr>
          <w:bCs/>
        </w:rPr>
        <w:t xml:space="preserve">of the </w:t>
      </w:r>
      <w:r w:rsidRPr="00976B69">
        <w:rPr>
          <w:bCs/>
          <w:u w:val="double"/>
        </w:rPr>
        <w:t xml:space="preserve">Mitigation </w:t>
      </w:r>
      <w:r>
        <w:rPr>
          <w:bCs/>
        </w:rPr>
        <w:t xml:space="preserve">Net </w:t>
      </w:r>
      <w:r>
        <w:t>CONE</w:t>
      </w:r>
      <w:r>
        <w:rPr>
          <w:bCs/>
        </w:rPr>
        <w:t xml:space="preserve"> translated into a seasonally adjusted monthly UCAP value, or</w:t>
      </w:r>
      <w:r>
        <w:rPr>
          <w:bCs/>
        </w:rPr>
        <w:t xml:space="preserve"> a numerical value </w:t>
      </w:r>
      <w:r>
        <w:t>determined</w:t>
      </w:r>
      <w:r>
        <w:rPr>
          <w:bCs/>
        </w:rPr>
        <w:t xml:space="preserve"> as specified in Section 23.4.5.7.3, translated into a seasonally adjusted monthly UCAP value using an appropriate class outage rate, or for an In-City Installed Capacity Supplier that is a Special Case Resource shall mean a nu</w:t>
      </w:r>
      <w:r>
        <w:rPr>
          <w:bCs/>
        </w:rPr>
        <w:t>merical value determined as specified in Section 23.4.5.7.5.</w:t>
      </w:r>
    </w:p>
    <w:p w:rsidR="00C17202" w:rsidRDefault="00FA609E">
      <w:pPr>
        <w:pStyle w:val="Definition"/>
        <w:rPr>
          <w:bCs/>
        </w:rPr>
      </w:pPr>
      <w:r>
        <w:rPr>
          <w:bCs/>
        </w:rPr>
        <w:t xml:space="preserve">For purposes of Section 23.4.5 of this Attachment H, </w:t>
      </w:r>
      <w:r>
        <w:rPr>
          <w:b/>
          <w:bCs/>
        </w:rPr>
        <w:t xml:space="preserve">“Pivotal Supplier” </w:t>
      </w:r>
      <w:r>
        <w:rPr>
          <w:bCs/>
        </w:rPr>
        <w:t>shall mean a Market Party that, together with any of its Affiliated Entities, (a) Controls 500 MW or more of Unforced Capac</w:t>
      </w:r>
      <w:r>
        <w:rPr>
          <w:bCs/>
        </w:rPr>
        <w:t>ity, and (b) Controls Unforced Capacity some portion of which is necessary to meet the New York City Locational Minimum Installed Capacity Requirement in an ICAP Spot Market Auction.</w:t>
      </w:r>
    </w:p>
    <w:p w:rsidR="00C17202" w:rsidRDefault="00FA609E">
      <w:pPr>
        <w:pStyle w:val="Definition"/>
        <w:rPr>
          <w:bCs/>
        </w:rPr>
      </w:pPr>
      <w:r>
        <w:rPr>
          <w:b/>
          <w:bCs/>
        </w:rPr>
        <w:t xml:space="preserve">“Project Cost Allocation” </w:t>
      </w:r>
      <w:r>
        <w:rPr>
          <w:bCs/>
        </w:rPr>
        <w:t xml:space="preserve">shall have the meaning specified in Attachment </w:t>
      </w:r>
      <w:r>
        <w:rPr>
          <w:bCs/>
        </w:rPr>
        <w:t>S of the ISO’s Open Access Transmission Tariff.</w:t>
      </w:r>
    </w:p>
    <w:p w:rsidR="00C17202" w:rsidRDefault="00FA609E">
      <w:pPr>
        <w:pStyle w:val="Definition"/>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w:t>
      </w:r>
      <w:r>
        <w:rPr>
          <w:bCs/>
        </w:rPr>
        <w:t>on to sell Unforced Capacity from a specified Installed Capacity Supplier.</w:t>
      </w:r>
    </w:p>
    <w:p w:rsidR="00C17202" w:rsidRDefault="00FA609E">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C17202" w:rsidRDefault="00FA609E">
      <w:pPr>
        <w:pStyle w:val="Definition"/>
        <w:rPr>
          <w:bCs/>
        </w:rPr>
      </w:pPr>
      <w:r>
        <w:rPr>
          <w:b/>
          <w:bCs/>
        </w:rPr>
        <w:t>“</w:t>
      </w:r>
      <w:r>
        <w:rPr>
          <w:b/>
        </w:rPr>
        <w:t>Subsequent</w:t>
      </w:r>
      <w:r>
        <w:rPr>
          <w:b/>
          <w:bCs/>
        </w:rPr>
        <w:t xml:space="preserve"> Decision Period”</w:t>
      </w:r>
      <w:r>
        <w:rPr>
          <w:bCs/>
        </w:rPr>
        <w:t xml:space="preserve"> shall have the meaning </w:t>
      </w:r>
      <w:r>
        <w:rPr>
          <w:bCs/>
        </w:rPr>
        <w:t>specified in Attachment S of the ISO’s Open Access Transmission Tariff.</w:t>
      </w:r>
    </w:p>
    <w:p w:rsidR="00C17202" w:rsidRDefault="00FA609E">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the New York City Locality in excess of the Loc</w:t>
      </w:r>
      <w:r>
        <w:rPr>
          <w:bCs/>
        </w:rPr>
        <w:t xml:space="preserve">ational Minimum Installed Capacity Requirement for the New York City Locality.  </w:t>
      </w:r>
    </w:p>
    <w:p w:rsidR="00C17202" w:rsidRDefault="00FA609E">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w:t>
      </w:r>
      <w:r>
        <w:rPr>
          <w:bCs/>
        </w:rPr>
        <w:t>tion determined by the ISO on the basis of the applicable ICAP Demand Curve and the total quantity of Unforced Capacity from all Installed Capacity Suppliers in the New York City Locality for the period covered by the applicable ICAP Spot Market Auction.</w:t>
      </w:r>
    </w:p>
    <w:p w:rsidR="00C17202" w:rsidRDefault="00FA609E">
      <w:pPr>
        <w:pStyle w:val="Definition"/>
      </w:pPr>
      <w:r>
        <w:t>F</w:t>
      </w:r>
      <w:r>
        <w:t>or</w:t>
      </w:r>
      <w:r>
        <w:rPr>
          <w:bCs/>
        </w:rPr>
        <w:t xml:space="preserve"> purposes of Section 23.4.5 of this Attachment H, </w:t>
      </w:r>
      <w:r>
        <w:rPr>
          <w:b/>
          <w:bCs/>
        </w:rPr>
        <w:t xml:space="preserve">“Unit Net CONE” </w:t>
      </w:r>
      <w:r>
        <w:rPr>
          <w:bCs/>
        </w:rPr>
        <w:t xml:space="preserve">shall mean localized levelized </w:t>
      </w:r>
      <w:bookmarkStart w:id="5" w:name="OLE_LINK3"/>
      <w:bookmarkStart w:id="6" w:name="OLE_LINK4"/>
      <w:r>
        <w:rPr>
          <w:bCs/>
        </w:rPr>
        <w:t>embedded costs of a specified Installed Capacity Supplier, including interconnection costs, and for an Installed Capacity Supplier located outside the New Yo</w:t>
      </w:r>
      <w:r>
        <w:rPr>
          <w:bCs/>
        </w:rPr>
        <w:t>rk City Locality including embedded costs of transmission service, in either case net of likely projected annual Energy and Ancillary Services revenues</w:t>
      </w:r>
      <w:bookmarkEnd w:id="5"/>
      <w:bookmarkEnd w:id="6"/>
      <w:r>
        <w:rPr>
          <w:bCs/>
        </w:rPr>
        <w:t>, as determined by the ISO, translated into a seasonally adjusted monthly UCAP value using an appropriate</w:t>
      </w:r>
      <w:r>
        <w:rPr>
          <w:bCs/>
        </w:rPr>
        <w:t xml:space="preserve"> class outage rate.</w:t>
      </w:r>
    </w:p>
    <w:p w:rsidR="00C17202" w:rsidRDefault="00FA609E">
      <w:pPr>
        <w:pStyle w:val="Heading3"/>
      </w:pPr>
      <w:bookmarkStart w:id="7" w:name="_Toc261252163"/>
      <w:r>
        <w:t>23.2.2</w:t>
      </w:r>
      <w:r>
        <w:tab/>
        <w:t>Conduct Subject to Mitigation</w:t>
      </w:r>
      <w:bookmarkEnd w:id="7"/>
    </w:p>
    <w:p w:rsidR="00C17202" w:rsidRDefault="00FA609E">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C17202" w:rsidRDefault="00FA609E">
      <w:pPr>
        <w:pStyle w:val="Heading3"/>
      </w:pPr>
      <w:bookmarkStart w:id="10" w:name="_Toc261252164"/>
      <w:r>
        <w:t>23.2.3</w:t>
      </w:r>
      <w:r>
        <w:tab/>
        <w:t>Conditions for the Imposition of Mitigation</w:t>
      </w:r>
      <w:r>
        <w:t xml:space="preserve"> Measures</w:t>
      </w:r>
      <w:bookmarkEnd w:id="10"/>
    </w:p>
    <w:p w:rsidR="00C17202" w:rsidRDefault="00FA609E">
      <w:pPr>
        <w:pStyle w:val="alphapara"/>
      </w:pPr>
      <w:r>
        <w:t>23.2.3.1</w:t>
      </w:r>
      <w:r>
        <w:tab/>
        <w:t xml:space="preserve">To achieve the foregoing purpose and objectives, Mitigation Measures should only be imposed to remedy conduct that would substantially distort or impair the competitiveness of any of the ISO Administered Markets.  Accordingly, the ISO </w:t>
      </w:r>
      <w:r>
        <w:t>shall seek to impose Mitigation Measures only to remedy conduct that:</w:t>
      </w:r>
    </w:p>
    <w:p w:rsidR="00C17202" w:rsidRDefault="00FA609E">
      <w:pPr>
        <w:pStyle w:val="romannumeralpara"/>
      </w:pPr>
      <w:r>
        <w:t>23.2.3.1.1</w:t>
      </w:r>
      <w:r>
        <w:tab/>
        <w:t>is significantly inconsistent with competitive conduct; and</w:t>
      </w:r>
    </w:p>
    <w:p w:rsidR="00C17202" w:rsidRDefault="00FA609E">
      <w:pPr>
        <w:pStyle w:val="romannumeralpara"/>
      </w:pPr>
      <w:r>
        <w:t>23.2.3.1.2</w:t>
      </w:r>
      <w:r>
        <w:tab/>
        <w:t>would result in a material change in one or more prices in an ISO Administered Market or production cost</w:t>
      </w:r>
      <w:r>
        <w:t xml:space="preserve"> guarantee payments (“guarantee payments”) to a Market Party.</w:t>
      </w:r>
    </w:p>
    <w:p w:rsidR="00C17202" w:rsidRDefault="00FA609E">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w:t>
      </w:r>
      <w:r>
        <w:t xml:space="preserve">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1" w:name="_DV_M17"/>
      <w:bookmarkEnd w:id="11"/>
      <w:r>
        <w:t>23.2.4 below.</w:t>
      </w:r>
    </w:p>
    <w:p w:rsidR="00C17202" w:rsidRDefault="00FA609E">
      <w:pPr>
        <w:pStyle w:val="Heading3"/>
      </w:pPr>
      <w:bookmarkStart w:id="12" w:name="_DV_M18"/>
      <w:bookmarkStart w:id="13" w:name="_Ref470447627"/>
      <w:bookmarkStart w:id="14" w:name="_Toc261252165"/>
      <w:bookmarkEnd w:id="12"/>
      <w:r>
        <w:t>23.2.4</w:t>
      </w:r>
      <w:r>
        <w:tab/>
        <w:t xml:space="preserve">Categories </w:t>
      </w:r>
      <w:r>
        <w:t>of Conduct that May Warrant Mitigation</w:t>
      </w:r>
      <w:bookmarkEnd w:id="13"/>
      <w:bookmarkEnd w:id="14"/>
    </w:p>
    <w:p w:rsidR="00C17202" w:rsidRDefault="00FA609E">
      <w:pPr>
        <w:pStyle w:val="alpha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w:t>
      </w:r>
      <w:r>
        <w:t>m a position of market power.  Accordingly, the ISO shall monitor the ISO Administered Markets for the following categories of conduct, and shall impose appropriate Mitigation Measures if such conduct is detected and the other applicable conditions for the</w:t>
      </w:r>
      <w:r>
        <w:t xml:space="preserve"> imposition of Mitigation Measures are met:</w:t>
      </w:r>
    </w:p>
    <w:p w:rsidR="00C17202" w:rsidRDefault="00FA609E">
      <w:pPr>
        <w:pStyle w:val="alpha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w:t>
      </w:r>
      <w:r>
        <w:t xml:space="preserve">ithholding may include,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w:t>
      </w:r>
      <w:r>
        <w:rPr>
          <w:bCs/>
        </w:rPr>
        <w:t>in the economic interest of the Market Party or its Affiliates in the absence of market power; (iii); making an unjustifiable change to one or more operating parameters of a Generator that reduces its ability to provide Energy or Ancillary Services or (iv)</w:t>
      </w:r>
      <w:r>
        <w:rPr>
          <w:bCs/>
        </w:rPr>
        <w:t xml:space="preserve"> operating a Generator in real-time  at a lower output level than the Generator would have been expected to produce had the Generator followed the ISO’s dispatch instructions, in a manner that is not attributable to the Generator’s verifiable physical oper</w:t>
      </w:r>
      <w:r>
        <w:rPr>
          <w:bCs/>
        </w:rPr>
        <w:t>ating capabilities and that would not be in the economic interest of the Market Party or its Affiliates in the absence of market power.</w:t>
      </w:r>
      <w:bookmarkEnd w:id="21"/>
      <w:r>
        <w:rPr>
          <w:bCs/>
        </w:rPr>
        <w:t xml:space="preserve"> </w:t>
      </w:r>
    </w:p>
    <w:p w:rsidR="00C17202" w:rsidRDefault="00FA609E">
      <w:pPr>
        <w:pStyle w:val="alphapara"/>
      </w:pPr>
      <w:r>
        <w:rPr>
          <w:bCs/>
        </w:rPr>
        <w:tab/>
        <w:t xml:space="preserve">For purposes of this Section and Section 23.4.3.2, the term “unjustifiable change” shall mean a change in an Electric </w:t>
      </w:r>
      <w:r>
        <w:rPr>
          <w:bCs/>
        </w:rPr>
        <w:t>Facility’s operating parameters that is:  (a) not attributable to the Electric Facility’s verifiable physical operating capabilities, and (b) is not a rational competitive response to economic factors other than market power.</w:t>
      </w:r>
    </w:p>
    <w:p w:rsidR="00C17202" w:rsidRDefault="00FA609E">
      <w:pPr>
        <w:pStyle w:val="alphapara"/>
      </w:pPr>
      <w:bookmarkStart w:id="22" w:name="_DV_M21"/>
      <w:bookmarkEnd w:id="22"/>
      <w:r>
        <w:t>23.2.4.1.2</w:t>
      </w:r>
      <w:r>
        <w:tab/>
        <w:t>Economic withholdin</w:t>
      </w:r>
      <w:r>
        <w:t>g of an Electric Facility, that is, submitting Bids for an Electric Facility that are unjustifiably high so that (i) the Electric Facility is not or will not be dispatched or scheduled, or (ii) the Bids will set a market clearing price.</w:t>
      </w:r>
    </w:p>
    <w:p w:rsidR="00C17202" w:rsidRDefault="00FA609E">
      <w:pPr>
        <w:pStyle w:val="alphapara"/>
      </w:pPr>
      <w:bookmarkStart w:id="23" w:name="_DV_M22"/>
      <w:bookmarkEnd w:id="23"/>
      <w:r>
        <w:t>23.2.4.1.3</w:t>
      </w:r>
      <w:r>
        <w:tab/>
        <w:t>Uneconom</w:t>
      </w:r>
      <w:r>
        <w:t>ic production from an Electric Facility, that is, increasing the output of an Electric Facility to levels that would otherwise be uneconomic in order to cause, and obtain benefits from, a transmission constraint.</w:t>
      </w:r>
    </w:p>
    <w:p w:rsidR="00C17202" w:rsidRDefault="00FA609E">
      <w:pPr>
        <w:pStyle w:val="alphapara"/>
      </w:pPr>
      <w:bookmarkStart w:id="24" w:name="_DV_M23"/>
      <w:bookmarkStart w:id="25" w:name="_Ref470523562"/>
      <w:bookmarkEnd w:id="24"/>
      <w:r>
        <w:t>23.2.4.2</w:t>
      </w:r>
      <w:r>
        <w:tab/>
        <w:t>Mitigation Measures may also be im</w:t>
      </w:r>
      <w:r>
        <w:t>posed, subject to FERC’s approval, to mitigate the market effects of a rule, standard, procedure or design feature of an ISO Administered Market that allows a Market Party or its Affiliate to manipulate market prices or otherwise impair the efficient opera</w:t>
      </w:r>
      <w:r>
        <w:t>tion of that market, pending the revision of such rule, standard, procedure or design feature to preclude such manipulation of prices or impairment of efficiency.</w:t>
      </w:r>
      <w:bookmarkEnd w:id="25"/>
    </w:p>
    <w:p w:rsidR="00C17202" w:rsidRDefault="00FA609E">
      <w:pPr>
        <w:pStyle w:val="alphapara"/>
      </w:pPr>
      <w:bookmarkStart w:id="26" w:name="_DV_M24"/>
      <w:bookmarkEnd w:id="26"/>
      <w:r>
        <w:t>23.2.4.3</w:t>
      </w:r>
      <w:r>
        <w:tab/>
        <w:t xml:space="preserve">Taking advantage of opportunities to sell at a higher price or buy at a lower price </w:t>
      </w:r>
      <w:r>
        <w:t>in a market other than an ISO Administered Market shall not be deemed a form of withholding or otherwise inconsistent with competitive conduct.</w:t>
      </w:r>
    </w:p>
    <w:p w:rsidR="00C17202" w:rsidRDefault="00FA609E">
      <w:pPr>
        <w:pStyle w:val="alpha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the ISO Administered Markets for other categories </w:t>
      </w:r>
      <w:r>
        <w:t>of conduct, whether by a single firm or by multiple firms acting in concert, that have material effects on prices or guarantee payments in an ISO Administered Market.  The ISO shall: (i) seek to amend the foregoing list as may be appropriate, in accordance</w:t>
      </w:r>
      <w:r>
        <w:t xml:space="preserve"> with the procedures and requirements for amending the Plan, to include any such conduct that would substantially distort or impair the competitiveness of any of the ISO Administered Markets; and (ii) seek such other authorization to mitigate the effects o</w:t>
      </w:r>
      <w:r>
        <w:t xml:space="preserve">f such conduct from the FERC as may be appropriate.  </w:t>
      </w:r>
      <w:r>
        <w:rPr>
          <w:color w:val="000000"/>
        </w:rPr>
        <w:t>The responsibilities of the Market Monitoring Unit that are addressed in this section of the Mitigation Measures are also addressed in Section 30.4.6.2.2 of Attachment O.</w:t>
      </w:r>
      <w:bookmarkEnd w:id="30"/>
    </w:p>
    <w:p w:rsidR="00C17202" w:rsidRDefault="00FA609E">
      <w:pPr>
        <w:pStyle w:val="EndnoteText"/>
      </w:pPr>
    </w:p>
    <w:p w:rsidR="00C17202" w:rsidRDefault="00FA609E">
      <w:pPr>
        <w:pStyle w:val="Header"/>
        <w:tabs>
          <w:tab w:val="left" w:pos="720"/>
          <w:tab w:val="left" w:pos="1440"/>
        </w:tabs>
        <w:rPr>
          <w:color w:val="000000"/>
          <w:sz w:val="20"/>
          <w:szCs w:val="20"/>
        </w:rPr>
      </w:pPr>
      <w:r>
        <w:rPr>
          <w:sz w:val="20"/>
          <w:szCs w:val="20"/>
        </w:rPr>
        <w:t>Filed August 24, 2010 to comply</w:t>
      </w:r>
      <w:r>
        <w:rPr>
          <w:sz w:val="20"/>
          <w:szCs w:val="20"/>
        </w:rPr>
        <w:t xml:space="preserve">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w:t>
      </w:r>
      <w:r>
        <w:rPr>
          <w:color w:val="000000"/>
          <w:sz w:val="20"/>
          <w:szCs w:val="20"/>
        </w:rPr>
        <w:t xml:space="preserve">ive date: November 1, 2008 (in accordance with </w:t>
      </w:r>
      <w:r>
        <w:rPr>
          <w:sz w:val="20"/>
          <w:szCs w:val="20"/>
        </w:rPr>
        <w:t>ordering paragraph (B) of the May 20, 2010 Order)</w:t>
      </w:r>
      <w:r>
        <w:rPr>
          <w:color w:val="000000"/>
          <w:sz w:val="20"/>
          <w:szCs w:val="20"/>
        </w:rPr>
        <w:t>.</w:t>
      </w:r>
    </w:p>
    <w:p w:rsidR="00C17202" w:rsidRDefault="00FA609E">
      <w:pPr>
        <w:pStyle w:val="EndnoteText"/>
      </w:pPr>
    </w:p>
    <w:sectPr w:rsidR="00C172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09E">
      <w:r>
        <w:separator/>
      </w:r>
    </w:p>
  </w:endnote>
  <w:endnote w:type="continuationSeparator" w:id="0">
    <w:p w:rsidR="00000000" w:rsidRDefault="00F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09E">
      <w:r>
        <w:separator/>
      </w:r>
    </w:p>
  </w:footnote>
  <w:footnote w:type="continuationSeparator" w:id="0">
    <w:p w:rsidR="00000000" w:rsidRDefault="00FA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(2) --&gt; 23.2 MST Att H Conduct Warranting Mitigation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23.2 MS</w:t>
    </w:r>
    <w:r>
      <w:rPr>
        <w:rFonts w:ascii="Arial" w:eastAsia="Arial" w:hAnsi="Arial" w:cs="Arial"/>
        <w:color w:val="000000"/>
        <w:sz w:val="16"/>
      </w:rPr>
      <w:t>T Att H Conduct Warranting Mitigation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7" w:rsidRDefault="00FA60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 H - ISO Market Power Mitigation Measures (2) --&gt; 23.2 MST Att H Conduct Warranting Mitigation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0524F6A">
      <w:start w:val="1"/>
      <w:numFmt w:val="bullet"/>
      <w:pStyle w:val="Bulletpara"/>
      <w:lvlText w:val=""/>
      <w:lvlJc w:val="left"/>
      <w:pPr>
        <w:tabs>
          <w:tab w:val="num" w:pos="720"/>
        </w:tabs>
        <w:ind w:left="720" w:hanging="360"/>
      </w:pPr>
      <w:rPr>
        <w:rFonts w:ascii="Symbol" w:hAnsi="Symbol" w:hint="default"/>
      </w:rPr>
    </w:lvl>
    <w:lvl w:ilvl="1" w:tplc="E708DD26" w:tentative="1">
      <w:start w:val="1"/>
      <w:numFmt w:val="bullet"/>
      <w:lvlText w:val="o"/>
      <w:lvlJc w:val="left"/>
      <w:pPr>
        <w:tabs>
          <w:tab w:val="num" w:pos="1440"/>
        </w:tabs>
        <w:ind w:left="1440" w:hanging="360"/>
      </w:pPr>
      <w:rPr>
        <w:rFonts w:ascii="Courier New" w:hAnsi="Courier New" w:cs="Courier New" w:hint="default"/>
      </w:rPr>
    </w:lvl>
    <w:lvl w:ilvl="2" w:tplc="B9C68CFE" w:tentative="1">
      <w:start w:val="1"/>
      <w:numFmt w:val="bullet"/>
      <w:lvlText w:val=""/>
      <w:lvlJc w:val="left"/>
      <w:pPr>
        <w:tabs>
          <w:tab w:val="num" w:pos="2160"/>
        </w:tabs>
        <w:ind w:left="2160" w:hanging="360"/>
      </w:pPr>
      <w:rPr>
        <w:rFonts w:ascii="Wingdings" w:hAnsi="Wingdings" w:hint="default"/>
      </w:rPr>
    </w:lvl>
    <w:lvl w:ilvl="3" w:tplc="8214C818" w:tentative="1">
      <w:start w:val="1"/>
      <w:numFmt w:val="bullet"/>
      <w:lvlText w:val=""/>
      <w:lvlJc w:val="left"/>
      <w:pPr>
        <w:tabs>
          <w:tab w:val="num" w:pos="2880"/>
        </w:tabs>
        <w:ind w:left="2880" w:hanging="360"/>
      </w:pPr>
      <w:rPr>
        <w:rFonts w:ascii="Symbol" w:hAnsi="Symbol" w:hint="default"/>
      </w:rPr>
    </w:lvl>
    <w:lvl w:ilvl="4" w:tplc="DA7C6F9A" w:tentative="1">
      <w:start w:val="1"/>
      <w:numFmt w:val="bullet"/>
      <w:lvlText w:val="o"/>
      <w:lvlJc w:val="left"/>
      <w:pPr>
        <w:tabs>
          <w:tab w:val="num" w:pos="3600"/>
        </w:tabs>
        <w:ind w:left="3600" w:hanging="360"/>
      </w:pPr>
      <w:rPr>
        <w:rFonts w:ascii="Courier New" w:hAnsi="Courier New" w:cs="Courier New" w:hint="default"/>
      </w:rPr>
    </w:lvl>
    <w:lvl w:ilvl="5" w:tplc="07C0A41C" w:tentative="1">
      <w:start w:val="1"/>
      <w:numFmt w:val="bullet"/>
      <w:lvlText w:val=""/>
      <w:lvlJc w:val="left"/>
      <w:pPr>
        <w:tabs>
          <w:tab w:val="num" w:pos="4320"/>
        </w:tabs>
        <w:ind w:left="4320" w:hanging="360"/>
      </w:pPr>
      <w:rPr>
        <w:rFonts w:ascii="Wingdings" w:hAnsi="Wingdings" w:hint="default"/>
      </w:rPr>
    </w:lvl>
    <w:lvl w:ilvl="6" w:tplc="3A761C48" w:tentative="1">
      <w:start w:val="1"/>
      <w:numFmt w:val="bullet"/>
      <w:lvlText w:val=""/>
      <w:lvlJc w:val="left"/>
      <w:pPr>
        <w:tabs>
          <w:tab w:val="num" w:pos="5040"/>
        </w:tabs>
        <w:ind w:left="5040" w:hanging="360"/>
      </w:pPr>
      <w:rPr>
        <w:rFonts w:ascii="Symbol" w:hAnsi="Symbol" w:hint="default"/>
      </w:rPr>
    </w:lvl>
    <w:lvl w:ilvl="7" w:tplc="80B2C17C" w:tentative="1">
      <w:start w:val="1"/>
      <w:numFmt w:val="bullet"/>
      <w:lvlText w:val="o"/>
      <w:lvlJc w:val="left"/>
      <w:pPr>
        <w:tabs>
          <w:tab w:val="num" w:pos="5760"/>
        </w:tabs>
        <w:ind w:left="5760" w:hanging="360"/>
      </w:pPr>
      <w:rPr>
        <w:rFonts w:ascii="Courier New" w:hAnsi="Courier New" w:cs="Courier New" w:hint="default"/>
      </w:rPr>
    </w:lvl>
    <w:lvl w:ilvl="8" w:tplc="2F16C8D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0D4E06A">
      <w:start w:val="1"/>
      <w:numFmt w:val="none"/>
      <w:lvlText w:val="(b)"/>
      <w:lvlJc w:val="left"/>
      <w:pPr>
        <w:tabs>
          <w:tab w:val="num" w:pos="3240"/>
        </w:tabs>
        <w:ind w:left="3240" w:hanging="360"/>
      </w:pPr>
      <w:rPr>
        <w:rFonts w:hint="default"/>
      </w:rPr>
    </w:lvl>
    <w:lvl w:ilvl="1" w:tplc="DA4AE2BE" w:tentative="1">
      <w:start w:val="1"/>
      <w:numFmt w:val="lowerLetter"/>
      <w:lvlText w:val="%2."/>
      <w:lvlJc w:val="left"/>
      <w:pPr>
        <w:tabs>
          <w:tab w:val="num" w:pos="1440"/>
        </w:tabs>
        <w:ind w:left="1440" w:hanging="360"/>
      </w:pPr>
    </w:lvl>
    <w:lvl w:ilvl="2" w:tplc="15CEFB48" w:tentative="1">
      <w:start w:val="1"/>
      <w:numFmt w:val="lowerRoman"/>
      <w:lvlText w:val="%3."/>
      <w:lvlJc w:val="right"/>
      <w:pPr>
        <w:tabs>
          <w:tab w:val="num" w:pos="2160"/>
        </w:tabs>
        <w:ind w:left="2160" w:hanging="180"/>
      </w:pPr>
    </w:lvl>
    <w:lvl w:ilvl="3" w:tplc="882ECA00">
      <w:start w:val="1"/>
      <w:numFmt w:val="decimal"/>
      <w:lvlText w:val="%4."/>
      <w:lvlJc w:val="left"/>
      <w:pPr>
        <w:tabs>
          <w:tab w:val="num" w:pos="2880"/>
        </w:tabs>
        <w:ind w:left="2880" w:hanging="360"/>
      </w:pPr>
    </w:lvl>
    <w:lvl w:ilvl="4" w:tplc="13701170" w:tentative="1">
      <w:start w:val="1"/>
      <w:numFmt w:val="lowerLetter"/>
      <w:lvlText w:val="%5."/>
      <w:lvlJc w:val="left"/>
      <w:pPr>
        <w:tabs>
          <w:tab w:val="num" w:pos="3600"/>
        </w:tabs>
        <w:ind w:left="3600" w:hanging="360"/>
      </w:pPr>
    </w:lvl>
    <w:lvl w:ilvl="5" w:tplc="760ABE70" w:tentative="1">
      <w:start w:val="1"/>
      <w:numFmt w:val="lowerRoman"/>
      <w:lvlText w:val="%6."/>
      <w:lvlJc w:val="right"/>
      <w:pPr>
        <w:tabs>
          <w:tab w:val="num" w:pos="4320"/>
        </w:tabs>
        <w:ind w:left="4320" w:hanging="180"/>
      </w:pPr>
    </w:lvl>
    <w:lvl w:ilvl="6" w:tplc="5E5EB02E" w:tentative="1">
      <w:start w:val="1"/>
      <w:numFmt w:val="decimal"/>
      <w:lvlText w:val="%7."/>
      <w:lvlJc w:val="left"/>
      <w:pPr>
        <w:tabs>
          <w:tab w:val="num" w:pos="5040"/>
        </w:tabs>
        <w:ind w:left="5040" w:hanging="360"/>
      </w:pPr>
    </w:lvl>
    <w:lvl w:ilvl="7" w:tplc="5DD8AC98" w:tentative="1">
      <w:start w:val="1"/>
      <w:numFmt w:val="lowerLetter"/>
      <w:lvlText w:val="%8."/>
      <w:lvlJc w:val="left"/>
      <w:pPr>
        <w:tabs>
          <w:tab w:val="num" w:pos="5760"/>
        </w:tabs>
        <w:ind w:left="5760" w:hanging="360"/>
      </w:pPr>
    </w:lvl>
    <w:lvl w:ilvl="8" w:tplc="B924088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EF24430">
      <w:start w:val="1"/>
      <w:numFmt w:val="decimal"/>
      <w:lvlText w:val="%1."/>
      <w:lvlJc w:val="left"/>
      <w:pPr>
        <w:tabs>
          <w:tab w:val="num" w:pos="720"/>
        </w:tabs>
        <w:ind w:left="720" w:hanging="360"/>
      </w:pPr>
    </w:lvl>
    <w:lvl w:ilvl="1" w:tplc="6D5E15DC" w:tentative="1">
      <w:start w:val="1"/>
      <w:numFmt w:val="lowerLetter"/>
      <w:lvlText w:val="%2."/>
      <w:lvlJc w:val="left"/>
      <w:pPr>
        <w:tabs>
          <w:tab w:val="num" w:pos="1440"/>
        </w:tabs>
        <w:ind w:left="1440" w:hanging="360"/>
      </w:pPr>
    </w:lvl>
    <w:lvl w:ilvl="2" w:tplc="DDEE9D5E" w:tentative="1">
      <w:start w:val="1"/>
      <w:numFmt w:val="lowerRoman"/>
      <w:lvlText w:val="%3."/>
      <w:lvlJc w:val="right"/>
      <w:pPr>
        <w:tabs>
          <w:tab w:val="num" w:pos="2160"/>
        </w:tabs>
        <w:ind w:left="2160" w:hanging="180"/>
      </w:pPr>
    </w:lvl>
    <w:lvl w:ilvl="3" w:tplc="B9A44F58" w:tentative="1">
      <w:start w:val="1"/>
      <w:numFmt w:val="decimal"/>
      <w:lvlText w:val="%4."/>
      <w:lvlJc w:val="left"/>
      <w:pPr>
        <w:tabs>
          <w:tab w:val="num" w:pos="2880"/>
        </w:tabs>
        <w:ind w:left="2880" w:hanging="360"/>
      </w:pPr>
    </w:lvl>
    <w:lvl w:ilvl="4" w:tplc="5340432A" w:tentative="1">
      <w:start w:val="1"/>
      <w:numFmt w:val="lowerLetter"/>
      <w:lvlText w:val="%5."/>
      <w:lvlJc w:val="left"/>
      <w:pPr>
        <w:tabs>
          <w:tab w:val="num" w:pos="3600"/>
        </w:tabs>
        <w:ind w:left="3600" w:hanging="360"/>
      </w:pPr>
    </w:lvl>
    <w:lvl w:ilvl="5" w:tplc="2CF6222E" w:tentative="1">
      <w:start w:val="1"/>
      <w:numFmt w:val="lowerRoman"/>
      <w:lvlText w:val="%6."/>
      <w:lvlJc w:val="right"/>
      <w:pPr>
        <w:tabs>
          <w:tab w:val="num" w:pos="4320"/>
        </w:tabs>
        <w:ind w:left="4320" w:hanging="180"/>
      </w:pPr>
    </w:lvl>
    <w:lvl w:ilvl="6" w:tplc="B8FAF3D2" w:tentative="1">
      <w:start w:val="1"/>
      <w:numFmt w:val="decimal"/>
      <w:lvlText w:val="%7."/>
      <w:lvlJc w:val="left"/>
      <w:pPr>
        <w:tabs>
          <w:tab w:val="num" w:pos="5040"/>
        </w:tabs>
        <w:ind w:left="5040" w:hanging="360"/>
      </w:pPr>
    </w:lvl>
    <w:lvl w:ilvl="7" w:tplc="46A0F6F8" w:tentative="1">
      <w:start w:val="1"/>
      <w:numFmt w:val="lowerLetter"/>
      <w:lvlText w:val="%8."/>
      <w:lvlJc w:val="left"/>
      <w:pPr>
        <w:tabs>
          <w:tab w:val="num" w:pos="5760"/>
        </w:tabs>
        <w:ind w:left="5760" w:hanging="360"/>
      </w:pPr>
    </w:lvl>
    <w:lvl w:ilvl="8" w:tplc="41F48F5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56C0312">
      <w:start w:val="1"/>
      <w:numFmt w:val="decimal"/>
      <w:lvlText w:val="(%1)"/>
      <w:lvlJc w:val="left"/>
      <w:pPr>
        <w:tabs>
          <w:tab w:val="num" w:pos="2016"/>
        </w:tabs>
        <w:ind w:left="2016" w:hanging="576"/>
      </w:pPr>
      <w:rPr>
        <w:rFonts w:hint="default"/>
      </w:rPr>
    </w:lvl>
    <w:lvl w:ilvl="1" w:tplc="48E4C19E" w:tentative="1">
      <w:start w:val="1"/>
      <w:numFmt w:val="lowerLetter"/>
      <w:lvlText w:val="%2."/>
      <w:lvlJc w:val="left"/>
      <w:pPr>
        <w:tabs>
          <w:tab w:val="num" w:pos="2880"/>
        </w:tabs>
        <w:ind w:left="2880" w:hanging="360"/>
      </w:pPr>
    </w:lvl>
    <w:lvl w:ilvl="2" w:tplc="75E8EA34" w:tentative="1">
      <w:start w:val="1"/>
      <w:numFmt w:val="lowerRoman"/>
      <w:lvlText w:val="%3."/>
      <w:lvlJc w:val="right"/>
      <w:pPr>
        <w:tabs>
          <w:tab w:val="num" w:pos="3600"/>
        </w:tabs>
        <w:ind w:left="3600" w:hanging="180"/>
      </w:pPr>
    </w:lvl>
    <w:lvl w:ilvl="3" w:tplc="53823316" w:tentative="1">
      <w:start w:val="1"/>
      <w:numFmt w:val="decimal"/>
      <w:lvlText w:val="%4."/>
      <w:lvlJc w:val="left"/>
      <w:pPr>
        <w:tabs>
          <w:tab w:val="num" w:pos="4320"/>
        </w:tabs>
        <w:ind w:left="4320" w:hanging="360"/>
      </w:pPr>
    </w:lvl>
    <w:lvl w:ilvl="4" w:tplc="197E5B64" w:tentative="1">
      <w:start w:val="1"/>
      <w:numFmt w:val="lowerLetter"/>
      <w:lvlText w:val="%5."/>
      <w:lvlJc w:val="left"/>
      <w:pPr>
        <w:tabs>
          <w:tab w:val="num" w:pos="5040"/>
        </w:tabs>
        <w:ind w:left="5040" w:hanging="360"/>
      </w:pPr>
    </w:lvl>
    <w:lvl w:ilvl="5" w:tplc="6DB6650C" w:tentative="1">
      <w:start w:val="1"/>
      <w:numFmt w:val="lowerRoman"/>
      <w:lvlText w:val="%6."/>
      <w:lvlJc w:val="right"/>
      <w:pPr>
        <w:tabs>
          <w:tab w:val="num" w:pos="5760"/>
        </w:tabs>
        <w:ind w:left="5760" w:hanging="180"/>
      </w:pPr>
    </w:lvl>
    <w:lvl w:ilvl="6" w:tplc="D9DC6522" w:tentative="1">
      <w:start w:val="1"/>
      <w:numFmt w:val="decimal"/>
      <w:lvlText w:val="%7."/>
      <w:lvlJc w:val="left"/>
      <w:pPr>
        <w:tabs>
          <w:tab w:val="num" w:pos="6480"/>
        </w:tabs>
        <w:ind w:left="6480" w:hanging="360"/>
      </w:pPr>
    </w:lvl>
    <w:lvl w:ilvl="7" w:tplc="26E0A310" w:tentative="1">
      <w:start w:val="1"/>
      <w:numFmt w:val="lowerLetter"/>
      <w:lvlText w:val="%8."/>
      <w:lvlJc w:val="left"/>
      <w:pPr>
        <w:tabs>
          <w:tab w:val="num" w:pos="7200"/>
        </w:tabs>
        <w:ind w:left="7200" w:hanging="360"/>
      </w:pPr>
    </w:lvl>
    <w:lvl w:ilvl="8" w:tplc="1AA2F80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61A0578">
      <w:start w:val="1"/>
      <w:numFmt w:val="lowerRoman"/>
      <w:lvlText w:val="(%1)"/>
      <w:lvlJc w:val="left"/>
      <w:pPr>
        <w:tabs>
          <w:tab w:val="num" w:pos="2448"/>
        </w:tabs>
        <w:ind w:left="2448" w:hanging="648"/>
      </w:pPr>
      <w:rPr>
        <w:rFonts w:hint="default"/>
        <w:b w:val="0"/>
        <w:i w:val="0"/>
        <w:u w:val="none"/>
      </w:rPr>
    </w:lvl>
    <w:lvl w:ilvl="1" w:tplc="178EF62E" w:tentative="1">
      <w:start w:val="1"/>
      <w:numFmt w:val="lowerLetter"/>
      <w:lvlText w:val="%2."/>
      <w:lvlJc w:val="left"/>
      <w:pPr>
        <w:tabs>
          <w:tab w:val="num" w:pos="1440"/>
        </w:tabs>
        <w:ind w:left="1440" w:hanging="360"/>
      </w:pPr>
    </w:lvl>
    <w:lvl w:ilvl="2" w:tplc="DBEA3364" w:tentative="1">
      <w:start w:val="1"/>
      <w:numFmt w:val="lowerRoman"/>
      <w:lvlText w:val="%3."/>
      <w:lvlJc w:val="right"/>
      <w:pPr>
        <w:tabs>
          <w:tab w:val="num" w:pos="2160"/>
        </w:tabs>
        <w:ind w:left="2160" w:hanging="180"/>
      </w:pPr>
    </w:lvl>
    <w:lvl w:ilvl="3" w:tplc="08702FCC" w:tentative="1">
      <w:start w:val="1"/>
      <w:numFmt w:val="decimal"/>
      <w:lvlText w:val="%4."/>
      <w:lvlJc w:val="left"/>
      <w:pPr>
        <w:tabs>
          <w:tab w:val="num" w:pos="2880"/>
        </w:tabs>
        <w:ind w:left="2880" w:hanging="360"/>
      </w:pPr>
    </w:lvl>
    <w:lvl w:ilvl="4" w:tplc="2660BCF2" w:tentative="1">
      <w:start w:val="1"/>
      <w:numFmt w:val="lowerLetter"/>
      <w:lvlText w:val="%5."/>
      <w:lvlJc w:val="left"/>
      <w:pPr>
        <w:tabs>
          <w:tab w:val="num" w:pos="3600"/>
        </w:tabs>
        <w:ind w:left="3600" w:hanging="360"/>
      </w:pPr>
    </w:lvl>
    <w:lvl w:ilvl="5" w:tplc="42E80D62" w:tentative="1">
      <w:start w:val="1"/>
      <w:numFmt w:val="lowerRoman"/>
      <w:lvlText w:val="%6."/>
      <w:lvlJc w:val="right"/>
      <w:pPr>
        <w:tabs>
          <w:tab w:val="num" w:pos="4320"/>
        </w:tabs>
        <w:ind w:left="4320" w:hanging="180"/>
      </w:pPr>
    </w:lvl>
    <w:lvl w:ilvl="6" w:tplc="DB40B7B2" w:tentative="1">
      <w:start w:val="1"/>
      <w:numFmt w:val="decimal"/>
      <w:lvlText w:val="%7."/>
      <w:lvlJc w:val="left"/>
      <w:pPr>
        <w:tabs>
          <w:tab w:val="num" w:pos="5040"/>
        </w:tabs>
        <w:ind w:left="5040" w:hanging="360"/>
      </w:pPr>
    </w:lvl>
    <w:lvl w:ilvl="7" w:tplc="C4E4D4A8" w:tentative="1">
      <w:start w:val="1"/>
      <w:numFmt w:val="lowerLetter"/>
      <w:lvlText w:val="%8."/>
      <w:lvlJc w:val="left"/>
      <w:pPr>
        <w:tabs>
          <w:tab w:val="num" w:pos="5760"/>
        </w:tabs>
        <w:ind w:left="5760" w:hanging="360"/>
      </w:pPr>
    </w:lvl>
    <w:lvl w:ilvl="8" w:tplc="B6FED74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54E0F5E">
      <w:start w:val="1"/>
      <w:numFmt w:val="decimal"/>
      <w:lvlText w:val="%1."/>
      <w:lvlJc w:val="left"/>
      <w:pPr>
        <w:tabs>
          <w:tab w:val="num" w:pos="2160"/>
        </w:tabs>
        <w:ind w:left="2160" w:hanging="360"/>
      </w:pPr>
    </w:lvl>
    <w:lvl w:ilvl="1" w:tplc="0784C812">
      <w:start w:val="1"/>
      <w:numFmt w:val="lowerLetter"/>
      <w:lvlText w:val="%2)"/>
      <w:lvlJc w:val="left"/>
      <w:pPr>
        <w:tabs>
          <w:tab w:val="num" w:pos="2880"/>
        </w:tabs>
        <w:ind w:left="2880" w:hanging="360"/>
      </w:pPr>
    </w:lvl>
    <w:lvl w:ilvl="2" w:tplc="E6108EA2" w:tentative="1">
      <w:start w:val="1"/>
      <w:numFmt w:val="lowerRoman"/>
      <w:lvlText w:val="%3."/>
      <w:lvlJc w:val="right"/>
      <w:pPr>
        <w:tabs>
          <w:tab w:val="num" w:pos="3600"/>
        </w:tabs>
        <w:ind w:left="3600" w:hanging="180"/>
      </w:pPr>
    </w:lvl>
    <w:lvl w:ilvl="3" w:tplc="815E6A46" w:tentative="1">
      <w:start w:val="1"/>
      <w:numFmt w:val="decimal"/>
      <w:lvlText w:val="%4."/>
      <w:lvlJc w:val="left"/>
      <w:pPr>
        <w:tabs>
          <w:tab w:val="num" w:pos="4320"/>
        </w:tabs>
        <w:ind w:left="4320" w:hanging="360"/>
      </w:pPr>
    </w:lvl>
    <w:lvl w:ilvl="4" w:tplc="A1909BB0" w:tentative="1">
      <w:start w:val="1"/>
      <w:numFmt w:val="lowerLetter"/>
      <w:lvlText w:val="%5."/>
      <w:lvlJc w:val="left"/>
      <w:pPr>
        <w:tabs>
          <w:tab w:val="num" w:pos="5040"/>
        </w:tabs>
        <w:ind w:left="5040" w:hanging="360"/>
      </w:pPr>
    </w:lvl>
    <w:lvl w:ilvl="5" w:tplc="3D8EC810" w:tentative="1">
      <w:start w:val="1"/>
      <w:numFmt w:val="lowerRoman"/>
      <w:lvlText w:val="%6."/>
      <w:lvlJc w:val="right"/>
      <w:pPr>
        <w:tabs>
          <w:tab w:val="num" w:pos="5760"/>
        </w:tabs>
        <w:ind w:left="5760" w:hanging="180"/>
      </w:pPr>
    </w:lvl>
    <w:lvl w:ilvl="6" w:tplc="BD82BE18" w:tentative="1">
      <w:start w:val="1"/>
      <w:numFmt w:val="decimal"/>
      <w:lvlText w:val="%7."/>
      <w:lvlJc w:val="left"/>
      <w:pPr>
        <w:tabs>
          <w:tab w:val="num" w:pos="6480"/>
        </w:tabs>
        <w:ind w:left="6480" w:hanging="360"/>
      </w:pPr>
    </w:lvl>
    <w:lvl w:ilvl="7" w:tplc="1FCE8542" w:tentative="1">
      <w:start w:val="1"/>
      <w:numFmt w:val="lowerLetter"/>
      <w:lvlText w:val="%8."/>
      <w:lvlJc w:val="left"/>
      <w:pPr>
        <w:tabs>
          <w:tab w:val="num" w:pos="7200"/>
        </w:tabs>
        <w:ind w:left="7200" w:hanging="360"/>
      </w:pPr>
    </w:lvl>
    <w:lvl w:ilvl="8" w:tplc="CA3863E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94E113A">
      <w:start w:val="1"/>
      <w:numFmt w:val="decimal"/>
      <w:lvlText w:val="%1."/>
      <w:lvlJc w:val="left"/>
      <w:pPr>
        <w:tabs>
          <w:tab w:val="num" w:pos="1440"/>
        </w:tabs>
        <w:ind w:left="1440" w:hanging="360"/>
      </w:pPr>
    </w:lvl>
    <w:lvl w:ilvl="1" w:tplc="27707C62" w:tentative="1">
      <w:start w:val="1"/>
      <w:numFmt w:val="lowerLetter"/>
      <w:lvlText w:val="%2."/>
      <w:lvlJc w:val="left"/>
      <w:pPr>
        <w:tabs>
          <w:tab w:val="num" w:pos="2160"/>
        </w:tabs>
        <w:ind w:left="2160" w:hanging="360"/>
      </w:pPr>
    </w:lvl>
    <w:lvl w:ilvl="2" w:tplc="3A9CEBEA" w:tentative="1">
      <w:start w:val="1"/>
      <w:numFmt w:val="lowerRoman"/>
      <w:lvlText w:val="%3."/>
      <w:lvlJc w:val="right"/>
      <w:pPr>
        <w:tabs>
          <w:tab w:val="num" w:pos="2880"/>
        </w:tabs>
        <w:ind w:left="2880" w:hanging="180"/>
      </w:pPr>
    </w:lvl>
    <w:lvl w:ilvl="3" w:tplc="0EC2A5EA" w:tentative="1">
      <w:start w:val="1"/>
      <w:numFmt w:val="decimal"/>
      <w:lvlText w:val="%4."/>
      <w:lvlJc w:val="left"/>
      <w:pPr>
        <w:tabs>
          <w:tab w:val="num" w:pos="3600"/>
        </w:tabs>
        <w:ind w:left="3600" w:hanging="360"/>
      </w:pPr>
    </w:lvl>
    <w:lvl w:ilvl="4" w:tplc="9BEC2088" w:tentative="1">
      <w:start w:val="1"/>
      <w:numFmt w:val="lowerLetter"/>
      <w:lvlText w:val="%5."/>
      <w:lvlJc w:val="left"/>
      <w:pPr>
        <w:tabs>
          <w:tab w:val="num" w:pos="4320"/>
        </w:tabs>
        <w:ind w:left="4320" w:hanging="360"/>
      </w:pPr>
    </w:lvl>
    <w:lvl w:ilvl="5" w:tplc="86D0543C" w:tentative="1">
      <w:start w:val="1"/>
      <w:numFmt w:val="lowerRoman"/>
      <w:lvlText w:val="%6."/>
      <w:lvlJc w:val="right"/>
      <w:pPr>
        <w:tabs>
          <w:tab w:val="num" w:pos="5040"/>
        </w:tabs>
        <w:ind w:left="5040" w:hanging="180"/>
      </w:pPr>
    </w:lvl>
    <w:lvl w:ilvl="6" w:tplc="D40A003A" w:tentative="1">
      <w:start w:val="1"/>
      <w:numFmt w:val="decimal"/>
      <w:lvlText w:val="%7."/>
      <w:lvlJc w:val="left"/>
      <w:pPr>
        <w:tabs>
          <w:tab w:val="num" w:pos="5760"/>
        </w:tabs>
        <w:ind w:left="5760" w:hanging="360"/>
      </w:pPr>
    </w:lvl>
    <w:lvl w:ilvl="7" w:tplc="168093E2" w:tentative="1">
      <w:start w:val="1"/>
      <w:numFmt w:val="lowerLetter"/>
      <w:lvlText w:val="%8."/>
      <w:lvlJc w:val="left"/>
      <w:pPr>
        <w:tabs>
          <w:tab w:val="num" w:pos="6480"/>
        </w:tabs>
        <w:ind w:left="6480" w:hanging="360"/>
      </w:pPr>
    </w:lvl>
    <w:lvl w:ilvl="8" w:tplc="B88A191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E146C24">
      <w:start w:val="1"/>
      <w:numFmt w:val="decimal"/>
      <w:lvlText w:val="%1."/>
      <w:lvlJc w:val="left"/>
      <w:pPr>
        <w:tabs>
          <w:tab w:val="num" w:pos="1440"/>
        </w:tabs>
        <w:ind w:left="1440" w:hanging="360"/>
      </w:pPr>
    </w:lvl>
    <w:lvl w:ilvl="1" w:tplc="191A57DC" w:tentative="1">
      <w:start w:val="1"/>
      <w:numFmt w:val="lowerLetter"/>
      <w:lvlText w:val="%2."/>
      <w:lvlJc w:val="left"/>
      <w:pPr>
        <w:tabs>
          <w:tab w:val="num" w:pos="2160"/>
        </w:tabs>
        <w:ind w:left="2160" w:hanging="360"/>
      </w:pPr>
    </w:lvl>
    <w:lvl w:ilvl="2" w:tplc="180A943C" w:tentative="1">
      <w:start w:val="1"/>
      <w:numFmt w:val="lowerRoman"/>
      <w:lvlText w:val="%3."/>
      <w:lvlJc w:val="right"/>
      <w:pPr>
        <w:tabs>
          <w:tab w:val="num" w:pos="2880"/>
        </w:tabs>
        <w:ind w:left="2880" w:hanging="180"/>
      </w:pPr>
    </w:lvl>
    <w:lvl w:ilvl="3" w:tplc="46EC3BC6" w:tentative="1">
      <w:start w:val="1"/>
      <w:numFmt w:val="decimal"/>
      <w:lvlText w:val="%4."/>
      <w:lvlJc w:val="left"/>
      <w:pPr>
        <w:tabs>
          <w:tab w:val="num" w:pos="3600"/>
        </w:tabs>
        <w:ind w:left="3600" w:hanging="360"/>
      </w:pPr>
    </w:lvl>
    <w:lvl w:ilvl="4" w:tplc="805A7B10" w:tentative="1">
      <w:start w:val="1"/>
      <w:numFmt w:val="lowerLetter"/>
      <w:lvlText w:val="%5."/>
      <w:lvlJc w:val="left"/>
      <w:pPr>
        <w:tabs>
          <w:tab w:val="num" w:pos="4320"/>
        </w:tabs>
        <w:ind w:left="4320" w:hanging="360"/>
      </w:pPr>
    </w:lvl>
    <w:lvl w:ilvl="5" w:tplc="A1DE5D66" w:tentative="1">
      <w:start w:val="1"/>
      <w:numFmt w:val="lowerRoman"/>
      <w:lvlText w:val="%6."/>
      <w:lvlJc w:val="right"/>
      <w:pPr>
        <w:tabs>
          <w:tab w:val="num" w:pos="5040"/>
        </w:tabs>
        <w:ind w:left="5040" w:hanging="180"/>
      </w:pPr>
    </w:lvl>
    <w:lvl w:ilvl="6" w:tplc="A7EA5E2C" w:tentative="1">
      <w:start w:val="1"/>
      <w:numFmt w:val="decimal"/>
      <w:lvlText w:val="%7."/>
      <w:lvlJc w:val="left"/>
      <w:pPr>
        <w:tabs>
          <w:tab w:val="num" w:pos="5760"/>
        </w:tabs>
        <w:ind w:left="5760" w:hanging="360"/>
      </w:pPr>
    </w:lvl>
    <w:lvl w:ilvl="7" w:tplc="2682D67E" w:tentative="1">
      <w:start w:val="1"/>
      <w:numFmt w:val="lowerLetter"/>
      <w:lvlText w:val="%8."/>
      <w:lvlJc w:val="left"/>
      <w:pPr>
        <w:tabs>
          <w:tab w:val="num" w:pos="6480"/>
        </w:tabs>
        <w:ind w:left="6480" w:hanging="360"/>
      </w:pPr>
    </w:lvl>
    <w:lvl w:ilvl="8" w:tplc="6220E10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B76F6C8">
      <w:start w:val="1"/>
      <w:numFmt w:val="decimal"/>
      <w:lvlText w:val="%1."/>
      <w:lvlJc w:val="left"/>
      <w:pPr>
        <w:tabs>
          <w:tab w:val="num" w:pos="2880"/>
        </w:tabs>
        <w:ind w:left="2880" w:hanging="360"/>
      </w:pPr>
    </w:lvl>
    <w:lvl w:ilvl="1" w:tplc="07024A82" w:tentative="1">
      <w:start w:val="1"/>
      <w:numFmt w:val="lowerLetter"/>
      <w:lvlText w:val="%2."/>
      <w:lvlJc w:val="left"/>
      <w:pPr>
        <w:tabs>
          <w:tab w:val="num" w:pos="3600"/>
        </w:tabs>
        <w:ind w:left="3600" w:hanging="360"/>
      </w:pPr>
    </w:lvl>
    <w:lvl w:ilvl="2" w:tplc="E98085C6" w:tentative="1">
      <w:start w:val="1"/>
      <w:numFmt w:val="lowerRoman"/>
      <w:lvlText w:val="%3."/>
      <w:lvlJc w:val="right"/>
      <w:pPr>
        <w:tabs>
          <w:tab w:val="num" w:pos="4320"/>
        </w:tabs>
        <w:ind w:left="4320" w:hanging="180"/>
      </w:pPr>
    </w:lvl>
    <w:lvl w:ilvl="3" w:tplc="A3801762" w:tentative="1">
      <w:start w:val="1"/>
      <w:numFmt w:val="decimal"/>
      <w:lvlText w:val="%4."/>
      <w:lvlJc w:val="left"/>
      <w:pPr>
        <w:tabs>
          <w:tab w:val="num" w:pos="5040"/>
        </w:tabs>
        <w:ind w:left="5040" w:hanging="360"/>
      </w:pPr>
    </w:lvl>
    <w:lvl w:ilvl="4" w:tplc="5F5E12A0" w:tentative="1">
      <w:start w:val="1"/>
      <w:numFmt w:val="lowerLetter"/>
      <w:lvlText w:val="%5."/>
      <w:lvlJc w:val="left"/>
      <w:pPr>
        <w:tabs>
          <w:tab w:val="num" w:pos="5760"/>
        </w:tabs>
        <w:ind w:left="5760" w:hanging="360"/>
      </w:pPr>
    </w:lvl>
    <w:lvl w:ilvl="5" w:tplc="D26E6C0C" w:tentative="1">
      <w:start w:val="1"/>
      <w:numFmt w:val="lowerRoman"/>
      <w:lvlText w:val="%6."/>
      <w:lvlJc w:val="right"/>
      <w:pPr>
        <w:tabs>
          <w:tab w:val="num" w:pos="6480"/>
        </w:tabs>
        <w:ind w:left="6480" w:hanging="180"/>
      </w:pPr>
    </w:lvl>
    <w:lvl w:ilvl="6" w:tplc="61C4FAB6" w:tentative="1">
      <w:start w:val="1"/>
      <w:numFmt w:val="decimal"/>
      <w:lvlText w:val="%7."/>
      <w:lvlJc w:val="left"/>
      <w:pPr>
        <w:tabs>
          <w:tab w:val="num" w:pos="7200"/>
        </w:tabs>
        <w:ind w:left="7200" w:hanging="360"/>
      </w:pPr>
    </w:lvl>
    <w:lvl w:ilvl="7" w:tplc="A8D0E490" w:tentative="1">
      <w:start w:val="1"/>
      <w:numFmt w:val="lowerLetter"/>
      <w:lvlText w:val="%8."/>
      <w:lvlJc w:val="left"/>
      <w:pPr>
        <w:tabs>
          <w:tab w:val="num" w:pos="7920"/>
        </w:tabs>
        <w:ind w:left="7920" w:hanging="360"/>
      </w:pPr>
    </w:lvl>
    <w:lvl w:ilvl="8" w:tplc="FAFC36E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052E3F8">
      <w:start w:val="1"/>
      <w:numFmt w:val="lowerLetter"/>
      <w:lvlText w:val="%1."/>
      <w:lvlJc w:val="left"/>
      <w:pPr>
        <w:tabs>
          <w:tab w:val="num" w:pos="2160"/>
        </w:tabs>
        <w:ind w:left="2160" w:hanging="360"/>
      </w:pPr>
    </w:lvl>
    <w:lvl w:ilvl="1" w:tplc="55F0730E" w:tentative="1">
      <w:start w:val="1"/>
      <w:numFmt w:val="lowerLetter"/>
      <w:lvlText w:val="%2."/>
      <w:lvlJc w:val="left"/>
      <w:pPr>
        <w:tabs>
          <w:tab w:val="num" w:pos="2880"/>
        </w:tabs>
        <w:ind w:left="2880" w:hanging="360"/>
      </w:pPr>
    </w:lvl>
    <w:lvl w:ilvl="2" w:tplc="3E6AB72E" w:tentative="1">
      <w:start w:val="1"/>
      <w:numFmt w:val="lowerRoman"/>
      <w:lvlText w:val="%3."/>
      <w:lvlJc w:val="right"/>
      <w:pPr>
        <w:tabs>
          <w:tab w:val="num" w:pos="3600"/>
        </w:tabs>
        <w:ind w:left="3600" w:hanging="180"/>
      </w:pPr>
    </w:lvl>
    <w:lvl w:ilvl="3" w:tplc="E5385728" w:tentative="1">
      <w:start w:val="1"/>
      <w:numFmt w:val="decimal"/>
      <w:lvlText w:val="%4."/>
      <w:lvlJc w:val="left"/>
      <w:pPr>
        <w:tabs>
          <w:tab w:val="num" w:pos="4320"/>
        </w:tabs>
        <w:ind w:left="4320" w:hanging="360"/>
      </w:pPr>
    </w:lvl>
    <w:lvl w:ilvl="4" w:tplc="358ED93C" w:tentative="1">
      <w:start w:val="1"/>
      <w:numFmt w:val="lowerLetter"/>
      <w:lvlText w:val="%5."/>
      <w:lvlJc w:val="left"/>
      <w:pPr>
        <w:tabs>
          <w:tab w:val="num" w:pos="5040"/>
        </w:tabs>
        <w:ind w:left="5040" w:hanging="360"/>
      </w:pPr>
    </w:lvl>
    <w:lvl w:ilvl="5" w:tplc="637AB058" w:tentative="1">
      <w:start w:val="1"/>
      <w:numFmt w:val="lowerRoman"/>
      <w:lvlText w:val="%6."/>
      <w:lvlJc w:val="right"/>
      <w:pPr>
        <w:tabs>
          <w:tab w:val="num" w:pos="5760"/>
        </w:tabs>
        <w:ind w:left="5760" w:hanging="180"/>
      </w:pPr>
    </w:lvl>
    <w:lvl w:ilvl="6" w:tplc="BD7853EA" w:tentative="1">
      <w:start w:val="1"/>
      <w:numFmt w:val="decimal"/>
      <w:lvlText w:val="%7."/>
      <w:lvlJc w:val="left"/>
      <w:pPr>
        <w:tabs>
          <w:tab w:val="num" w:pos="6480"/>
        </w:tabs>
        <w:ind w:left="6480" w:hanging="360"/>
      </w:pPr>
    </w:lvl>
    <w:lvl w:ilvl="7" w:tplc="A4CCC2F2" w:tentative="1">
      <w:start w:val="1"/>
      <w:numFmt w:val="lowerLetter"/>
      <w:lvlText w:val="%8."/>
      <w:lvlJc w:val="left"/>
      <w:pPr>
        <w:tabs>
          <w:tab w:val="num" w:pos="7200"/>
        </w:tabs>
        <w:ind w:left="7200" w:hanging="360"/>
      </w:pPr>
    </w:lvl>
    <w:lvl w:ilvl="8" w:tplc="63FC177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F6080B0">
      <w:start w:val="3"/>
      <w:numFmt w:val="decimal"/>
      <w:lvlText w:val="(%1)"/>
      <w:lvlJc w:val="left"/>
      <w:pPr>
        <w:tabs>
          <w:tab w:val="num" w:pos="2520"/>
        </w:tabs>
        <w:ind w:left="2520" w:hanging="360"/>
      </w:pPr>
      <w:rPr>
        <w:rFonts w:hint="default"/>
      </w:rPr>
    </w:lvl>
    <w:lvl w:ilvl="1" w:tplc="72941F7C" w:tentative="1">
      <w:start w:val="1"/>
      <w:numFmt w:val="lowerLetter"/>
      <w:lvlText w:val="%2."/>
      <w:lvlJc w:val="left"/>
      <w:pPr>
        <w:tabs>
          <w:tab w:val="num" w:pos="3240"/>
        </w:tabs>
        <w:ind w:left="3240" w:hanging="360"/>
      </w:pPr>
    </w:lvl>
    <w:lvl w:ilvl="2" w:tplc="3388489C" w:tentative="1">
      <w:start w:val="1"/>
      <w:numFmt w:val="lowerRoman"/>
      <w:lvlText w:val="%3."/>
      <w:lvlJc w:val="right"/>
      <w:pPr>
        <w:tabs>
          <w:tab w:val="num" w:pos="3960"/>
        </w:tabs>
        <w:ind w:left="3960" w:hanging="180"/>
      </w:pPr>
    </w:lvl>
    <w:lvl w:ilvl="3" w:tplc="F0E04BA2" w:tentative="1">
      <w:start w:val="1"/>
      <w:numFmt w:val="decimal"/>
      <w:lvlText w:val="%4."/>
      <w:lvlJc w:val="left"/>
      <w:pPr>
        <w:tabs>
          <w:tab w:val="num" w:pos="4680"/>
        </w:tabs>
        <w:ind w:left="4680" w:hanging="360"/>
      </w:pPr>
    </w:lvl>
    <w:lvl w:ilvl="4" w:tplc="E520809E" w:tentative="1">
      <w:start w:val="1"/>
      <w:numFmt w:val="lowerLetter"/>
      <w:lvlText w:val="%5."/>
      <w:lvlJc w:val="left"/>
      <w:pPr>
        <w:tabs>
          <w:tab w:val="num" w:pos="5400"/>
        </w:tabs>
        <w:ind w:left="5400" w:hanging="360"/>
      </w:pPr>
    </w:lvl>
    <w:lvl w:ilvl="5" w:tplc="B90EEECE" w:tentative="1">
      <w:start w:val="1"/>
      <w:numFmt w:val="lowerRoman"/>
      <w:lvlText w:val="%6."/>
      <w:lvlJc w:val="right"/>
      <w:pPr>
        <w:tabs>
          <w:tab w:val="num" w:pos="6120"/>
        </w:tabs>
        <w:ind w:left="6120" w:hanging="180"/>
      </w:pPr>
    </w:lvl>
    <w:lvl w:ilvl="6" w:tplc="1812BFB2" w:tentative="1">
      <w:start w:val="1"/>
      <w:numFmt w:val="decimal"/>
      <w:lvlText w:val="%7."/>
      <w:lvlJc w:val="left"/>
      <w:pPr>
        <w:tabs>
          <w:tab w:val="num" w:pos="6840"/>
        </w:tabs>
        <w:ind w:left="6840" w:hanging="360"/>
      </w:pPr>
    </w:lvl>
    <w:lvl w:ilvl="7" w:tplc="BD5E5C1E" w:tentative="1">
      <w:start w:val="1"/>
      <w:numFmt w:val="lowerLetter"/>
      <w:lvlText w:val="%8."/>
      <w:lvlJc w:val="left"/>
      <w:pPr>
        <w:tabs>
          <w:tab w:val="num" w:pos="7560"/>
        </w:tabs>
        <w:ind w:left="7560" w:hanging="360"/>
      </w:pPr>
    </w:lvl>
    <w:lvl w:ilvl="8" w:tplc="66ECE3C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62489E6">
      <w:start w:val="1"/>
      <w:numFmt w:val="bullet"/>
      <w:lvlText w:val=""/>
      <w:lvlJc w:val="left"/>
      <w:pPr>
        <w:tabs>
          <w:tab w:val="num" w:pos="5760"/>
        </w:tabs>
        <w:ind w:left="5760" w:hanging="360"/>
      </w:pPr>
      <w:rPr>
        <w:rFonts w:ascii="Symbol" w:hAnsi="Symbol" w:hint="default"/>
        <w:color w:val="auto"/>
        <w:u w:val="none"/>
      </w:rPr>
    </w:lvl>
    <w:lvl w:ilvl="1" w:tplc="D3F61C90" w:tentative="1">
      <w:start w:val="1"/>
      <w:numFmt w:val="bullet"/>
      <w:lvlText w:val="o"/>
      <w:lvlJc w:val="left"/>
      <w:pPr>
        <w:tabs>
          <w:tab w:val="num" w:pos="3600"/>
        </w:tabs>
        <w:ind w:left="3600" w:hanging="360"/>
      </w:pPr>
      <w:rPr>
        <w:rFonts w:ascii="Courier New" w:hAnsi="Courier New" w:hint="default"/>
      </w:rPr>
    </w:lvl>
    <w:lvl w:ilvl="2" w:tplc="30AEDC34" w:tentative="1">
      <w:start w:val="1"/>
      <w:numFmt w:val="bullet"/>
      <w:lvlText w:val=""/>
      <w:lvlJc w:val="left"/>
      <w:pPr>
        <w:tabs>
          <w:tab w:val="num" w:pos="4320"/>
        </w:tabs>
        <w:ind w:left="4320" w:hanging="360"/>
      </w:pPr>
      <w:rPr>
        <w:rFonts w:ascii="Wingdings" w:hAnsi="Wingdings" w:hint="default"/>
      </w:rPr>
    </w:lvl>
    <w:lvl w:ilvl="3" w:tplc="71B22FA2">
      <w:start w:val="1"/>
      <w:numFmt w:val="bullet"/>
      <w:lvlText w:val=""/>
      <w:lvlJc w:val="left"/>
      <w:pPr>
        <w:tabs>
          <w:tab w:val="num" w:pos="5040"/>
        </w:tabs>
        <w:ind w:left="5040" w:hanging="360"/>
      </w:pPr>
      <w:rPr>
        <w:rFonts w:ascii="Symbol" w:hAnsi="Symbol" w:hint="default"/>
      </w:rPr>
    </w:lvl>
    <w:lvl w:ilvl="4" w:tplc="B9C69666" w:tentative="1">
      <w:start w:val="1"/>
      <w:numFmt w:val="bullet"/>
      <w:lvlText w:val="o"/>
      <w:lvlJc w:val="left"/>
      <w:pPr>
        <w:tabs>
          <w:tab w:val="num" w:pos="5760"/>
        </w:tabs>
        <w:ind w:left="5760" w:hanging="360"/>
      </w:pPr>
      <w:rPr>
        <w:rFonts w:ascii="Courier New" w:hAnsi="Courier New" w:hint="default"/>
      </w:rPr>
    </w:lvl>
    <w:lvl w:ilvl="5" w:tplc="530E9EC2" w:tentative="1">
      <w:start w:val="1"/>
      <w:numFmt w:val="bullet"/>
      <w:lvlText w:val=""/>
      <w:lvlJc w:val="left"/>
      <w:pPr>
        <w:tabs>
          <w:tab w:val="num" w:pos="6480"/>
        </w:tabs>
        <w:ind w:left="6480" w:hanging="360"/>
      </w:pPr>
      <w:rPr>
        <w:rFonts w:ascii="Wingdings" w:hAnsi="Wingdings" w:hint="default"/>
      </w:rPr>
    </w:lvl>
    <w:lvl w:ilvl="6" w:tplc="E89EAEF2" w:tentative="1">
      <w:start w:val="1"/>
      <w:numFmt w:val="bullet"/>
      <w:lvlText w:val=""/>
      <w:lvlJc w:val="left"/>
      <w:pPr>
        <w:tabs>
          <w:tab w:val="num" w:pos="7200"/>
        </w:tabs>
        <w:ind w:left="7200" w:hanging="360"/>
      </w:pPr>
      <w:rPr>
        <w:rFonts w:ascii="Symbol" w:hAnsi="Symbol" w:hint="default"/>
      </w:rPr>
    </w:lvl>
    <w:lvl w:ilvl="7" w:tplc="187A67AC" w:tentative="1">
      <w:start w:val="1"/>
      <w:numFmt w:val="bullet"/>
      <w:lvlText w:val="o"/>
      <w:lvlJc w:val="left"/>
      <w:pPr>
        <w:tabs>
          <w:tab w:val="num" w:pos="7920"/>
        </w:tabs>
        <w:ind w:left="7920" w:hanging="360"/>
      </w:pPr>
      <w:rPr>
        <w:rFonts w:ascii="Courier New" w:hAnsi="Courier New" w:hint="default"/>
      </w:rPr>
    </w:lvl>
    <w:lvl w:ilvl="8" w:tplc="B21C8FD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A587BBA">
      <w:start w:val="1"/>
      <w:numFmt w:val="decimal"/>
      <w:lvlText w:val="%1."/>
      <w:lvlJc w:val="left"/>
      <w:pPr>
        <w:tabs>
          <w:tab w:val="num" w:pos="3600"/>
        </w:tabs>
        <w:ind w:left="3600" w:hanging="360"/>
      </w:pPr>
    </w:lvl>
    <w:lvl w:ilvl="1" w:tplc="1A08F69A" w:tentative="1">
      <w:start w:val="1"/>
      <w:numFmt w:val="lowerLetter"/>
      <w:lvlText w:val="%2."/>
      <w:lvlJc w:val="left"/>
      <w:pPr>
        <w:tabs>
          <w:tab w:val="num" w:pos="4320"/>
        </w:tabs>
        <w:ind w:left="4320" w:hanging="360"/>
      </w:pPr>
    </w:lvl>
    <w:lvl w:ilvl="2" w:tplc="1C728352" w:tentative="1">
      <w:start w:val="1"/>
      <w:numFmt w:val="lowerRoman"/>
      <w:lvlText w:val="%3."/>
      <w:lvlJc w:val="right"/>
      <w:pPr>
        <w:tabs>
          <w:tab w:val="num" w:pos="5040"/>
        </w:tabs>
        <w:ind w:left="5040" w:hanging="180"/>
      </w:pPr>
    </w:lvl>
    <w:lvl w:ilvl="3" w:tplc="7646B6FC" w:tentative="1">
      <w:start w:val="1"/>
      <w:numFmt w:val="decimal"/>
      <w:lvlText w:val="%4."/>
      <w:lvlJc w:val="left"/>
      <w:pPr>
        <w:tabs>
          <w:tab w:val="num" w:pos="5760"/>
        </w:tabs>
        <w:ind w:left="5760" w:hanging="360"/>
      </w:pPr>
    </w:lvl>
    <w:lvl w:ilvl="4" w:tplc="4EC4211C" w:tentative="1">
      <w:start w:val="1"/>
      <w:numFmt w:val="lowerLetter"/>
      <w:lvlText w:val="%5."/>
      <w:lvlJc w:val="left"/>
      <w:pPr>
        <w:tabs>
          <w:tab w:val="num" w:pos="6480"/>
        </w:tabs>
        <w:ind w:left="6480" w:hanging="360"/>
      </w:pPr>
    </w:lvl>
    <w:lvl w:ilvl="5" w:tplc="A8D2E94A" w:tentative="1">
      <w:start w:val="1"/>
      <w:numFmt w:val="lowerRoman"/>
      <w:lvlText w:val="%6."/>
      <w:lvlJc w:val="right"/>
      <w:pPr>
        <w:tabs>
          <w:tab w:val="num" w:pos="7200"/>
        </w:tabs>
        <w:ind w:left="7200" w:hanging="180"/>
      </w:pPr>
    </w:lvl>
    <w:lvl w:ilvl="6" w:tplc="6F965DF4" w:tentative="1">
      <w:start w:val="1"/>
      <w:numFmt w:val="decimal"/>
      <w:lvlText w:val="%7."/>
      <w:lvlJc w:val="left"/>
      <w:pPr>
        <w:tabs>
          <w:tab w:val="num" w:pos="7920"/>
        </w:tabs>
        <w:ind w:left="7920" w:hanging="360"/>
      </w:pPr>
    </w:lvl>
    <w:lvl w:ilvl="7" w:tplc="BFF25CDE" w:tentative="1">
      <w:start w:val="1"/>
      <w:numFmt w:val="lowerLetter"/>
      <w:lvlText w:val="%8."/>
      <w:lvlJc w:val="left"/>
      <w:pPr>
        <w:tabs>
          <w:tab w:val="num" w:pos="8640"/>
        </w:tabs>
        <w:ind w:left="8640" w:hanging="360"/>
      </w:pPr>
    </w:lvl>
    <w:lvl w:ilvl="8" w:tplc="3136562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A7"/>
    <w:rsid w:val="000521A7"/>
    <w:rsid w:val="00FA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12257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2018-09-17T09:38:00Z</dcterms:created>
  <dcterms:modified xsi:type="dcterms:W3CDTF">2018-09-17T09:38:00Z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