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C3" w:rsidRDefault="00E776AE" w:rsidP="00E75DC3">
      <w:pPr>
        <w:spacing w:after="240"/>
        <w:jc w:val="center"/>
        <w:rPr>
          <w:b/>
        </w:rPr>
      </w:pPr>
      <w:bookmarkStart w:id="0" w:name="_GoBack"/>
      <w:bookmarkEnd w:id="0"/>
    </w:p>
    <w:p w:rsidR="00E75DC3" w:rsidRDefault="00E776AE" w:rsidP="00E75DC3">
      <w:pPr>
        <w:spacing w:after="240"/>
        <w:jc w:val="center"/>
        <w:rPr>
          <w:b/>
        </w:rPr>
      </w:pPr>
    </w:p>
    <w:p w:rsidR="00E75DC3" w:rsidRDefault="00E776AE" w:rsidP="00E75DC3">
      <w:pPr>
        <w:spacing w:after="240"/>
        <w:jc w:val="center"/>
        <w:rPr>
          <w:b/>
        </w:rPr>
      </w:pPr>
    </w:p>
    <w:p w:rsidR="00E75DC3" w:rsidRDefault="00E776AE" w:rsidP="00E75DC3">
      <w:pPr>
        <w:spacing w:after="240"/>
        <w:jc w:val="center"/>
        <w:rPr>
          <w:b/>
        </w:rPr>
      </w:pPr>
    </w:p>
    <w:p w:rsidR="00E75DC3" w:rsidRDefault="00E776AE" w:rsidP="00E75DC3">
      <w:pPr>
        <w:spacing w:after="240"/>
        <w:jc w:val="center"/>
        <w:rPr>
          <w:b/>
        </w:rPr>
      </w:pPr>
    </w:p>
    <w:p w:rsidR="00E75DC3" w:rsidRPr="00281A98" w:rsidRDefault="00E776AE" w:rsidP="00E75DC3">
      <w:pPr>
        <w:spacing w:after="240"/>
        <w:jc w:val="center"/>
        <w:rPr>
          <w:b/>
        </w:rPr>
      </w:pPr>
      <w:r w:rsidRPr="00281A98">
        <w:rPr>
          <w:b/>
        </w:rPr>
        <w:t xml:space="preserve">NYISO OATT SERVICE AGREEMENT No. </w:t>
      </w:r>
      <w:r>
        <w:rPr>
          <w:b/>
        </w:rPr>
        <w:t>2386</w:t>
      </w:r>
    </w:p>
    <w:p w:rsidR="00E75DC3" w:rsidRPr="00281A98" w:rsidRDefault="00E776AE" w:rsidP="00E75DC3">
      <w:pPr>
        <w:spacing w:after="240"/>
        <w:jc w:val="center"/>
        <w:rPr>
          <w:b/>
        </w:rPr>
      </w:pPr>
    </w:p>
    <w:p w:rsidR="00E75DC3" w:rsidRPr="00281A98" w:rsidRDefault="00E776AE" w:rsidP="00E75DC3">
      <w:pPr>
        <w:spacing w:after="240"/>
        <w:jc w:val="center"/>
        <w:rPr>
          <w:b/>
        </w:rPr>
      </w:pPr>
      <w:r w:rsidRPr="00281A98">
        <w:rPr>
          <w:b/>
        </w:rPr>
        <w:t>AGREEMENT</w:t>
      </w:r>
    </w:p>
    <w:p w:rsidR="00E75DC3" w:rsidRPr="00281A98" w:rsidRDefault="00E776AE" w:rsidP="00E75DC3">
      <w:pPr>
        <w:spacing w:after="240"/>
        <w:jc w:val="center"/>
        <w:rPr>
          <w:b/>
        </w:rPr>
      </w:pPr>
    </w:p>
    <w:p w:rsidR="00E75DC3" w:rsidRPr="00281A98" w:rsidRDefault="00E776AE" w:rsidP="00E75DC3">
      <w:pPr>
        <w:spacing w:after="240"/>
        <w:jc w:val="center"/>
        <w:rPr>
          <w:b/>
        </w:rPr>
      </w:pPr>
      <w:r w:rsidRPr="00281A98">
        <w:rPr>
          <w:b/>
        </w:rPr>
        <w:t>BETWEEN</w:t>
      </w:r>
    </w:p>
    <w:p w:rsidR="00E75DC3" w:rsidRPr="00281A98" w:rsidRDefault="00E776AE" w:rsidP="00E75DC3">
      <w:pPr>
        <w:spacing w:after="240"/>
        <w:jc w:val="center"/>
        <w:rPr>
          <w:b/>
        </w:rPr>
      </w:pPr>
    </w:p>
    <w:p w:rsidR="00E75DC3" w:rsidRPr="00281A98" w:rsidRDefault="00E776AE" w:rsidP="00E75DC3">
      <w:pPr>
        <w:spacing w:after="240"/>
        <w:jc w:val="center"/>
        <w:rPr>
          <w:b/>
        </w:rPr>
      </w:pPr>
      <w:r w:rsidRPr="00281A98">
        <w:rPr>
          <w:b/>
        </w:rPr>
        <w:t>NIAGARA MOHAWK POWER CORPORATION D/B/A NATIONAL GRID</w:t>
      </w:r>
    </w:p>
    <w:p w:rsidR="00E75DC3" w:rsidRPr="00281A98" w:rsidRDefault="00E776AE" w:rsidP="00E75DC3">
      <w:pPr>
        <w:spacing w:after="240"/>
        <w:jc w:val="center"/>
        <w:rPr>
          <w:b/>
        </w:rPr>
      </w:pPr>
    </w:p>
    <w:p w:rsidR="00E75DC3" w:rsidRPr="00281A98" w:rsidRDefault="00E776AE" w:rsidP="00E75DC3">
      <w:pPr>
        <w:spacing w:after="240"/>
        <w:jc w:val="center"/>
        <w:rPr>
          <w:b/>
        </w:rPr>
      </w:pPr>
      <w:r w:rsidRPr="00281A98">
        <w:rPr>
          <w:b/>
        </w:rPr>
        <w:t>AND</w:t>
      </w:r>
    </w:p>
    <w:p w:rsidR="00E75DC3" w:rsidRPr="00281A98" w:rsidRDefault="00E776AE" w:rsidP="00E75DC3">
      <w:pPr>
        <w:spacing w:after="240"/>
        <w:jc w:val="center"/>
        <w:rPr>
          <w:b/>
        </w:rPr>
      </w:pPr>
    </w:p>
    <w:p w:rsidR="00E75DC3" w:rsidRPr="00281A98" w:rsidRDefault="00E776AE" w:rsidP="00E75DC3">
      <w:pPr>
        <w:spacing w:after="240"/>
        <w:jc w:val="center"/>
        <w:rPr>
          <w:b/>
        </w:rPr>
      </w:pPr>
      <w:r w:rsidRPr="00FE27D6">
        <w:rPr>
          <w:b/>
        </w:rPr>
        <w:t>MID-ATLANTIC INTERSTATE TRANSMISSION, LLC</w:t>
      </w:r>
    </w:p>
    <w:p w:rsidR="00E75DC3" w:rsidRPr="00F24328" w:rsidRDefault="00E776AE" w:rsidP="00F24328">
      <w:pPr>
        <w:pStyle w:val="NoSpacing"/>
        <w:widowControl w:val="0"/>
        <w:rPr>
          <w:sz w:val="48"/>
          <w:szCs w:val="48"/>
        </w:rPr>
      </w:pPr>
    </w:p>
    <w:p w:rsidR="00F24328" w:rsidRPr="00F24328" w:rsidRDefault="00E776AE" w:rsidP="00C7737E">
      <w:pPr>
        <w:spacing w:before="120"/>
        <w:rPr>
          <w:sz w:val="48"/>
          <w:szCs w:val="48"/>
        </w:rPr>
      </w:pPr>
    </w:p>
    <w:p w:rsidR="00F24328" w:rsidRDefault="00E776AE" w:rsidP="00C7737E">
      <w:pPr>
        <w:spacing w:before="120"/>
        <w:rPr>
          <w:sz w:val="48"/>
          <w:szCs w:val="48"/>
        </w:rPr>
      </w:pPr>
    </w:p>
    <w:p w:rsidR="00FE27D6" w:rsidRDefault="00E776AE" w:rsidP="00C7737E">
      <w:pPr>
        <w:spacing w:before="120"/>
        <w:rPr>
          <w:sz w:val="48"/>
          <w:szCs w:val="48"/>
        </w:rPr>
      </w:pPr>
    </w:p>
    <w:p w:rsidR="00FE27D6" w:rsidRDefault="00E776AE" w:rsidP="00C7737E">
      <w:pPr>
        <w:spacing w:before="120"/>
        <w:rPr>
          <w:sz w:val="48"/>
          <w:szCs w:val="48"/>
        </w:rPr>
      </w:pPr>
    </w:p>
    <w:p w:rsidR="00FE27D6" w:rsidRPr="00F24328" w:rsidRDefault="00E776AE" w:rsidP="00C7737E">
      <w:pPr>
        <w:spacing w:before="120"/>
        <w:rPr>
          <w:sz w:val="48"/>
          <w:szCs w:val="48"/>
        </w:rPr>
      </w:pPr>
    </w:p>
    <w:p w:rsidR="00174809" w:rsidRDefault="00E776AE" w:rsidP="00C7737E">
      <w:pPr>
        <w:spacing w:before="120"/>
        <w:rPr>
          <w:rFonts w:ascii="Arial" w:hAnsi="Arial" w:cs="Arial"/>
          <w:i/>
          <w:sz w:val="18"/>
          <w:szCs w:val="18"/>
        </w:rPr>
      </w:pPr>
      <w:r>
        <w:rPr>
          <w:rFonts w:ascii="Arial" w:hAnsi="Arial" w:cs="Arial"/>
          <w:i/>
          <w:noProof/>
          <w:sz w:val="18"/>
          <w:szCs w:val="18"/>
        </w:rPr>
        <w:lastRenderedPageBreak/>
        <w:drawing>
          <wp:inline distT="0" distB="0" distL="0" distR="0">
            <wp:extent cx="19431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g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3100" cy="457200"/>
                    </a:xfrm>
                    <a:prstGeom prst="rect">
                      <a:avLst/>
                    </a:prstGeom>
                  </pic:spPr>
                </pic:pic>
              </a:graphicData>
            </a:graphic>
          </wp:inline>
        </w:drawing>
      </w:r>
    </w:p>
    <w:p w:rsidR="00F631BD" w:rsidRDefault="00E776AE" w:rsidP="00F631BD">
      <w:pPr>
        <w:jc w:val="both"/>
      </w:pPr>
    </w:p>
    <w:p w:rsidR="00F631BD" w:rsidRDefault="00E776AE" w:rsidP="00F631BD">
      <w:pPr>
        <w:jc w:val="both"/>
      </w:pPr>
    </w:p>
    <w:p w:rsidR="00ED3B62" w:rsidRPr="00EA1838" w:rsidRDefault="00E776AE" w:rsidP="00ED3B62">
      <w:pPr>
        <w:tabs>
          <w:tab w:val="left" w:pos="6480"/>
        </w:tabs>
        <w:rPr>
          <w:color w:val="000000"/>
        </w:rPr>
      </w:pPr>
      <w:r>
        <w:rPr>
          <w:color w:val="000000"/>
        </w:rPr>
        <w:t>October 11</w:t>
      </w:r>
      <w:r w:rsidRPr="00EA1838">
        <w:rPr>
          <w:color w:val="000000"/>
        </w:rPr>
        <w:t>, 201</w:t>
      </w:r>
      <w:r w:rsidRPr="00EA1838">
        <w:rPr>
          <w:color w:val="000000"/>
        </w:rPr>
        <w:t>7</w:t>
      </w:r>
      <w:r>
        <w:rPr>
          <w:color w:val="000000"/>
        </w:rPr>
        <w:t xml:space="preserve"> </w:t>
      </w:r>
    </w:p>
    <w:p w:rsidR="00ED3B62" w:rsidRDefault="00E776AE" w:rsidP="00ED3B62">
      <w:pPr>
        <w:jc w:val="both"/>
      </w:pPr>
    </w:p>
    <w:p w:rsidR="00ED3B62" w:rsidRPr="00D70679" w:rsidRDefault="00E776AE" w:rsidP="00ED3B62">
      <w:pPr>
        <w:jc w:val="both"/>
      </w:pPr>
    </w:p>
    <w:p w:rsidR="00962C0B" w:rsidRPr="00F148E6" w:rsidRDefault="00E776AE" w:rsidP="00962C0B">
      <w:bookmarkStart w:id="1" w:name="_DV_M0"/>
      <w:bookmarkStart w:id="2" w:name="_DV_M1"/>
      <w:bookmarkStart w:id="3" w:name="_DV_M2"/>
      <w:bookmarkStart w:id="4" w:name="_DV_M3"/>
      <w:bookmarkStart w:id="5" w:name="_DV_M4"/>
      <w:bookmarkStart w:id="6" w:name="_DV_M5"/>
      <w:bookmarkStart w:id="7" w:name="_DV_M6"/>
      <w:bookmarkStart w:id="8" w:name="_DV_M7"/>
      <w:bookmarkStart w:id="9" w:name="_DV_M8"/>
      <w:bookmarkStart w:id="10" w:name="_DV_M9"/>
      <w:bookmarkStart w:id="11" w:name="_DV_M10"/>
      <w:bookmarkStart w:id="12" w:name="_DV_M11"/>
      <w:bookmarkStart w:id="13" w:name="_DV_M12"/>
      <w:bookmarkStart w:id="14" w:name="_DV_M13"/>
      <w:bookmarkStart w:id="15" w:name="_DV_M14"/>
      <w:bookmarkStart w:id="16" w:name="_DV_M15"/>
      <w:bookmarkStart w:id="17" w:name="_DV_M16"/>
      <w:bookmarkStart w:id="18" w:name="_DV_M17"/>
      <w:bookmarkStart w:id="19" w:name="_DV_M18"/>
      <w:bookmarkStart w:id="20" w:name="_DV_M19"/>
      <w:bookmarkStart w:id="21" w:name="_DV_M20"/>
      <w:bookmarkStart w:id="22" w:name="_DV_M22"/>
      <w:bookmarkStart w:id="23" w:name="_DV_M23"/>
      <w:bookmarkStart w:id="24" w:name="_DV_M24"/>
      <w:bookmarkStart w:id="25" w:name="_DV_M26"/>
      <w:bookmarkStart w:id="26" w:name="_DV_M28"/>
      <w:bookmarkStart w:id="27" w:name="_DV_M29"/>
      <w:bookmarkStart w:id="28" w:name="_DV_M30"/>
      <w:bookmarkStart w:id="29" w:name="_DV_M31"/>
      <w:bookmarkStart w:id="30" w:name="_DV_M32"/>
      <w:bookmarkStart w:id="31" w:name="_DV_M33"/>
      <w:bookmarkStart w:id="32" w:name="_DV_M34"/>
      <w:bookmarkStart w:id="33" w:name="_DV_M35"/>
      <w:bookmarkStart w:id="34" w:name="_DV_M36"/>
      <w:bookmarkStart w:id="35" w:name="_DV_M37"/>
      <w:bookmarkStart w:id="36" w:name="_DV_M38"/>
      <w:bookmarkStart w:id="37" w:name="_DV_M39"/>
      <w:bookmarkStart w:id="38" w:name="_DV_M41"/>
      <w:bookmarkStart w:id="39" w:name="_DV_M42"/>
      <w:bookmarkStart w:id="40" w:name="_DV_M44"/>
      <w:bookmarkStart w:id="41" w:name="_DV_M45"/>
      <w:bookmarkStart w:id="42" w:name="_DV_M46"/>
      <w:bookmarkStart w:id="43" w:name="_DV_M47"/>
      <w:bookmarkStart w:id="44" w:name="_DV_M48"/>
      <w:bookmarkStart w:id="45" w:name="_DV_M49"/>
      <w:bookmarkStart w:id="46" w:name="_DV_M50"/>
      <w:bookmarkStart w:id="47" w:name="_DV_M51"/>
      <w:bookmarkStart w:id="48" w:name="_DV_M52"/>
      <w:bookmarkStart w:id="49" w:name="_DV_M53"/>
      <w:bookmarkStart w:id="50" w:name="_DV_M54"/>
      <w:bookmarkStart w:id="51" w:name="_DV_M55"/>
      <w:bookmarkStart w:id="52" w:name="_DV_M56"/>
      <w:bookmarkStart w:id="53" w:name="_DV_M57"/>
      <w:bookmarkStart w:id="54" w:name="_DV_M58"/>
      <w:bookmarkStart w:id="55" w:name="_DV_M59"/>
      <w:bookmarkStart w:id="56" w:name="_DV_M60"/>
      <w:bookmarkStart w:id="57" w:name="_DV_M61"/>
      <w:bookmarkStart w:id="58" w:name="_DV_M62"/>
      <w:bookmarkStart w:id="59" w:name="_DV_M63"/>
      <w:bookmarkStart w:id="60" w:name="_DV_M64"/>
      <w:bookmarkStart w:id="61" w:name="_DV_M65"/>
      <w:bookmarkStart w:id="62" w:name="_DV_M66"/>
      <w:bookmarkStart w:id="63" w:name="_DV_M67"/>
      <w:bookmarkStart w:id="64" w:name="_DV_M68"/>
      <w:bookmarkStart w:id="65" w:name="_DV_M69"/>
      <w:bookmarkStart w:id="66" w:name="_DV_M70"/>
      <w:bookmarkStart w:id="67" w:name="_DV_M71"/>
      <w:bookmarkStart w:id="68" w:name="_DV_M72"/>
      <w:bookmarkStart w:id="69" w:name="_DV_M73"/>
      <w:bookmarkStart w:id="70" w:name="_DV_M74"/>
      <w:bookmarkStart w:id="71" w:name="_DV_M75"/>
      <w:bookmarkStart w:id="72" w:name="_DV_M76"/>
      <w:bookmarkStart w:id="73" w:name="_DV_M77"/>
      <w:bookmarkStart w:id="74" w:name="_DV_M78"/>
      <w:bookmarkStart w:id="75" w:name="_DV_M79"/>
      <w:bookmarkStart w:id="76" w:name="_DV_M80"/>
      <w:bookmarkStart w:id="77" w:name="_DV_M81"/>
      <w:bookmarkStart w:id="78" w:name="_DV_M82"/>
      <w:bookmarkStart w:id="79" w:name="_DV_M83"/>
      <w:bookmarkStart w:id="80" w:name="_DV_M84"/>
      <w:bookmarkStart w:id="81" w:name="_DV_M85"/>
      <w:bookmarkStart w:id="82" w:name="_DV_M86"/>
      <w:bookmarkStart w:id="83" w:name="_DV_M87"/>
      <w:bookmarkStart w:id="84" w:name="_DV_M88"/>
      <w:bookmarkStart w:id="85" w:name="_DV_M89"/>
      <w:bookmarkStart w:id="86" w:name="_DV_M90"/>
      <w:bookmarkStart w:id="87" w:name="_DV_M91"/>
      <w:bookmarkStart w:id="88" w:name="_DV_M92"/>
      <w:bookmarkStart w:id="89" w:name="_DV_M93"/>
      <w:bookmarkStart w:id="90" w:name="_DV_M94"/>
      <w:bookmarkStart w:id="91" w:name="_DV_M96"/>
      <w:bookmarkStart w:id="92" w:name="_DV_M97"/>
      <w:bookmarkStart w:id="93" w:name="_DV_M98"/>
      <w:bookmarkStart w:id="94" w:name="_DV_M99"/>
      <w:bookmarkStart w:id="95" w:name="_DV_M102"/>
      <w:bookmarkStart w:id="96" w:name="_DV_M103"/>
      <w:bookmarkStart w:id="97" w:name="_DV_M105"/>
      <w:bookmarkStart w:id="98" w:name="_DV_M106"/>
      <w:bookmarkStart w:id="99" w:name="_DV_M107"/>
      <w:bookmarkStart w:id="100" w:name="_DV_M108"/>
      <w:bookmarkStart w:id="101" w:name="_DV_M109"/>
      <w:bookmarkStart w:id="102" w:name="_DV_M110"/>
      <w:bookmarkStart w:id="103" w:name="_DV_M111"/>
      <w:bookmarkStart w:id="104" w:name="_DV_M112"/>
      <w:bookmarkStart w:id="105" w:name="_DV_M113"/>
      <w:bookmarkStart w:id="106" w:name="_DV_M114"/>
      <w:bookmarkStart w:id="107" w:name="_DV_M116"/>
      <w:bookmarkStart w:id="108" w:name="_DV_M11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F148E6">
        <w:rPr>
          <w:bCs/>
        </w:rPr>
        <w:t>Valerie L. Davin</w:t>
      </w:r>
      <w:r w:rsidRPr="00F148E6">
        <w:t xml:space="preserve"> </w:t>
      </w:r>
    </w:p>
    <w:p w:rsidR="00962C0B" w:rsidRPr="00F148E6" w:rsidRDefault="00E776AE" w:rsidP="00962C0B">
      <w:r w:rsidRPr="00F148E6">
        <w:t>FERC &amp; Wholesale Connection Support</w:t>
      </w:r>
    </w:p>
    <w:p w:rsidR="0015469F" w:rsidRDefault="00E776AE" w:rsidP="00962C0B">
      <w:r w:rsidRPr="0015469F">
        <w:t xml:space="preserve">Mid- Atlantic Interstate Transmission, LLC </w:t>
      </w:r>
      <w:r>
        <w:t xml:space="preserve"> </w:t>
      </w:r>
    </w:p>
    <w:p w:rsidR="00962C0B" w:rsidRPr="00F148E6" w:rsidRDefault="00E776AE" w:rsidP="00962C0B">
      <w:r>
        <w:t xml:space="preserve">c/o </w:t>
      </w:r>
      <w:r w:rsidRPr="00F148E6">
        <w:t xml:space="preserve">FirstEnergy Service Company </w:t>
      </w:r>
      <w:r w:rsidRPr="00F148E6">
        <w:br/>
        <w:t>800 Cabin Hill Drive, GCH-C201</w:t>
      </w:r>
      <w:r w:rsidRPr="00F148E6">
        <w:br/>
        <w:t xml:space="preserve">Greensburg, PA 15601 </w:t>
      </w:r>
    </w:p>
    <w:p w:rsidR="00ED3B62" w:rsidRDefault="00E776AE" w:rsidP="00ED3B62">
      <w:pPr>
        <w:tabs>
          <w:tab w:val="left" w:pos="0"/>
          <w:tab w:val="left" w:pos="1440"/>
        </w:tabs>
        <w:jc w:val="both"/>
      </w:pPr>
    </w:p>
    <w:p w:rsidR="00ED3B62" w:rsidRPr="00D70679" w:rsidRDefault="00E776AE" w:rsidP="00ED3B62">
      <w:pPr>
        <w:tabs>
          <w:tab w:val="left" w:pos="0"/>
          <w:tab w:val="left" w:pos="1440"/>
        </w:tabs>
        <w:jc w:val="both"/>
      </w:pPr>
    </w:p>
    <w:p w:rsidR="00ED3B62" w:rsidRPr="006D6066" w:rsidRDefault="00E776AE" w:rsidP="00ED3B62">
      <w:pPr>
        <w:autoSpaceDE w:val="0"/>
        <w:autoSpaceDN w:val="0"/>
        <w:adjustRightInd w:val="0"/>
        <w:ind w:firstLine="720"/>
        <w:jc w:val="both"/>
        <w:rPr>
          <w:u w:val="single"/>
        </w:rPr>
      </w:pPr>
      <w:r w:rsidRPr="00D70679">
        <w:t>Re:</w:t>
      </w:r>
      <w:r w:rsidRPr="00D70679">
        <w:tab/>
      </w:r>
      <w:r w:rsidRPr="00EA1838">
        <w:rPr>
          <w:color w:val="000000"/>
        </w:rPr>
        <w:t>South Ripley Relay Changes</w:t>
      </w:r>
      <w:r w:rsidRPr="00EA1838">
        <w:rPr>
          <w:color w:val="000000"/>
        </w:rPr>
        <w:t xml:space="preserve"> Project</w:t>
      </w:r>
    </w:p>
    <w:p w:rsidR="00ED3B62" w:rsidRDefault="00E776AE" w:rsidP="00ED3B62">
      <w:pPr>
        <w:tabs>
          <w:tab w:val="left" w:pos="360"/>
        </w:tabs>
        <w:jc w:val="both"/>
      </w:pPr>
    </w:p>
    <w:p w:rsidR="00ED3B62" w:rsidRPr="00D70679" w:rsidRDefault="00E776AE" w:rsidP="00ED3B62">
      <w:pPr>
        <w:tabs>
          <w:tab w:val="left" w:pos="360"/>
        </w:tabs>
        <w:jc w:val="both"/>
      </w:pPr>
      <w:r w:rsidRPr="00D70679">
        <w:t xml:space="preserve">Dear </w:t>
      </w:r>
      <w:r>
        <w:t>Ms. Davin:</w:t>
      </w:r>
      <w:r w:rsidRPr="00D70679">
        <w:t xml:space="preserve"> </w:t>
      </w:r>
    </w:p>
    <w:p w:rsidR="00ED3B62" w:rsidRPr="00D70679" w:rsidRDefault="00E776AE" w:rsidP="00ED3B62">
      <w:pPr>
        <w:tabs>
          <w:tab w:val="left" w:pos="360"/>
        </w:tabs>
        <w:jc w:val="both"/>
      </w:pPr>
    </w:p>
    <w:p w:rsidR="00ED3B62" w:rsidRPr="00EA1838" w:rsidRDefault="00E776AE" w:rsidP="00083BBF">
      <w:pPr>
        <w:ind w:firstLine="720"/>
        <w:jc w:val="both"/>
        <w:rPr>
          <w:color w:val="000000"/>
        </w:rPr>
      </w:pPr>
      <w:r w:rsidRPr="00D70679">
        <w:t>This letter sets forth the agreement (“</w:t>
      </w:r>
      <w:r w:rsidRPr="00EA1838">
        <w:rPr>
          <w:i/>
          <w:u w:val="single"/>
        </w:rPr>
        <w:t>Agreement</w:t>
      </w:r>
      <w:r w:rsidRPr="00D70679">
        <w:t xml:space="preserve">”) between </w:t>
      </w:r>
      <w:r>
        <w:t>Niagar</w:t>
      </w:r>
      <w:r>
        <w:t>a Mohawk Power Corporation d/b/a National Grid (</w:t>
      </w:r>
      <w:r>
        <w:t>“</w:t>
      </w:r>
      <w:r w:rsidRPr="00EA1838">
        <w:rPr>
          <w:i/>
          <w:u w:val="single"/>
        </w:rPr>
        <w:t>NMPC</w:t>
      </w:r>
      <w:r>
        <w:t>”</w:t>
      </w:r>
      <w:r>
        <w:t>)</w:t>
      </w:r>
      <w:r w:rsidRPr="00D70679">
        <w:t xml:space="preserve"> </w:t>
      </w:r>
      <w:r w:rsidRPr="00EA1838">
        <w:rPr>
          <w:color w:val="000000"/>
        </w:rPr>
        <w:t xml:space="preserve">and </w:t>
      </w:r>
      <w:r w:rsidRPr="00EA1838">
        <w:rPr>
          <w:color w:val="000000"/>
        </w:rPr>
        <w:t>Mid</w:t>
      </w:r>
      <w:r w:rsidRPr="00EA1838">
        <w:rPr>
          <w:color w:val="000000"/>
        </w:rPr>
        <w:t>-</w:t>
      </w:r>
      <w:r w:rsidRPr="00EA1838">
        <w:rPr>
          <w:color w:val="000000"/>
        </w:rPr>
        <w:t>Atlantic Interstate Transmission</w:t>
      </w:r>
      <w:r w:rsidRPr="00EA1838">
        <w:rPr>
          <w:color w:val="000000"/>
        </w:rPr>
        <w:t>, LLC</w:t>
      </w:r>
      <w:r w:rsidRPr="00EA1838">
        <w:rPr>
          <w:color w:val="000000"/>
        </w:rPr>
        <w:t xml:space="preserve"> (“</w:t>
      </w:r>
      <w:r w:rsidRPr="00EA1838">
        <w:rPr>
          <w:i/>
          <w:color w:val="000000"/>
          <w:u w:val="single"/>
        </w:rPr>
        <w:t>MAIT</w:t>
      </w:r>
      <w:r w:rsidRPr="00EA1838">
        <w:rPr>
          <w:color w:val="000000"/>
        </w:rPr>
        <w:t>”)</w:t>
      </w:r>
      <w:r w:rsidRPr="00EA1838">
        <w:rPr>
          <w:color w:val="000000"/>
        </w:rPr>
        <w:t xml:space="preserve"> </w:t>
      </w:r>
      <w:r w:rsidRPr="00EA1838">
        <w:rPr>
          <w:color w:val="000000"/>
        </w:rPr>
        <w:t xml:space="preserve">under which </w:t>
      </w:r>
      <w:r w:rsidRPr="00EA1838">
        <w:rPr>
          <w:color w:val="000000"/>
        </w:rPr>
        <w:t>NMPC</w:t>
      </w:r>
      <w:r w:rsidRPr="00EA1838">
        <w:rPr>
          <w:color w:val="000000"/>
        </w:rPr>
        <w:t xml:space="preserve"> will </w:t>
      </w:r>
      <w:r w:rsidRPr="00EA1838">
        <w:rPr>
          <w:color w:val="000000"/>
        </w:rPr>
        <w:t>perform</w:t>
      </w:r>
      <w:r w:rsidRPr="00EA1838">
        <w:rPr>
          <w:color w:val="000000"/>
        </w:rPr>
        <w:t xml:space="preserve"> </w:t>
      </w:r>
      <w:r w:rsidRPr="00EA1838">
        <w:rPr>
          <w:color w:val="000000"/>
        </w:rPr>
        <w:t xml:space="preserve">certain </w:t>
      </w:r>
      <w:r w:rsidRPr="00EA1838">
        <w:rPr>
          <w:color w:val="000000"/>
        </w:rPr>
        <w:t xml:space="preserve">system </w:t>
      </w:r>
      <w:r w:rsidRPr="00EA1838">
        <w:rPr>
          <w:color w:val="000000"/>
        </w:rPr>
        <w:t xml:space="preserve">protection modifications to </w:t>
      </w:r>
      <w:r>
        <w:rPr>
          <w:color w:val="000000"/>
        </w:rPr>
        <w:t xml:space="preserve">its </w:t>
      </w:r>
      <w:r w:rsidRPr="00EA1838">
        <w:rPr>
          <w:color w:val="000000"/>
        </w:rPr>
        <w:t>South Ripley</w:t>
      </w:r>
      <w:r w:rsidRPr="00EA1838">
        <w:rPr>
          <w:color w:val="000000"/>
        </w:rPr>
        <w:t xml:space="preserve"> </w:t>
      </w:r>
      <w:r w:rsidRPr="00EA1838">
        <w:rPr>
          <w:color w:val="000000"/>
        </w:rPr>
        <w:t>Sub</w:t>
      </w:r>
      <w:r w:rsidRPr="00EA1838">
        <w:rPr>
          <w:color w:val="000000"/>
        </w:rPr>
        <w:t>station at</w:t>
      </w:r>
      <w:r w:rsidRPr="00EA1838">
        <w:rPr>
          <w:color w:val="000000"/>
        </w:rPr>
        <w:t xml:space="preserve"> the </w:t>
      </w:r>
      <w:r w:rsidRPr="00EA1838">
        <w:rPr>
          <w:color w:val="000000"/>
        </w:rPr>
        <w:t xml:space="preserve">230kv </w:t>
      </w:r>
      <w:r w:rsidRPr="00EA1838">
        <w:rPr>
          <w:color w:val="000000"/>
        </w:rPr>
        <w:t>L</w:t>
      </w:r>
      <w:r w:rsidRPr="00EA1838">
        <w:rPr>
          <w:color w:val="000000"/>
        </w:rPr>
        <w:t>ine 69</w:t>
      </w:r>
      <w:r w:rsidRPr="00EA1838">
        <w:rPr>
          <w:color w:val="000000"/>
        </w:rPr>
        <w:t xml:space="preserve">, as described below, that are </w:t>
      </w:r>
      <w:r w:rsidRPr="00EA1838">
        <w:rPr>
          <w:color w:val="000000"/>
        </w:rPr>
        <w:t xml:space="preserve">required </w:t>
      </w:r>
      <w:r w:rsidRPr="00EA1838">
        <w:rPr>
          <w:color w:val="000000"/>
        </w:rPr>
        <w:t xml:space="preserve">as a result of </w:t>
      </w:r>
      <w:r w:rsidRPr="00EA1838">
        <w:rPr>
          <w:color w:val="000000"/>
        </w:rPr>
        <w:t>MAIT</w:t>
      </w:r>
      <w:r>
        <w:rPr>
          <w:color w:val="000000"/>
        </w:rPr>
        <w:t xml:space="preserve">’s upgrades </w:t>
      </w:r>
      <w:r>
        <w:rPr>
          <w:color w:val="000000"/>
        </w:rPr>
        <w:t xml:space="preserve">to </w:t>
      </w:r>
      <w:r>
        <w:rPr>
          <w:color w:val="000000"/>
        </w:rPr>
        <w:t>its Erie East 230 kV Substation</w:t>
      </w:r>
      <w:r w:rsidRPr="00EA1838">
        <w:rPr>
          <w:color w:val="000000"/>
        </w:rPr>
        <w:t xml:space="preserve"> </w:t>
      </w:r>
      <w:r>
        <w:rPr>
          <w:color w:val="000000"/>
        </w:rPr>
        <w:t>as defined in PJM</w:t>
      </w:r>
      <w:r>
        <w:rPr>
          <w:color w:val="000000"/>
        </w:rPr>
        <w:t xml:space="preserve"> Interconnection LLC’s Regional Transmission </w:t>
      </w:r>
      <w:r>
        <w:rPr>
          <w:color w:val="000000"/>
        </w:rPr>
        <w:t>Expansion Plan</w:t>
      </w:r>
      <w:r>
        <w:rPr>
          <w:color w:val="000000"/>
        </w:rPr>
        <w:t xml:space="preserve"> </w:t>
      </w:r>
      <w:r>
        <w:rPr>
          <w:color w:val="000000"/>
        </w:rPr>
        <w:t>(</w:t>
      </w:r>
      <w:r>
        <w:rPr>
          <w:color w:val="000000"/>
        </w:rPr>
        <w:t>RTEP</w:t>
      </w:r>
      <w:r>
        <w:rPr>
          <w:color w:val="000000"/>
        </w:rPr>
        <w:t>)</w:t>
      </w:r>
      <w:r>
        <w:rPr>
          <w:color w:val="000000"/>
        </w:rPr>
        <w:t xml:space="preserve"> b2371</w:t>
      </w:r>
      <w:r w:rsidRPr="00EA1838">
        <w:rPr>
          <w:color w:val="000000"/>
        </w:rPr>
        <w:t xml:space="preserve">, subject to </w:t>
      </w:r>
      <w:r w:rsidRPr="00EA1838">
        <w:rPr>
          <w:color w:val="000000"/>
        </w:rPr>
        <w:t>the terms and conditions hereof, including, with</w:t>
      </w:r>
      <w:r w:rsidRPr="00EA1838">
        <w:rPr>
          <w:color w:val="000000"/>
        </w:rPr>
        <w:t xml:space="preserve">out limitation, </w:t>
      </w:r>
      <w:r w:rsidRPr="00EA1838">
        <w:rPr>
          <w:color w:val="000000"/>
        </w:rPr>
        <w:t>MAIT’s</w:t>
      </w:r>
      <w:r w:rsidRPr="00EA1838">
        <w:rPr>
          <w:color w:val="000000"/>
        </w:rPr>
        <w:t xml:space="preserve"> reimbursement of NMCP’s incurred costs,</w:t>
      </w:r>
      <w:r w:rsidRPr="00EA1838">
        <w:rPr>
          <w:color w:val="000000"/>
        </w:rPr>
        <w:t xml:space="preserve"> as set forth herein.  </w:t>
      </w:r>
      <w:r w:rsidRPr="00EA1838">
        <w:rPr>
          <w:color w:val="000000"/>
        </w:rPr>
        <w:t>NMPC</w:t>
      </w:r>
      <w:r w:rsidRPr="00EA1838">
        <w:rPr>
          <w:color w:val="000000"/>
        </w:rPr>
        <w:t xml:space="preserve"> and </w:t>
      </w:r>
      <w:r w:rsidRPr="00EA1838">
        <w:rPr>
          <w:color w:val="000000"/>
        </w:rPr>
        <w:t>MAIT</w:t>
      </w:r>
      <w:r w:rsidRPr="00EA1838">
        <w:rPr>
          <w:color w:val="000000"/>
        </w:rPr>
        <w:t xml:space="preserve"> </w:t>
      </w:r>
      <w:r w:rsidRPr="00EA1838">
        <w:rPr>
          <w:color w:val="000000"/>
        </w:rPr>
        <w:t>may</w:t>
      </w:r>
      <w:r w:rsidRPr="00EA1838">
        <w:rPr>
          <w:color w:val="000000"/>
        </w:rPr>
        <w:t xml:space="preserve"> </w:t>
      </w:r>
      <w:r w:rsidRPr="00EA1838">
        <w:rPr>
          <w:color w:val="000000"/>
        </w:rPr>
        <w:t xml:space="preserve">be </w:t>
      </w:r>
      <w:r w:rsidRPr="00EA1838">
        <w:rPr>
          <w:color w:val="000000"/>
        </w:rPr>
        <w:t>referred to</w:t>
      </w:r>
      <w:r w:rsidRPr="00EA1838">
        <w:rPr>
          <w:color w:val="000000"/>
        </w:rPr>
        <w:t xml:space="preserve"> hereunder, individually,</w:t>
      </w:r>
      <w:r w:rsidRPr="00EA1838">
        <w:rPr>
          <w:color w:val="000000"/>
        </w:rPr>
        <w:t xml:space="preserve"> as a “</w:t>
      </w:r>
      <w:r w:rsidRPr="00EA1838">
        <w:rPr>
          <w:i/>
          <w:color w:val="000000"/>
          <w:u w:val="single"/>
        </w:rPr>
        <w:t>Party</w:t>
      </w:r>
      <w:r w:rsidRPr="00EA1838">
        <w:rPr>
          <w:color w:val="000000"/>
        </w:rPr>
        <w:t xml:space="preserve">” </w:t>
      </w:r>
      <w:r w:rsidRPr="00EA1838">
        <w:rPr>
          <w:color w:val="000000"/>
        </w:rPr>
        <w:t>and,</w:t>
      </w:r>
      <w:r w:rsidRPr="00EA1838">
        <w:rPr>
          <w:color w:val="000000"/>
        </w:rPr>
        <w:t xml:space="preserve"> collectively</w:t>
      </w:r>
      <w:r w:rsidRPr="00EA1838">
        <w:rPr>
          <w:color w:val="000000"/>
        </w:rPr>
        <w:t>,</w:t>
      </w:r>
      <w:r w:rsidRPr="00EA1838">
        <w:rPr>
          <w:color w:val="000000"/>
        </w:rPr>
        <w:t xml:space="preserve"> as the “</w:t>
      </w:r>
      <w:r w:rsidRPr="00EA1838">
        <w:rPr>
          <w:i/>
          <w:color w:val="000000"/>
          <w:u w:val="single"/>
        </w:rPr>
        <w:t>Parties</w:t>
      </w:r>
      <w:r w:rsidRPr="00EA1838">
        <w:rPr>
          <w:color w:val="000000"/>
        </w:rPr>
        <w:t>.”</w:t>
      </w:r>
    </w:p>
    <w:p w:rsidR="00436BBF" w:rsidRDefault="00E776AE" w:rsidP="00531F22">
      <w:pPr>
        <w:ind w:firstLine="720"/>
        <w:jc w:val="both"/>
        <w:rPr>
          <w:color w:val="000000"/>
        </w:rPr>
      </w:pPr>
    </w:p>
    <w:p w:rsidR="00ED3B62" w:rsidRDefault="00E776AE" w:rsidP="00531F22">
      <w:pPr>
        <w:keepNext/>
        <w:ind w:firstLine="720"/>
        <w:jc w:val="both"/>
        <w:rPr>
          <w:color w:val="000000"/>
        </w:rPr>
      </w:pPr>
      <w:r>
        <w:rPr>
          <w:color w:val="000000"/>
        </w:rPr>
        <w:t>In a</w:t>
      </w:r>
      <w:r w:rsidRPr="00E826A7">
        <w:rPr>
          <w:color w:val="000000"/>
        </w:rPr>
        <w:t>ccord</w:t>
      </w:r>
      <w:r>
        <w:rPr>
          <w:color w:val="000000"/>
        </w:rPr>
        <w:t>ance with the terms and conditions of</w:t>
      </w:r>
      <w:r w:rsidRPr="00E826A7">
        <w:rPr>
          <w:color w:val="000000"/>
        </w:rPr>
        <w:t xml:space="preserve"> this Agreement, </w:t>
      </w:r>
      <w:r>
        <w:rPr>
          <w:color w:val="000000"/>
        </w:rPr>
        <w:t>NMPC</w:t>
      </w:r>
      <w:r w:rsidRPr="00F26577">
        <w:t xml:space="preserve"> will perform the Scope of Work </w:t>
      </w:r>
      <w:r>
        <w:t>described</w:t>
      </w:r>
      <w:r w:rsidRPr="00F26577">
        <w:t xml:space="preserve"> below</w:t>
      </w:r>
      <w:r w:rsidRPr="00D60C6D">
        <w:rPr>
          <w:color w:val="000000"/>
        </w:rPr>
        <w:t xml:space="preserve"> (the “</w:t>
      </w:r>
      <w:r w:rsidRPr="00EA1838">
        <w:rPr>
          <w:i/>
          <w:color w:val="000000"/>
          <w:u w:val="single"/>
        </w:rPr>
        <w:t>NMPC Scope of Work</w:t>
      </w:r>
      <w:r w:rsidRPr="00D60C6D">
        <w:rPr>
          <w:color w:val="000000"/>
        </w:rPr>
        <w:t>”)</w:t>
      </w:r>
      <w:r w:rsidRPr="00D26062">
        <w:rPr>
          <w:color w:val="000000"/>
        </w:rPr>
        <w:t>:</w:t>
      </w:r>
    </w:p>
    <w:p w:rsidR="00E952A8" w:rsidRPr="00E826A7" w:rsidRDefault="00E776AE" w:rsidP="00531F22">
      <w:pPr>
        <w:keepNext/>
        <w:ind w:firstLine="720"/>
        <w:jc w:val="both"/>
        <w:rPr>
          <w:color w:val="000000"/>
        </w:rPr>
      </w:pPr>
    </w:p>
    <w:p w:rsidR="00E952A8" w:rsidRDefault="00E776AE" w:rsidP="00531F22">
      <w:pPr>
        <w:keepNext/>
        <w:ind w:firstLine="720"/>
        <w:contextualSpacing/>
        <w:jc w:val="both"/>
        <w:rPr>
          <w:b/>
          <w:color w:val="000000"/>
          <w:u w:val="single"/>
        </w:rPr>
      </w:pPr>
      <w:r w:rsidRPr="00EA1838">
        <w:rPr>
          <w:b/>
          <w:color w:val="000000"/>
          <w:u w:val="single"/>
        </w:rPr>
        <w:t>NMPC</w:t>
      </w:r>
      <w:r w:rsidRPr="00EA1838">
        <w:rPr>
          <w:b/>
          <w:color w:val="000000"/>
          <w:u w:val="single"/>
        </w:rPr>
        <w:t>s Scope of Work</w:t>
      </w:r>
    </w:p>
    <w:p w:rsidR="00083BBF" w:rsidRDefault="00E776AE" w:rsidP="00531F22">
      <w:pPr>
        <w:keepNext/>
        <w:ind w:firstLine="720"/>
        <w:contextualSpacing/>
        <w:jc w:val="both"/>
        <w:rPr>
          <w:b/>
          <w:color w:val="000000"/>
          <w:u w:val="single"/>
        </w:rPr>
      </w:pPr>
    </w:p>
    <w:p w:rsidR="00083BBF" w:rsidRPr="00083BBF" w:rsidRDefault="00E776AE" w:rsidP="00C6656C">
      <w:pPr>
        <w:widowControl w:val="0"/>
        <w:ind w:left="1260" w:hanging="540"/>
        <w:contextualSpacing/>
        <w:jc w:val="both"/>
        <w:rPr>
          <w:color w:val="000000"/>
        </w:rPr>
      </w:pPr>
      <w:r w:rsidRPr="00083BBF">
        <w:rPr>
          <w:color w:val="000000"/>
        </w:rPr>
        <w:t>A.</w:t>
      </w:r>
      <w:r w:rsidRPr="00083BBF">
        <w:rPr>
          <w:color w:val="000000"/>
        </w:rPr>
        <w:tab/>
        <w:t xml:space="preserve">Prepare and provide temporary relay settings for NMPC/MAIT 230kV Line 69 protection at National Grid’s South Ripley Substation.  </w:t>
      </w:r>
      <w:r w:rsidRPr="00083BBF">
        <w:rPr>
          <w:color w:val="000000"/>
        </w:rPr>
        <w:t>Revised settings will be created for both “A” and “B” protection schemes for this Line.  The “B” package communication based protection scheme will be disabled while the Line is being protected by the temporary settings.</w:t>
      </w:r>
    </w:p>
    <w:p w:rsidR="00083BBF" w:rsidRPr="00083BBF" w:rsidRDefault="00E776AE" w:rsidP="00531F22">
      <w:pPr>
        <w:widowControl w:val="0"/>
        <w:ind w:left="1260" w:hanging="540"/>
        <w:contextualSpacing/>
        <w:jc w:val="both"/>
        <w:rPr>
          <w:color w:val="000000"/>
        </w:rPr>
      </w:pPr>
    </w:p>
    <w:p w:rsidR="00083BBF" w:rsidRPr="00083BBF" w:rsidRDefault="00E776AE" w:rsidP="00531F22">
      <w:pPr>
        <w:widowControl w:val="0"/>
        <w:ind w:left="1260" w:hanging="540"/>
        <w:contextualSpacing/>
        <w:rPr>
          <w:color w:val="000000"/>
        </w:rPr>
      </w:pPr>
      <w:r w:rsidRPr="00083BBF">
        <w:rPr>
          <w:color w:val="000000"/>
        </w:rPr>
        <w:t>B.</w:t>
      </w:r>
      <w:r w:rsidRPr="00083BBF">
        <w:rPr>
          <w:color w:val="000000"/>
        </w:rPr>
        <w:tab/>
        <w:t xml:space="preserve">Existing tone-based Direct </w:t>
      </w:r>
      <w:r w:rsidRPr="00083BBF">
        <w:rPr>
          <w:color w:val="000000"/>
        </w:rPr>
        <w:t>Transfer Trip (DTT) schemes to MAIT at the South Ripley Substation will also be disabled while the temporary line settings are in service.</w:t>
      </w:r>
    </w:p>
    <w:p w:rsidR="00083BBF" w:rsidRPr="00083BBF" w:rsidRDefault="00E776AE" w:rsidP="00531F22">
      <w:pPr>
        <w:widowControl w:val="0"/>
        <w:ind w:left="1260" w:hanging="540"/>
        <w:contextualSpacing/>
        <w:jc w:val="both"/>
        <w:rPr>
          <w:color w:val="000000"/>
        </w:rPr>
      </w:pPr>
    </w:p>
    <w:p w:rsidR="00083BBF" w:rsidRDefault="00E776AE" w:rsidP="00531F22">
      <w:pPr>
        <w:widowControl w:val="0"/>
        <w:ind w:left="1260" w:hanging="540"/>
        <w:contextualSpacing/>
        <w:jc w:val="both"/>
        <w:rPr>
          <w:color w:val="000000"/>
        </w:rPr>
      </w:pPr>
      <w:r w:rsidRPr="00083BBF">
        <w:rPr>
          <w:color w:val="000000"/>
        </w:rPr>
        <w:t>C.</w:t>
      </w:r>
      <w:r w:rsidRPr="00083BBF">
        <w:rPr>
          <w:color w:val="000000"/>
        </w:rPr>
        <w:tab/>
        <w:t>Update related as-built drawings, as needed.</w:t>
      </w:r>
    </w:p>
    <w:p w:rsidR="00F24328" w:rsidRPr="00083BBF" w:rsidRDefault="00E776AE" w:rsidP="00531F22">
      <w:pPr>
        <w:widowControl w:val="0"/>
        <w:ind w:left="1260" w:hanging="540"/>
        <w:contextualSpacing/>
        <w:jc w:val="both"/>
        <w:rPr>
          <w:color w:val="000000"/>
        </w:rPr>
      </w:pPr>
    </w:p>
    <w:p w:rsidR="00083BBF" w:rsidRDefault="00E776AE" w:rsidP="00C6656C">
      <w:pPr>
        <w:widowControl w:val="0"/>
        <w:ind w:left="1260" w:hanging="540"/>
        <w:contextualSpacing/>
        <w:rPr>
          <w:color w:val="000000"/>
        </w:rPr>
      </w:pPr>
      <w:r w:rsidRPr="00083BBF">
        <w:rPr>
          <w:color w:val="000000"/>
        </w:rPr>
        <w:lastRenderedPageBreak/>
        <w:t>D.</w:t>
      </w:r>
      <w:r w:rsidRPr="00083BBF">
        <w:rPr>
          <w:color w:val="000000"/>
        </w:rPr>
        <w:tab/>
        <w:t>Apply &amp; test above-referenced new 230kV “A” and “B” package rela</w:t>
      </w:r>
      <w:r w:rsidRPr="00083BBF">
        <w:rPr>
          <w:color w:val="000000"/>
        </w:rPr>
        <w:t>y settings at South Ripley Substation.</w:t>
      </w:r>
    </w:p>
    <w:p w:rsidR="00C6656C" w:rsidRPr="00083BBF" w:rsidRDefault="00E776AE" w:rsidP="00C6656C">
      <w:pPr>
        <w:widowControl w:val="0"/>
        <w:ind w:left="1260" w:hanging="540"/>
        <w:contextualSpacing/>
        <w:rPr>
          <w:color w:val="000000"/>
        </w:rPr>
      </w:pPr>
    </w:p>
    <w:p w:rsidR="00083BBF" w:rsidRDefault="00E776AE" w:rsidP="00531F22">
      <w:pPr>
        <w:widowControl w:val="0"/>
        <w:ind w:left="1260" w:hanging="540"/>
        <w:contextualSpacing/>
        <w:jc w:val="both"/>
        <w:rPr>
          <w:color w:val="000000"/>
        </w:rPr>
      </w:pPr>
      <w:r w:rsidRPr="00083BBF">
        <w:rPr>
          <w:color w:val="000000"/>
        </w:rPr>
        <w:t>E.</w:t>
      </w:r>
      <w:r w:rsidRPr="00083BBF">
        <w:rPr>
          <w:color w:val="000000"/>
        </w:rPr>
        <w:tab/>
        <w:t>Provide related energization support calls/field support as needed.</w:t>
      </w:r>
    </w:p>
    <w:p w:rsidR="00C6656C" w:rsidRDefault="00E776AE" w:rsidP="00531F22">
      <w:pPr>
        <w:widowControl w:val="0"/>
        <w:ind w:left="1260" w:hanging="540"/>
        <w:contextualSpacing/>
        <w:jc w:val="both"/>
        <w:rPr>
          <w:color w:val="000000"/>
        </w:rPr>
      </w:pPr>
    </w:p>
    <w:p w:rsidR="00C6656C" w:rsidRPr="00083BBF" w:rsidRDefault="00E776AE" w:rsidP="00531F22">
      <w:pPr>
        <w:widowControl w:val="0"/>
        <w:ind w:left="1260" w:hanging="540"/>
        <w:contextualSpacing/>
        <w:jc w:val="both"/>
        <w:rPr>
          <w:color w:val="000000"/>
        </w:rPr>
      </w:pPr>
    </w:p>
    <w:p w:rsidR="00083BBF" w:rsidRPr="00C6656C" w:rsidRDefault="00E776AE" w:rsidP="00531F22">
      <w:pPr>
        <w:widowControl w:val="0"/>
        <w:ind w:left="1260" w:hanging="540"/>
        <w:contextualSpacing/>
        <w:jc w:val="both"/>
        <w:rPr>
          <w:b/>
          <w:color w:val="000000"/>
        </w:rPr>
      </w:pPr>
      <w:r w:rsidRPr="00083BBF">
        <w:rPr>
          <w:color w:val="000000"/>
        </w:rPr>
        <w:tab/>
      </w:r>
      <w:r w:rsidRPr="00C6656C">
        <w:rPr>
          <w:b/>
          <w:color w:val="000000"/>
        </w:rPr>
        <w:t xml:space="preserve">Total estimated cost: Forty Thousand US Dollars ($40,000) plus or minus 25%  </w:t>
      </w:r>
    </w:p>
    <w:p w:rsidR="00C6656C" w:rsidRDefault="00E776AE" w:rsidP="00531F22">
      <w:pPr>
        <w:widowControl w:val="0"/>
        <w:ind w:firstLine="720"/>
        <w:contextualSpacing/>
        <w:jc w:val="both"/>
        <w:rPr>
          <w:b/>
          <w:color w:val="000000"/>
          <w:u w:val="single"/>
        </w:rPr>
      </w:pPr>
    </w:p>
    <w:p w:rsidR="00ED3B62" w:rsidRPr="00EA1838" w:rsidRDefault="00E776AE" w:rsidP="00531F22">
      <w:pPr>
        <w:widowControl w:val="0"/>
        <w:ind w:firstLine="720"/>
        <w:contextualSpacing/>
        <w:jc w:val="both"/>
        <w:rPr>
          <w:color w:val="000000"/>
        </w:rPr>
      </w:pPr>
      <w:r w:rsidRPr="00EA1838">
        <w:rPr>
          <w:b/>
          <w:color w:val="000000"/>
          <w:u w:val="single"/>
        </w:rPr>
        <w:t xml:space="preserve"> </w:t>
      </w:r>
    </w:p>
    <w:p w:rsidR="00ED3B62" w:rsidRDefault="00E776AE" w:rsidP="00EA1838">
      <w:pPr>
        <w:tabs>
          <w:tab w:val="left" w:pos="720"/>
        </w:tabs>
        <w:contextualSpacing/>
        <w:jc w:val="both"/>
        <w:rPr>
          <w:color w:val="000000"/>
        </w:rPr>
      </w:pPr>
      <w:r w:rsidRPr="00103B4B">
        <w:rPr>
          <w:b/>
          <w:color w:val="000000"/>
        </w:rPr>
        <w:tab/>
      </w:r>
      <w:r w:rsidRPr="00EA1838">
        <w:rPr>
          <w:b/>
          <w:color w:val="000000"/>
          <w:u w:val="single"/>
        </w:rPr>
        <w:t>MAIT’</w:t>
      </w:r>
      <w:r w:rsidRPr="00EA1838">
        <w:rPr>
          <w:b/>
          <w:color w:val="000000"/>
          <w:u w:val="single"/>
        </w:rPr>
        <w:t xml:space="preserve">s </w:t>
      </w:r>
      <w:r w:rsidRPr="00EA1838">
        <w:rPr>
          <w:b/>
          <w:color w:val="000000"/>
          <w:u w:val="single"/>
        </w:rPr>
        <w:t>Scope of Work</w:t>
      </w:r>
      <w:r w:rsidRPr="00EA1838">
        <w:rPr>
          <w:b/>
          <w:color w:val="000000"/>
        </w:rPr>
        <w:t xml:space="preserve"> </w:t>
      </w:r>
      <w:r w:rsidRPr="00EA1838">
        <w:rPr>
          <w:color w:val="000000"/>
        </w:rPr>
        <w:t xml:space="preserve">(the </w:t>
      </w:r>
      <w:r w:rsidRPr="00EA1838">
        <w:rPr>
          <w:color w:val="000000"/>
        </w:rPr>
        <w:t>“</w:t>
      </w:r>
      <w:r w:rsidRPr="00EA1838">
        <w:rPr>
          <w:i/>
          <w:color w:val="000000"/>
          <w:u w:val="single"/>
        </w:rPr>
        <w:t>MAIT Scope of Work</w:t>
      </w:r>
      <w:r w:rsidRPr="00EA1838">
        <w:rPr>
          <w:color w:val="000000"/>
        </w:rPr>
        <w:t>”)</w:t>
      </w:r>
    </w:p>
    <w:p w:rsidR="00C6656C" w:rsidRDefault="00E776AE" w:rsidP="00EA1838">
      <w:pPr>
        <w:tabs>
          <w:tab w:val="left" w:pos="720"/>
        </w:tabs>
        <w:contextualSpacing/>
        <w:jc w:val="both"/>
        <w:rPr>
          <w:color w:val="000000"/>
        </w:rPr>
      </w:pPr>
    </w:p>
    <w:p w:rsidR="00C6656C" w:rsidRPr="00C6656C" w:rsidRDefault="00E776AE" w:rsidP="00C6656C">
      <w:pPr>
        <w:ind w:left="1260" w:hanging="540"/>
        <w:contextualSpacing/>
        <w:rPr>
          <w:color w:val="000000"/>
        </w:rPr>
      </w:pPr>
      <w:r w:rsidRPr="00C6656C">
        <w:rPr>
          <w:color w:val="000000"/>
        </w:rPr>
        <w:t>A.</w:t>
      </w:r>
      <w:r w:rsidRPr="00C6656C">
        <w:rPr>
          <w:color w:val="000000"/>
        </w:rPr>
        <w:tab/>
      </w:r>
      <w:r w:rsidRPr="00C6656C">
        <w:rPr>
          <w:color w:val="000000"/>
        </w:rPr>
        <w:t>Coordinate with NMPC in developing and reviewing relay settings for the South Ripley line protection schemes referred to above.</w:t>
      </w:r>
    </w:p>
    <w:p w:rsidR="00C6656C" w:rsidRDefault="00E776AE" w:rsidP="00C6656C">
      <w:pPr>
        <w:tabs>
          <w:tab w:val="left" w:pos="720"/>
        </w:tabs>
        <w:contextualSpacing/>
        <w:jc w:val="both"/>
        <w:rPr>
          <w:color w:val="000000"/>
        </w:rPr>
      </w:pPr>
      <w:r w:rsidRPr="00C6656C">
        <w:rPr>
          <w:color w:val="000000"/>
        </w:rPr>
        <w:tab/>
      </w:r>
    </w:p>
    <w:p w:rsidR="003C0974" w:rsidRPr="00EA1838" w:rsidRDefault="00E776AE" w:rsidP="00EA1838">
      <w:pPr>
        <w:tabs>
          <w:tab w:val="left" w:pos="720"/>
        </w:tabs>
        <w:contextualSpacing/>
        <w:jc w:val="both"/>
        <w:rPr>
          <w:b/>
          <w:color w:val="000000"/>
          <w:u w:val="single"/>
        </w:rPr>
      </w:pPr>
    </w:p>
    <w:p w:rsidR="009B4860" w:rsidRDefault="00E776AE" w:rsidP="00EA1838">
      <w:pPr>
        <w:jc w:val="both"/>
        <w:rPr>
          <w:color w:val="000000"/>
        </w:rPr>
      </w:pPr>
      <w:r>
        <w:rPr>
          <w:color w:val="000000"/>
        </w:rPr>
        <w:tab/>
      </w:r>
      <w:r w:rsidRPr="00EA1838">
        <w:rPr>
          <w:color w:val="000000"/>
        </w:rPr>
        <w:t>MAIT</w:t>
      </w:r>
      <w:r w:rsidRPr="00D26062">
        <w:rPr>
          <w:color w:val="000000"/>
        </w:rPr>
        <w:t xml:space="preserve"> agrees to reimburse </w:t>
      </w:r>
      <w:r w:rsidRPr="00D26062">
        <w:rPr>
          <w:color w:val="000000"/>
        </w:rPr>
        <w:t>NMPC</w:t>
      </w:r>
      <w:r w:rsidRPr="00D26062">
        <w:rPr>
          <w:color w:val="000000"/>
        </w:rPr>
        <w:t xml:space="preserve"> for </w:t>
      </w:r>
      <w:r w:rsidRPr="00D60C6D">
        <w:rPr>
          <w:color w:val="000000"/>
        </w:rPr>
        <w:t xml:space="preserve">all </w:t>
      </w:r>
      <w:r w:rsidRPr="00D26062">
        <w:rPr>
          <w:color w:val="000000"/>
        </w:rPr>
        <w:t xml:space="preserve">NMPC’s </w:t>
      </w:r>
      <w:r w:rsidRPr="00D26062">
        <w:rPr>
          <w:color w:val="000000"/>
        </w:rPr>
        <w:t>actual</w:t>
      </w:r>
      <w:r w:rsidRPr="00D60C6D">
        <w:rPr>
          <w:color w:val="000000"/>
        </w:rPr>
        <w:t xml:space="preserve"> and</w:t>
      </w:r>
      <w:r w:rsidRPr="00D26062">
        <w:rPr>
          <w:color w:val="000000"/>
        </w:rPr>
        <w:t xml:space="preserve"> verifiable</w:t>
      </w:r>
      <w:r w:rsidRPr="00D26062">
        <w:rPr>
          <w:color w:val="000000"/>
        </w:rPr>
        <w:t xml:space="preserve"> costs </w:t>
      </w:r>
      <w:r w:rsidRPr="00D60C6D">
        <w:rPr>
          <w:color w:val="000000"/>
        </w:rPr>
        <w:t xml:space="preserve">incurred </w:t>
      </w:r>
      <w:r w:rsidRPr="00D26062">
        <w:rPr>
          <w:color w:val="000000"/>
        </w:rPr>
        <w:t>to</w:t>
      </w:r>
      <w:r w:rsidRPr="00D26062">
        <w:rPr>
          <w:color w:val="000000"/>
        </w:rPr>
        <w:t xml:space="preserve"> </w:t>
      </w:r>
      <w:r w:rsidRPr="00D26062">
        <w:rPr>
          <w:color w:val="000000"/>
        </w:rPr>
        <w:t>perform</w:t>
      </w:r>
      <w:r w:rsidRPr="00D26062">
        <w:rPr>
          <w:color w:val="000000"/>
        </w:rPr>
        <w:t xml:space="preserve"> </w:t>
      </w:r>
      <w:r w:rsidRPr="00D60C6D">
        <w:rPr>
          <w:color w:val="000000"/>
        </w:rPr>
        <w:t xml:space="preserve">the </w:t>
      </w:r>
      <w:r w:rsidRPr="00D26062">
        <w:rPr>
          <w:color w:val="000000"/>
        </w:rPr>
        <w:t>NMPC</w:t>
      </w:r>
      <w:r w:rsidRPr="00D26062">
        <w:rPr>
          <w:color w:val="000000"/>
        </w:rPr>
        <w:t xml:space="preserve"> S</w:t>
      </w:r>
      <w:r w:rsidRPr="00D26062">
        <w:rPr>
          <w:color w:val="000000"/>
        </w:rPr>
        <w:t xml:space="preserve">cope of </w:t>
      </w:r>
      <w:r w:rsidRPr="00D26062">
        <w:rPr>
          <w:color w:val="000000"/>
        </w:rPr>
        <w:t>W</w:t>
      </w:r>
      <w:r w:rsidRPr="00D26062">
        <w:rPr>
          <w:color w:val="000000"/>
        </w:rPr>
        <w:t xml:space="preserve">ork </w:t>
      </w:r>
      <w:r w:rsidRPr="00D26062">
        <w:rPr>
          <w:color w:val="000000"/>
        </w:rPr>
        <w:t>defined</w:t>
      </w:r>
      <w:r w:rsidRPr="00D26062">
        <w:rPr>
          <w:color w:val="000000"/>
        </w:rPr>
        <w:t xml:space="preserve"> above</w:t>
      </w:r>
      <w:r w:rsidRPr="00D26062">
        <w:rPr>
          <w:color w:val="000000"/>
        </w:rPr>
        <w:t xml:space="preserve"> (“</w:t>
      </w:r>
      <w:r w:rsidRPr="00EA1838">
        <w:rPr>
          <w:i/>
          <w:color w:val="000000"/>
          <w:u w:val="single"/>
        </w:rPr>
        <w:t>NMPC</w:t>
      </w:r>
      <w:r w:rsidRPr="00EA1838">
        <w:rPr>
          <w:i/>
          <w:color w:val="000000"/>
          <w:u w:val="single"/>
        </w:rPr>
        <w:t xml:space="preserve"> Costs</w:t>
      </w:r>
      <w:r w:rsidRPr="00D26062">
        <w:rPr>
          <w:color w:val="000000"/>
        </w:rPr>
        <w:t>”)</w:t>
      </w:r>
      <w:r>
        <w:rPr>
          <w:color w:val="000000"/>
        </w:rPr>
        <w:t>.</w:t>
      </w:r>
    </w:p>
    <w:p w:rsidR="009D2B59" w:rsidRDefault="00E776AE" w:rsidP="00E952A8">
      <w:pPr>
        <w:ind w:firstLine="720"/>
        <w:jc w:val="both"/>
        <w:rPr>
          <w:color w:val="000000"/>
        </w:rPr>
      </w:pPr>
    </w:p>
    <w:p w:rsidR="002C0FAD" w:rsidRDefault="00E776AE" w:rsidP="00E952A8">
      <w:pPr>
        <w:ind w:firstLine="720"/>
        <w:jc w:val="both"/>
        <w:rPr>
          <w:color w:val="000000"/>
        </w:rPr>
      </w:pPr>
      <w:r w:rsidRPr="00EA1838">
        <w:rPr>
          <w:color w:val="000000"/>
        </w:rPr>
        <w:t>MAIT</w:t>
      </w:r>
      <w:r w:rsidRPr="00D26062">
        <w:rPr>
          <w:color w:val="000000"/>
        </w:rPr>
        <w:t xml:space="preserve"> shall provide NMPC</w:t>
      </w:r>
      <w:r w:rsidRPr="00D26062">
        <w:rPr>
          <w:color w:val="000000"/>
        </w:rPr>
        <w:t xml:space="preserve"> with an initial prepayment</w:t>
      </w:r>
      <w:r w:rsidRPr="00D26062">
        <w:rPr>
          <w:color w:val="000000"/>
        </w:rPr>
        <w:t xml:space="preserve"> in the amount of $</w:t>
      </w:r>
      <w:r>
        <w:rPr>
          <w:color w:val="000000"/>
        </w:rPr>
        <w:t>40,000</w:t>
      </w:r>
      <w:r w:rsidRPr="00D26062">
        <w:rPr>
          <w:color w:val="000000"/>
        </w:rPr>
        <w:t xml:space="preserve"> </w:t>
      </w:r>
      <w:r w:rsidRPr="00D26062">
        <w:rPr>
          <w:color w:val="000000"/>
        </w:rPr>
        <w:t>(“</w:t>
      </w:r>
      <w:r w:rsidRPr="00EA1838">
        <w:rPr>
          <w:i/>
          <w:color w:val="000000"/>
          <w:u w:val="single"/>
        </w:rPr>
        <w:t>Initial Prepayment</w:t>
      </w:r>
      <w:r w:rsidRPr="00D26062">
        <w:rPr>
          <w:color w:val="000000"/>
        </w:rPr>
        <w:t>”).  NMPC</w:t>
      </w:r>
      <w:r w:rsidRPr="00D26062">
        <w:rPr>
          <w:color w:val="000000"/>
        </w:rPr>
        <w:t xml:space="preserve"> shall not be obligated to c</w:t>
      </w:r>
      <w:r w:rsidRPr="00D26062">
        <w:rPr>
          <w:color w:val="000000"/>
        </w:rPr>
        <w:t xml:space="preserve">ommence performance of any work in connection with </w:t>
      </w:r>
      <w:r w:rsidRPr="00511E12">
        <w:rPr>
          <w:color w:val="000000"/>
        </w:rPr>
        <w:t xml:space="preserve">this </w:t>
      </w:r>
      <w:r w:rsidRPr="00511E12">
        <w:rPr>
          <w:color w:val="000000"/>
        </w:rPr>
        <w:t xml:space="preserve">Agreement </w:t>
      </w:r>
      <w:r w:rsidRPr="00511E12">
        <w:rPr>
          <w:color w:val="000000"/>
        </w:rPr>
        <w:t>until</w:t>
      </w:r>
      <w:r w:rsidRPr="002C0FAD">
        <w:rPr>
          <w:color w:val="000000"/>
        </w:rPr>
        <w:t xml:space="preserve"> it has received the Initial Prepayment.  </w:t>
      </w:r>
    </w:p>
    <w:p w:rsidR="002C0FAD" w:rsidRDefault="00E776AE" w:rsidP="00E952A8">
      <w:pPr>
        <w:ind w:firstLine="720"/>
        <w:jc w:val="both"/>
        <w:rPr>
          <w:color w:val="000000"/>
        </w:rPr>
      </w:pPr>
    </w:p>
    <w:p w:rsidR="00ED3B62" w:rsidRPr="00511E12" w:rsidRDefault="00E776AE" w:rsidP="00594BBB">
      <w:pPr>
        <w:pStyle w:val="NoSpacing"/>
        <w:ind w:left="-90" w:right="-90" w:firstLine="630"/>
        <w:jc w:val="both"/>
      </w:pPr>
      <w:r w:rsidRPr="00EA1838">
        <w:t>MAIT</w:t>
      </w:r>
      <w:r w:rsidRPr="00EA1838">
        <w:t>s</w:t>
      </w:r>
      <w:r w:rsidRPr="00D26062">
        <w:t xml:space="preserve"> responsibility to reimburse </w:t>
      </w:r>
      <w:r w:rsidRPr="00D26062">
        <w:t>NMPC</w:t>
      </w:r>
      <w:r w:rsidRPr="00D26062">
        <w:t xml:space="preserve"> for </w:t>
      </w:r>
      <w:r w:rsidRPr="00D26062">
        <w:t>NMPC</w:t>
      </w:r>
      <w:r w:rsidRPr="00D26062">
        <w:t xml:space="preserve"> Costs</w:t>
      </w:r>
      <w:r w:rsidRPr="00D26062">
        <w:t xml:space="preserve"> shall include, but not be limited to, actual quantities of labor and material expended</w:t>
      </w:r>
      <w:r w:rsidRPr="00511E12">
        <w:t xml:space="preserve"> by </w:t>
      </w:r>
      <w:r w:rsidRPr="00511E12">
        <w:t>NMPC</w:t>
      </w:r>
      <w:r w:rsidRPr="00511E12">
        <w:t xml:space="preserve"> and/or its contractor(s) for performance of </w:t>
      </w:r>
      <w:r w:rsidRPr="00D60C6D">
        <w:t xml:space="preserve">the </w:t>
      </w:r>
      <w:r w:rsidRPr="00D26062">
        <w:t>NMPC</w:t>
      </w:r>
      <w:r w:rsidRPr="00D26062">
        <w:t xml:space="preserve"> Scope of W</w:t>
      </w:r>
      <w:r w:rsidRPr="00D26062">
        <w:t>ork</w:t>
      </w:r>
      <w:r w:rsidRPr="00D26062">
        <w:t xml:space="preserve">.  </w:t>
      </w:r>
      <w:r w:rsidRPr="00D26062">
        <w:t>NMPC</w:t>
      </w:r>
      <w:r w:rsidRPr="00D26062">
        <w:t xml:space="preserve"> will invoice </w:t>
      </w:r>
      <w:r w:rsidRPr="00EA1838">
        <w:t>MAIT</w:t>
      </w:r>
      <w:r w:rsidRPr="00D60C6D">
        <w:t xml:space="preserve"> </w:t>
      </w:r>
      <w:r w:rsidRPr="00D26062">
        <w:t xml:space="preserve">for </w:t>
      </w:r>
      <w:r w:rsidRPr="00D26062">
        <w:t xml:space="preserve">all </w:t>
      </w:r>
      <w:r w:rsidRPr="00D26062">
        <w:t>NMPC</w:t>
      </w:r>
      <w:r w:rsidRPr="00D26062">
        <w:t xml:space="preserve"> </w:t>
      </w:r>
      <w:r w:rsidRPr="00D26062">
        <w:t>C</w:t>
      </w:r>
      <w:r w:rsidRPr="00D26062">
        <w:t>osts</w:t>
      </w:r>
      <w:r w:rsidRPr="00D26062">
        <w:t xml:space="preserve"> at the completion of </w:t>
      </w:r>
      <w:r w:rsidRPr="00D60C6D">
        <w:t xml:space="preserve">the </w:t>
      </w:r>
      <w:r w:rsidRPr="00D26062">
        <w:t>NMPC</w:t>
      </w:r>
      <w:r w:rsidRPr="00D26062">
        <w:t xml:space="preserve"> </w:t>
      </w:r>
      <w:r w:rsidRPr="00D26062">
        <w:t>S</w:t>
      </w:r>
      <w:r w:rsidRPr="00D26062">
        <w:t xml:space="preserve">cope of </w:t>
      </w:r>
      <w:r w:rsidRPr="00D26062">
        <w:t>W</w:t>
      </w:r>
      <w:r w:rsidRPr="00D26062">
        <w:t>ork</w:t>
      </w:r>
      <w:r w:rsidRPr="00D26062">
        <w:t>, which i</w:t>
      </w:r>
      <w:r w:rsidRPr="00D26062">
        <w:t xml:space="preserve">nvoice shall </w:t>
      </w:r>
      <w:r w:rsidRPr="00D26062">
        <w:t>reflect the application of a credit in the amount of the Initial Prepayment</w:t>
      </w:r>
      <w:r>
        <w:t xml:space="preserve"> </w:t>
      </w:r>
      <w:r>
        <w:t xml:space="preserve">paid by MAIT </w:t>
      </w:r>
      <w:r>
        <w:t xml:space="preserve">under </w:t>
      </w:r>
      <w:r>
        <w:t>this Agreement</w:t>
      </w:r>
      <w:r>
        <w:t xml:space="preserve"> </w:t>
      </w:r>
      <w:r>
        <w:t xml:space="preserve">and </w:t>
      </w:r>
      <w:r w:rsidRPr="00D26062">
        <w:t xml:space="preserve">be accompanied by reasonable </w:t>
      </w:r>
      <w:r w:rsidRPr="00D26062">
        <w:t>documentation of the costs incurred</w:t>
      </w:r>
      <w:r w:rsidRPr="00D26062">
        <w:t xml:space="preserve">; </w:t>
      </w:r>
      <w:r w:rsidRPr="00EA1838">
        <w:t>MAIT</w:t>
      </w:r>
      <w:r w:rsidRPr="00D26062">
        <w:t xml:space="preserve"> shall pay </w:t>
      </w:r>
      <w:r w:rsidRPr="00D26062">
        <w:t>such</w:t>
      </w:r>
      <w:r w:rsidRPr="00D26062">
        <w:t xml:space="preserve"> invoiced amount no later than 45 days </w:t>
      </w:r>
      <w:r w:rsidRPr="00D26062">
        <w:t>following</w:t>
      </w:r>
      <w:r w:rsidRPr="00D26062">
        <w:t xml:space="preserve"> </w:t>
      </w:r>
      <w:r w:rsidRPr="00EA1838">
        <w:t>MAIT</w:t>
      </w:r>
      <w:r w:rsidRPr="00EA1838">
        <w:t>s</w:t>
      </w:r>
      <w:r w:rsidRPr="00EA1838">
        <w:t xml:space="preserve"> </w:t>
      </w:r>
      <w:r w:rsidRPr="00D26062">
        <w:t>receipt of the invoice.</w:t>
      </w:r>
      <w:r w:rsidRPr="00D26062">
        <w:t xml:space="preserve"> </w:t>
      </w:r>
      <w:r w:rsidRPr="00D26062">
        <w:t xml:space="preserve"> </w:t>
      </w:r>
      <w:r w:rsidRPr="00D26062">
        <w:t xml:space="preserve">If NMPC </w:t>
      </w:r>
      <w:r w:rsidRPr="00D26062">
        <w:t>will be unable</w:t>
      </w:r>
      <w:r w:rsidRPr="00D26062">
        <w:t xml:space="preserve"> to </w:t>
      </w:r>
      <w:r w:rsidRPr="00D26062">
        <w:t>complete</w:t>
      </w:r>
      <w:r w:rsidRPr="00D26062">
        <w:t xml:space="preserve"> </w:t>
      </w:r>
      <w:r w:rsidRPr="00D60C6D">
        <w:t>the NMPC</w:t>
      </w:r>
      <w:r w:rsidRPr="00D26062">
        <w:t xml:space="preserve"> Scope </w:t>
      </w:r>
      <w:r w:rsidRPr="00D26062">
        <w:t xml:space="preserve">of Work, </w:t>
      </w:r>
      <w:r w:rsidRPr="00D26062">
        <w:t>MAIT may terminate this Agreement upon written notice to NMPC</w:t>
      </w:r>
      <w:r w:rsidRPr="00D26062">
        <w:t xml:space="preserve"> and </w:t>
      </w:r>
      <w:r w:rsidRPr="00D26062">
        <w:t>NMPC shall return the I</w:t>
      </w:r>
      <w:r w:rsidRPr="00D26062">
        <w:t xml:space="preserve">nitial </w:t>
      </w:r>
      <w:r w:rsidRPr="00D26062">
        <w:t>P</w:t>
      </w:r>
      <w:r w:rsidRPr="00D26062">
        <w:t xml:space="preserve">repayment to </w:t>
      </w:r>
      <w:r w:rsidRPr="00EA1838">
        <w:t>MAIT</w:t>
      </w:r>
      <w:r w:rsidRPr="00D26062">
        <w:t xml:space="preserve"> </w:t>
      </w:r>
      <w:r w:rsidRPr="00D26062">
        <w:t xml:space="preserve">less any </w:t>
      </w:r>
      <w:r w:rsidRPr="00D26062">
        <w:t>NMPC C</w:t>
      </w:r>
      <w:r w:rsidRPr="00D26062">
        <w:t>osts</w:t>
      </w:r>
      <w:r w:rsidRPr="00D26062">
        <w:t xml:space="preserve"> </w:t>
      </w:r>
      <w:r w:rsidRPr="00D26062">
        <w:t xml:space="preserve">incurred </w:t>
      </w:r>
      <w:r w:rsidRPr="00D26062">
        <w:t>through the effective date of termina</w:t>
      </w:r>
      <w:r w:rsidRPr="00D60C6D">
        <w:t xml:space="preserve">tion (inclusive of </w:t>
      </w:r>
      <w:r>
        <w:t>NMPC’</w:t>
      </w:r>
      <w:r w:rsidRPr="00917607">
        <w:t>s reasonable costs and expenses incurred as a result of such termination which cannot reasonably be</w:t>
      </w:r>
      <w:r>
        <w:t xml:space="preserve"> avoided or m</w:t>
      </w:r>
      <w:r>
        <w:t>itigated by NMPC</w:t>
      </w:r>
      <w:r>
        <w:t xml:space="preserve"> </w:t>
      </w:r>
      <w:r w:rsidRPr="00917607">
        <w:t>including, without limitation, wind-up costs, equipment rent</w:t>
      </w:r>
      <w:r>
        <w:t>al fees, and subcontractor fees</w:t>
      </w:r>
      <w:r w:rsidRPr="00D26062">
        <w:t>).</w:t>
      </w:r>
    </w:p>
    <w:p w:rsidR="00FB09BE" w:rsidRDefault="00E776AE" w:rsidP="00E952A8">
      <w:pPr>
        <w:ind w:firstLine="720"/>
        <w:jc w:val="both"/>
        <w:rPr>
          <w:color w:val="000000"/>
        </w:rPr>
      </w:pPr>
    </w:p>
    <w:p w:rsidR="0073465D" w:rsidRPr="00EA1838" w:rsidRDefault="00E776AE" w:rsidP="00EA1838">
      <w:pPr>
        <w:ind w:firstLine="720"/>
        <w:jc w:val="both"/>
        <w:rPr>
          <w:rFonts w:eastAsia="Calibri"/>
          <w:color w:val="000000"/>
        </w:rPr>
      </w:pPr>
      <w:r w:rsidRPr="00D26062">
        <w:rPr>
          <w:color w:val="000000"/>
        </w:rPr>
        <w:t>Payment instructions</w:t>
      </w:r>
      <w:r w:rsidRPr="00D26062">
        <w:rPr>
          <w:color w:val="000000"/>
        </w:rPr>
        <w:t>:</w:t>
      </w:r>
      <w:r w:rsidRPr="00D60C6D">
        <w:rPr>
          <w:rFonts w:eastAsia="Calibri"/>
          <w:color w:val="000000"/>
        </w:rPr>
        <w:t xml:space="preserve">  A</w:t>
      </w:r>
      <w:r w:rsidRPr="00EA1838">
        <w:rPr>
          <w:rFonts w:eastAsia="Calibri"/>
          <w:color w:val="000000"/>
        </w:rPr>
        <w:t>ll payments made under this Agreement shall be made in immediately available funds. Unless otherwise directed by</w:t>
      </w:r>
      <w:r w:rsidRPr="00D60C6D">
        <w:rPr>
          <w:rFonts w:eastAsia="Calibri"/>
          <w:color w:val="000000"/>
        </w:rPr>
        <w:t xml:space="preserve"> NMPC, payments to </w:t>
      </w:r>
      <w:r w:rsidRPr="00EA1838">
        <w:rPr>
          <w:rFonts w:eastAsia="Calibri"/>
          <w:color w:val="000000"/>
        </w:rPr>
        <w:t xml:space="preserve">NMPC shall be </w:t>
      </w:r>
      <w:bookmarkStart w:id="109" w:name="_DV_X374"/>
      <w:bookmarkStart w:id="110" w:name="_DV_C376"/>
      <w:r w:rsidRPr="00EA1838">
        <w:rPr>
          <w:rFonts w:eastAsia="Calibri"/>
          <w:color w:val="000000"/>
        </w:rPr>
        <w:t>made by wire transfer to:</w:t>
      </w:r>
      <w:bookmarkEnd w:id="109"/>
      <w:bookmarkEnd w:id="110"/>
      <w:r w:rsidRPr="00EA1838">
        <w:rPr>
          <w:rFonts w:eastAsia="Calibri"/>
          <w:color w:val="000000"/>
        </w:rPr>
        <w:t xml:space="preserve">   </w:t>
      </w:r>
    </w:p>
    <w:p w:rsidR="00FB09BE" w:rsidRPr="00EA1838" w:rsidRDefault="00E776AE" w:rsidP="00FB09BE">
      <w:pPr>
        <w:autoSpaceDE w:val="0"/>
        <w:autoSpaceDN w:val="0"/>
        <w:adjustRightInd w:val="0"/>
        <w:rPr>
          <w:rFonts w:eastAsia="Calibri"/>
          <w:color w:val="000000"/>
        </w:rPr>
      </w:pPr>
    </w:p>
    <w:p w:rsidR="0073465D" w:rsidRPr="00D60C6D" w:rsidRDefault="00E776AE" w:rsidP="00EA1838">
      <w:pPr>
        <w:autoSpaceDE w:val="0"/>
        <w:autoSpaceDN w:val="0"/>
        <w:adjustRightInd w:val="0"/>
        <w:ind w:left="720"/>
        <w:rPr>
          <w:rFonts w:eastAsia="Calibri"/>
          <w:color w:val="000000"/>
        </w:rPr>
      </w:pPr>
      <w:r w:rsidRPr="00EA1838">
        <w:rPr>
          <w:rFonts w:eastAsia="Calibri"/>
          <w:color w:val="000000"/>
        </w:rPr>
        <w:t>Wire Payment: JPMorgan Chase</w:t>
      </w:r>
    </w:p>
    <w:p w:rsidR="0073465D" w:rsidRPr="00D60C6D" w:rsidRDefault="00E776AE" w:rsidP="00EA1838">
      <w:pPr>
        <w:autoSpaceDE w:val="0"/>
        <w:autoSpaceDN w:val="0"/>
        <w:adjustRightInd w:val="0"/>
        <w:ind w:left="720"/>
        <w:rPr>
          <w:rFonts w:eastAsia="Calibri"/>
          <w:color w:val="000000"/>
        </w:rPr>
      </w:pPr>
      <w:r w:rsidRPr="00EA1838">
        <w:rPr>
          <w:rFonts w:eastAsia="Calibri"/>
          <w:color w:val="000000"/>
        </w:rPr>
        <w:t>Bank Routing Number</w:t>
      </w:r>
      <w:r w:rsidRPr="00D60C6D">
        <w:rPr>
          <w:rFonts w:eastAsia="Calibri"/>
          <w:color w:val="000000"/>
        </w:rPr>
        <w:t xml:space="preserve"> </w:t>
      </w:r>
      <w:r w:rsidRPr="00EA1838">
        <w:rPr>
          <w:rFonts w:eastAsia="Calibri"/>
          <w:color w:val="000000"/>
        </w:rPr>
        <w:t>(ABA): 021000021</w:t>
      </w:r>
    </w:p>
    <w:p w:rsidR="0073465D" w:rsidRPr="00D60C6D" w:rsidRDefault="00E776AE" w:rsidP="00EA1838">
      <w:pPr>
        <w:autoSpaceDE w:val="0"/>
        <w:autoSpaceDN w:val="0"/>
        <w:adjustRightInd w:val="0"/>
        <w:ind w:left="720"/>
        <w:rPr>
          <w:rFonts w:eastAsia="Calibri"/>
          <w:color w:val="000000"/>
        </w:rPr>
      </w:pPr>
      <w:r w:rsidRPr="00EA1838">
        <w:rPr>
          <w:rFonts w:eastAsia="Calibri"/>
          <w:color w:val="000000"/>
        </w:rPr>
        <w:t>Credit: National Grid USA</w:t>
      </w:r>
    </w:p>
    <w:p w:rsidR="0073465D" w:rsidRPr="00EA1838" w:rsidRDefault="00E776AE" w:rsidP="00EA1838">
      <w:pPr>
        <w:autoSpaceDE w:val="0"/>
        <w:autoSpaceDN w:val="0"/>
        <w:adjustRightInd w:val="0"/>
        <w:ind w:left="720"/>
        <w:rPr>
          <w:rFonts w:eastAsia="Calibri"/>
          <w:color w:val="000000"/>
        </w:rPr>
      </w:pPr>
      <w:r w:rsidRPr="00EA1838">
        <w:rPr>
          <w:rFonts w:eastAsia="Calibri"/>
          <w:color w:val="000000"/>
        </w:rPr>
        <w:t>Bank Acct. Number:</w:t>
      </w:r>
      <w:r w:rsidRPr="00D60C6D">
        <w:rPr>
          <w:rFonts w:eastAsia="Calibri"/>
          <w:color w:val="000000"/>
        </w:rPr>
        <w:t xml:space="preserve"> </w:t>
      </w:r>
      <w:r w:rsidRPr="00EA1838">
        <w:rPr>
          <w:rFonts w:eastAsia="Calibri"/>
          <w:color w:val="000000"/>
        </w:rPr>
        <w:t xml:space="preserve">777149642. </w:t>
      </w:r>
    </w:p>
    <w:p w:rsidR="0073465D" w:rsidRPr="00EA1838" w:rsidRDefault="00E776AE" w:rsidP="00FB09BE">
      <w:pPr>
        <w:autoSpaceDE w:val="0"/>
        <w:autoSpaceDN w:val="0"/>
        <w:adjustRightInd w:val="0"/>
        <w:rPr>
          <w:rFonts w:eastAsia="Calibri"/>
          <w:color w:val="000000"/>
        </w:rPr>
      </w:pPr>
    </w:p>
    <w:p w:rsidR="00FB09BE" w:rsidRPr="00EA1838" w:rsidRDefault="00E776AE" w:rsidP="00EA1838">
      <w:pPr>
        <w:autoSpaceDE w:val="0"/>
        <w:autoSpaceDN w:val="0"/>
        <w:adjustRightInd w:val="0"/>
        <w:ind w:firstLine="720"/>
        <w:rPr>
          <w:rFonts w:eastAsia="Calibri"/>
          <w:color w:val="000000"/>
        </w:rPr>
      </w:pPr>
      <w:r w:rsidRPr="00D60C6D">
        <w:rPr>
          <w:rFonts w:eastAsia="Calibri"/>
          <w:color w:val="000000"/>
        </w:rPr>
        <w:t>A</w:t>
      </w:r>
      <w:r w:rsidRPr="00EA1838">
        <w:rPr>
          <w:rFonts w:eastAsia="Calibri"/>
          <w:color w:val="000000"/>
        </w:rPr>
        <w:t xml:space="preserve"> copy of related invoice(s) </w:t>
      </w:r>
      <w:r w:rsidRPr="00D60C6D">
        <w:rPr>
          <w:rFonts w:eastAsia="Calibri"/>
          <w:color w:val="000000"/>
        </w:rPr>
        <w:t xml:space="preserve">should be included </w:t>
      </w:r>
      <w:r w:rsidRPr="00EA1838">
        <w:rPr>
          <w:rFonts w:eastAsia="Calibri"/>
          <w:color w:val="000000"/>
        </w:rPr>
        <w:t>with payment.</w:t>
      </w:r>
    </w:p>
    <w:p w:rsidR="00ED3B62" w:rsidRPr="00E826A7" w:rsidRDefault="00E776AE" w:rsidP="00EA1838">
      <w:pPr>
        <w:autoSpaceDE w:val="0"/>
        <w:autoSpaceDN w:val="0"/>
        <w:adjustRightInd w:val="0"/>
        <w:rPr>
          <w:color w:val="000000"/>
        </w:rPr>
      </w:pPr>
    </w:p>
    <w:p w:rsidR="00ED3B62" w:rsidRPr="00AF61AE" w:rsidRDefault="00E776AE" w:rsidP="005B4A51">
      <w:pPr>
        <w:pStyle w:val="NoSpacing"/>
        <w:ind w:left="-90" w:right="-180"/>
        <w:jc w:val="both"/>
      </w:pPr>
      <w:r w:rsidRPr="00E826A7">
        <w:tab/>
      </w:r>
      <w:r>
        <w:tab/>
      </w:r>
      <w:r w:rsidRPr="00AF61AE">
        <w:t>N</w:t>
      </w:r>
      <w:r w:rsidRPr="00AF61AE">
        <w:t>either Party shall be liable</w:t>
      </w:r>
      <w:r w:rsidRPr="00AF61AE">
        <w:t xml:space="preserve"> hereunder</w:t>
      </w:r>
      <w:r w:rsidRPr="00AF61AE">
        <w:t xml:space="preserve"> for failure to meet </w:t>
      </w:r>
      <w:r w:rsidRPr="00AF61AE">
        <w:t xml:space="preserve">any estimated </w:t>
      </w:r>
      <w:r w:rsidRPr="00AF61AE">
        <w:t>completion date, any milestone, or any other projected or preliminary schedule in connection with this Agreement or the work contemplated herein</w:t>
      </w:r>
      <w:r w:rsidRPr="00AF61AE">
        <w:t>.  The Parties shall perform their resp</w:t>
      </w:r>
      <w:r w:rsidRPr="00AF61AE">
        <w:t xml:space="preserve">ective </w:t>
      </w:r>
      <w:r w:rsidRPr="00AF61AE">
        <w:t>S</w:t>
      </w:r>
      <w:r w:rsidRPr="00AF61AE">
        <w:t xml:space="preserve">cope of </w:t>
      </w:r>
      <w:r w:rsidRPr="00AF61AE">
        <w:t>W</w:t>
      </w:r>
      <w:r w:rsidRPr="00AF61AE">
        <w:t xml:space="preserve">ork </w:t>
      </w:r>
      <w:r w:rsidRPr="00AF61AE">
        <w:t xml:space="preserve">using qualified and competent personnel and </w:t>
      </w:r>
      <w:r w:rsidRPr="00AF61AE">
        <w:t xml:space="preserve">in a manner consistent with applicable law and </w:t>
      </w:r>
      <w:r w:rsidRPr="00AF61AE">
        <w:t>G</w:t>
      </w:r>
      <w:r w:rsidRPr="00AF61AE">
        <w:t xml:space="preserve">ood </w:t>
      </w:r>
      <w:r w:rsidRPr="00AF61AE">
        <w:t>U</w:t>
      </w:r>
      <w:r w:rsidRPr="00AF61AE">
        <w:t xml:space="preserve">tility </w:t>
      </w:r>
      <w:r w:rsidRPr="00AF61AE">
        <w:t>P</w:t>
      </w:r>
      <w:r w:rsidRPr="00AF61AE">
        <w:t>ractice.</w:t>
      </w:r>
      <w:r w:rsidRPr="00AF61AE">
        <w:t xml:space="preserve">  For purposes of this Agreement, the term “</w:t>
      </w:r>
      <w:r w:rsidRPr="00AF61AE">
        <w:rPr>
          <w:i/>
          <w:u w:val="single"/>
        </w:rPr>
        <w:t>Good Utility Practice</w:t>
      </w:r>
      <w:r w:rsidRPr="00AF61AE">
        <w:t xml:space="preserve">” shall mean </w:t>
      </w:r>
      <w:r w:rsidRPr="00AF61AE">
        <w:rPr>
          <w:w w:val="0"/>
        </w:rPr>
        <w:t xml:space="preserve">the practices, methods and acts engaged in </w:t>
      </w:r>
      <w:r w:rsidRPr="00AF61AE">
        <w:rPr>
          <w:w w:val="0"/>
        </w:rPr>
        <w:t>or approved by a significant portion of the electric utility industry during the relevant time period, or any practices, methods and acts which, in the exercise of good judgment in light of the facts known at the time the decision was made</w:t>
      </w:r>
      <w:r w:rsidRPr="00AF61AE">
        <w:rPr>
          <w:b/>
          <w:w w:val="0"/>
        </w:rPr>
        <w:t xml:space="preserve">, </w:t>
      </w:r>
      <w:r w:rsidRPr="00AF61AE">
        <w:rPr>
          <w:w w:val="0"/>
        </w:rPr>
        <w:t>would</w:t>
      </w:r>
      <w:r w:rsidRPr="00AF61AE">
        <w:rPr>
          <w:b/>
          <w:w w:val="0"/>
        </w:rPr>
        <w:t xml:space="preserve"> </w:t>
      </w:r>
      <w:r w:rsidRPr="00AF61AE">
        <w:rPr>
          <w:w w:val="0"/>
        </w:rPr>
        <w:t>have been</w:t>
      </w:r>
      <w:r w:rsidRPr="00AF61AE">
        <w:rPr>
          <w:w w:val="0"/>
        </w:rPr>
        <w:t xml:space="preserve"> reasonably expected to accomplish the desired result consistent with good business practices, safety, and law.  Good Utility Practice is not intended to require or contemplate the optimum practice, method or act, to the exclusion of all others, but rather</w:t>
      </w:r>
      <w:r w:rsidRPr="00AF61AE">
        <w:rPr>
          <w:w w:val="0"/>
        </w:rPr>
        <w:t xml:space="preserve"> to be reasonably acceptable practices, methods, or acts generally accepted in the region in which the </w:t>
      </w:r>
      <w:r w:rsidRPr="00AF61AE">
        <w:rPr>
          <w:w w:val="0"/>
        </w:rPr>
        <w:t>applicable w</w:t>
      </w:r>
      <w:r w:rsidRPr="00AF61AE">
        <w:rPr>
          <w:w w:val="0"/>
        </w:rPr>
        <w:t>ork is to be performed.</w:t>
      </w:r>
      <w:r w:rsidRPr="00AF61AE">
        <w:t xml:space="preserve"> </w:t>
      </w:r>
    </w:p>
    <w:p w:rsidR="00436BBF" w:rsidRPr="00E826A7" w:rsidRDefault="00E776AE" w:rsidP="00E952A8">
      <w:pPr>
        <w:tabs>
          <w:tab w:val="left" w:pos="720"/>
        </w:tabs>
        <w:jc w:val="both"/>
        <w:rPr>
          <w:color w:val="000000"/>
        </w:rPr>
      </w:pPr>
    </w:p>
    <w:p w:rsidR="00ED3B62" w:rsidRPr="00E826A7" w:rsidRDefault="00E776AE" w:rsidP="00015E94">
      <w:pPr>
        <w:keepLines/>
        <w:tabs>
          <w:tab w:val="left" w:pos="720"/>
        </w:tabs>
        <w:spacing w:after="200"/>
        <w:ind w:left="-90" w:right="-180"/>
        <w:jc w:val="both"/>
        <w:rPr>
          <w:color w:val="000000"/>
        </w:rPr>
      </w:pPr>
      <w:r w:rsidRPr="00E826A7">
        <w:rPr>
          <w:color w:val="000000"/>
        </w:rPr>
        <w:tab/>
        <w:t xml:space="preserve">Each Party shall keep the other Party informed as to the progress of its </w:t>
      </w:r>
      <w:r>
        <w:rPr>
          <w:color w:val="000000"/>
        </w:rPr>
        <w:t>S</w:t>
      </w:r>
      <w:r w:rsidRPr="00E826A7">
        <w:rPr>
          <w:color w:val="000000"/>
        </w:rPr>
        <w:t xml:space="preserve">cope of </w:t>
      </w:r>
      <w:r>
        <w:rPr>
          <w:color w:val="000000"/>
        </w:rPr>
        <w:t>W</w:t>
      </w:r>
      <w:r w:rsidRPr="00E826A7">
        <w:rPr>
          <w:color w:val="000000"/>
        </w:rPr>
        <w:t xml:space="preserve">ork.  </w:t>
      </w:r>
      <w:r>
        <w:rPr>
          <w:color w:val="000000"/>
        </w:rPr>
        <w:t>NMPC</w:t>
      </w:r>
      <w:r w:rsidRPr="00E826A7">
        <w:rPr>
          <w:color w:val="000000"/>
        </w:rPr>
        <w:t xml:space="preserve"> shall keep accurate </w:t>
      </w:r>
      <w:r w:rsidRPr="00E826A7">
        <w:rPr>
          <w:color w:val="000000"/>
        </w:rPr>
        <w:t>and complete accounting records, including but not limited to invoices, receipts, procurement files, correspondence, electronic data and hard copy files,</w:t>
      </w:r>
      <w:r>
        <w:rPr>
          <w:color w:val="000000"/>
        </w:rPr>
        <w:t xml:space="preserve"> as reasonably necessary</w:t>
      </w:r>
      <w:r w:rsidRPr="00E826A7">
        <w:rPr>
          <w:color w:val="000000"/>
        </w:rPr>
        <w:t xml:space="preserve"> to substantiate and document </w:t>
      </w:r>
      <w:r>
        <w:rPr>
          <w:color w:val="000000"/>
        </w:rPr>
        <w:t>NMPC’s</w:t>
      </w:r>
      <w:r w:rsidRPr="00E826A7">
        <w:rPr>
          <w:color w:val="000000"/>
        </w:rPr>
        <w:t xml:space="preserve"> work and expenses under this Agreement.  T</w:t>
      </w:r>
      <w:r w:rsidRPr="00E826A7">
        <w:rPr>
          <w:color w:val="000000"/>
        </w:rPr>
        <w:t xml:space="preserve">hese records and files shall be kept in accordance with generally accepted accounting principles and practices.  </w:t>
      </w:r>
      <w:r w:rsidRPr="00EA1838">
        <w:rPr>
          <w:color w:val="000000"/>
        </w:rPr>
        <w:t>MAIT</w:t>
      </w:r>
      <w:r w:rsidRPr="00511E12">
        <w:rPr>
          <w:color w:val="000000"/>
        </w:rPr>
        <w:t xml:space="preserve"> </w:t>
      </w:r>
      <w:r w:rsidRPr="00E826A7">
        <w:rPr>
          <w:color w:val="000000"/>
        </w:rPr>
        <w:t xml:space="preserve">or its designee shall have the right to audit </w:t>
      </w:r>
      <w:r>
        <w:rPr>
          <w:color w:val="000000"/>
        </w:rPr>
        <w:t xml:space="preserve">(at its sole cost) </w:t>
      </w:r>
      <w:r w:rsidRPr="00E826A7">
        <w:rPr>
          <w:color w:val="000000"/>
        </w:rPr>
        <w:t xml:space="preserve">such records and files </w:t>
      </w:r>
      <w:r>
        <w:rPr>
          <w:color w:val="000000"/>
        </w:rPr>
        <w:t xml:space="preserve">to the extent pertaining to </w:t>
      </w:r>
      <w:r>
        <w:rPr>
          <w:color w:val="000000"/>
        </w:rPr>
        <w:t xml:space="preserve">the </w:t>
      </w:r>
      <w:r>
        <w:rPr>
          <w:color w:val="000000"/>
        </w:rPr>
        <w:t>NMPC Scope of Work</w:t>
      </w:r>
      <w:r>
        <w:rPr>
          <w:color w:val="000000"/>
        </w:rPr>
        <w:t xml:space="preserve"> </w:t>
      </w:r>
      <w:r w:rsidRPr="00E826A7">
        <w:rPr>
          <w:color w:val="000000"/>
        </w:rPr>
        <w:t>at any reasonable time with reasonable advance notice, during normal working hours.</w:t>
      </w:r>
    </w:p>
    <w:p w:rsidR="00ED3B62" w:rsidRPr="00E826A7" w:rsidRDefault="00E776AE" w:rsidP="00015E94">
      <w:pPr>
        <w:spacing w:after="200"/>
        <w:ind w:firstLine="360"/>
        <w:jc w:val="both"/>
        <w:rPr>
          <w:color w:val="000000"/>
        </w:rPr>
      </w:pPr>
      <w:r w:rsidRPr="00E826A7">
        <w:rPr>
          <w:color w:val="000000"/>
        </w:rPr>
        <w:t>Miscellaneous provisions</w:t>
      </w:r>
      <w:r>
        <w:rPr>
          <w:color w:val="000000"/>
        </w:rPr>
        <w:t>:</w:t>
      </w:r>
    </w:p>
    <w:p w:rsidR="00ED3B62" w:rsidRDefault="00E776AE" w:rsidP="00015E94">
      <w:pPr>
        <w:spacing w:after="200"/>
        <w:ind w:left="810" w:right="-180" w:hanging="450"/>
        <w:jc w:val="both"/>
        <w:rPr>
          <w:color w:val="000000"/>
        </w:rPr>
      </w:pPr>
      <w:r>
        <w:rPr>
          <w:rFonts w:eastAsia="Calibri"/>
          <w:color w:val="000000"/>
        </w:rPr>
        <w:t>1.</w:t>
      </w:r>
      <w:r>
        <w:rPr>
          <w:rFonts w:eastAsia="Calibri"/>
          <w:color w:val="000000"/>
        </w:rPr>
        <w:tab/>
      </w:r>
      <w:r w:rsidRPr="00D06E15">
        <w:rPr>
          <w:color w:val="000000"/>
        </w:rPr>
        <w:t xml:space="preserve">This Agreement will become effective </w:t>
      </w:r>
      <w:r w:rsidRPr="00D06E15">
        <w:rPr>
          <w:color w:val="000000"/>
        </w:rPr>
        <w:t xml:space="preserve">as of the date first above referenced </w:t>
      </w:r>
      <w:r w:rsidRPr="00D06E15">
        <w:rPr>
          <w:color w:val="000000"/>
        </w:rPr>
        <w:t>upon its execution by both Parties</w:t>
      </w:r>
      <w:r w:rsidRPr="00D06E15">
        <w:rPr>
          <w:color w:val="000000"/>
        </w:rPr>
        <w:t>.</w:t>
      </w:r>
      <w:r w:rsidRPr="00D06E15">
        <w:rPr>
          <w:color w:val="000000"/>
        </w:rPr>
        <w:t xml:space="preserve"> Any material change, modification, increase or reduction to the</w:t>
      </w:r>
      <w:r w:rsidRPr="00D06E15">
        <w:rPr>
          <w:color w:val="000000"/>
        </w:rPr>
        <w:t xml:space="preserve"> NMPC</w:t>
      </w:r>
      <w:r w:rsidRPr="00D06E15">
        <w:rPr>
          <w:color w:val="000000"/>
        </w:rPr>
        <w:t xml:space="preserve"> </w:t>
      </w:r>
      <w:r w:rsidRPr="00D06E15">
        <w:rPr>
          <w:color w:val="000000"/>
        </w:rPr>
        <w:t>S</w:t>
      </w:r>
      <w:r w:rsidRPr="00D06E15">
        <w:rPr>
          <w:color w:val="000000"/>
        </w:rPr>
        <w:t xml:space="preserve">cope of </w:t>
      </w:r>
      <w:r w:rsidRPr="00D06E15">
        <w:rPr>
          <w:color w:val="000000"/>
        </w:rPr>
        <w:t>W</w:t>
      </w:r>
      <w:r w:rsidRPr="00D06E15">
        <w:rPr>
          <w:color w:val="000000"/>
        </w:rPr>
        <w:t>ork</w:t>
      </w:r>
      <w:r w:rsidRPr="00D06E15">
        <w:rPr>
          <w:color w:val="000000"/>
        </w:rPr>
        <w:t xml:space="preserve"> </w:t>
      </w:r>
      <w:r w:rsidRPr="00D06E15">
        <w:rPr>
          <w:color w:val="000000"/>
        </w:rPr>
        <w:t>shall be subject to the prior mutual</w:t>
      </w:r>
      <w:r w:rsidRPr="00D06E15">
        <w:rPr>
          <w:color w:val="000000"/>
        </w:rPr>
        <w:t xml:space="preserve"> written</w:t>
      </w:r>
      <w:r w:rsidRPr="00D06E15">
        <w:rPr>
          <w:color w:val="000000"/>
        </w:rPr>
        <w:t xml:space="preserve"> agreement of the Parties</w:t>
      </w:r>
      <w:r w:rsidRPr="00D06E15">
        <w:rPr>
          <w:color w:val="000000"/>
        </w:rPr>
        <w:t xml:space="preserve">, provided, however, that </w:t>
      </w:r>
      <w:r w:rsidRPr="00D06E15">
        <w:rPr>
          <w:color w:val="000000"/>
        </w:rPr>
        <w:t>NMPC may make any changes to the NMPC</w:t>
      </w:r>
      <w:r w:rsidRPr="00D06E15">
        <w:rPr>
          <w:color w:val="000000"/>
        </w:rPr>
        <w:t xml:space="preserve"> Scope of Work as it deems necessary or </w:t>
      </w:r>
      <w:r w:rsidRPr="00D06E15">
        <w:rPr>
          <w:color w:val="000000"/>
        </w:rPr>
        <w:t>prudent in order to meet the requirements of governmental authorities, laws, regulations, ordinances, Good Utility Practice (as such term is defined in this Agreement) and/or applicable codes or standards, without MAIT’s consent or agreement</w:t>
      </w:r>
      <w:r w:rsidRPr="00D06E15">
        <w:rPr>
          <w:color w:val="000000"/>
        </w:rPr>
        <w:t>.</w:t>
      </w:r>
    </w:p>
    <w:p w:rsidR="00ED3B62" w:rsidRPr="00D06E15" w:rsidRDefault="00E776AE" w:rsidP="00015E94">
      <w:pPr>
        <w:widowControl w:val="0"/>
        <w:ind w:left="720" w:right="-180" w:hanging="360"/>
        <w:jc w:val="both"/>
        <w:rPr>
          <w:color w:val="000000"/>
        </w:rPr>
      </w:pPr>
      <w:r w:rsidRPr="00E826A7">
        <w:rPr>
          <w:rFonts w:eastAsia="Calibri"/>
          <w:color w:val="000000"/>
        </w:rPr>
        <w:t>2.</w:t>
      </w:r>
      <w:r w:rsidRPr="00E826A7">
        <w:rPr>
          <w:rFonts w:eastAsia="Calibri"/>
          <w:color w:val="000000"/>
        </w:rPr>
        <w:tab/>
      </w:r>
      <w:r w:rsidRPr="00D06E15">
        <w:rPr>
          <w:color w:val="000000"/>
        </w:rPr>
        <w:t>The Partie</w:t>
      </w:r>
      <w:r w:rsidRPr="00D06E15">
        <w:rPr>
          <w:color w:val="000000"/>
        </w:rPr>
        <w:t xml:space="preserve">s acknowledge that Force Majeure events may affect the performance of this Agreement and agree that the Parties shall not be liable to each other for any breach or failure to perform under this Agreement </w:t>
      </w:r>
      <w:r>
        <w:rPr>
          <w:color w:val="000000"/>
        </w:rPr>
        <w:t xml:space="preserve"> </w:t>
      </w:r>
      <w:r w:rsidRPr="00D06E15">
        <w:rPr>
          <w:color w:val="000000"/>
        </w:rPr>
        <w:t>(other than a failure to pay any amount when due he</w:t>
      </w:r>
      <w:r w:rsidRPr="00D06E15">
        <w:rPr>
          <w:color w:val="000000"/>
        </w:rPr>
        <w:t xml:space="preserve">reunder) caused by Force Majeure. </w:t>
      </w:r>
      <w:r w:rsidRPr="00D06E15">
        <w:rPr>
          <w:color w:val="000000"/>
        </w:rPr>
        <w:t>The term “</w:t>
      </w:r>
      <w:r w:rsidRPr="00D06E15">
        <w:rPr>
          <w:i/>
          <w:color w:val="000000"/>
          <w:u w:val="single"/>
        </w:rPr>
        <w:t>Force Majeure</w:t>
      </w:r>
      <w:r w:rsidRPr="00D06E15">
        <w:rPr>
          <w:color w:val="000000"/>
        </w:rPr>
        <w:t>” as used herein means those causes beyond the reasonable control of the Party affected,  and which wholly or in part prevents such Party from performing its obligations under this Agreement, includi</w:t>
      </w:r>
      <w:r w:rsidRPr="00D06E15">
        <w:rPr>
          <w:color w:val="000000"/>
        </w:rPr>
        <w:t>ng, without limitation, the following: any act of God; labor disturbance; act of the public enemy; war; insurrection; riot; fire; storm; flood; sun spots; lightning strikes; earthquake; explosion; breakage or accident to machinery or equipment; electric sy</w:t>
      </w:r>
      <w:r w:rsidRPr="00D06E15">
        <w:rPr>
          <w:color w:val="000000"/>
        </w:rPr>
        <w:t>stem disturbance; law, order, regulation, or restriction imposed by governmental, military, or lawfully established civilian authorities; action of any court, action or inaction of a governmental authority</w:t>
      </w:r>
      <w:r w:rsidRPr="00D06E15">
        <w:rPr>
          <w:color w:val="000000"/>
        </w:rPr>
        <w:t>, unavailability of personnel, equipment, supplies,</w:t>
      </w:r>
      <w:r w:rsidRPr="00D06E15">
        <w:rPr>
          <w:color w:val="000000"/>
        </w:rPr>
        <w:t xml:space="preserve"> or other resources for utility-related duties, compliance with such Party’s public service obligations</w:t>
      </w:r>
      <w:r w:rsidRPr="00D06E15">
        <w:rPr>
          <w:color w:val="000000"/>
        </w:rPr>
        <w:t>; or any other cause of a similar nature beyond a Party’s reasonable control.  Mere economic hardship of a Party does not constitute Force Majeure.</w:t>
      </w:r>
    </w:p>
    <w:p w:rsidR="00ED3B62" w:rsidRPr="00E826A7" w:rsidRDefault="00E776AE" w:rsidP="00ED3B62">
      <w:pPr>
        <w:pStyle w:val="ListParagraph"/>
        <w:jc w:val="both"/>
        <w:rPr>
          <w:color w:val="000000"/>
        </w:rPr>
      </w:pPr>
    </w:p>
    <w:p w:rsidR="006349CC" w:rsidRPr="00D06E15" w:rsidRDefault="00E776AE" w:rsidP="009C75BF">
      <w:pPr>
        <w:ind w:left="720" w:right="-180" w:hanging="360"/>
        <w:jc w:val="both"/>
        <w:rPr>
          <w:color w:val="000000"/>
        </w:rPr>
      </w:pPr>
      <w:r>
        <w:rPr>
          <w:rFonts w:eastAsia="Calibri"/>
          <w:color w:val="000000"/>
        </w:rPr>
        <w:t>3.</w:t>
      </w:r>
      <w:r>
        <w:rPr>
          <w:rFonts w:eastAsia="Calibri"/>
          <w:color w:val="000000"/>
        </w:rPr>
        <w:tab/>
      </w:r>
      <w:r w:rsidRPr="00D06E15">
        <w:rPr>
          <w:color w:val="000000"/>
          <w:u w:val="single"/>
        </w:rPr>
        <w:t>No Consequential Damages</w:t>
      </w:r>
      <w:r w:rsidRPr="00D06E15">
        <w:rPr>
          <w:color w:val="000000"/>
          <w:u w:val="single"/>
        </w:rPr>
        <w:t>; Limitation of Liability</w:t>
      </w:r>
      <w:r w:rsidRPr="00D06E15">
        <w:rPr>
          <w:color w:val="000000"/>
          <w:u w:val="single"/>
        </w:rPr>
        <w:t>; No Warranties</w:t>
      </w:r>
      <w:r w:rsidRPr="00D06E15">
        <w:rPr>
          <w:color w:val="000000"/>
        </w:rPr>
        <w:t xml:space="preserve">.  Any one Party’s liability under this Agreement shall be limited to the dollar amount of any direct damages that are proven to result from a breach of </w:t>
      </w:r>
      <w:r w:rsidRPr="00D06E15">
        <w:rPr>
          <w:color w:val="000000"/>
        </w:rPr>
        <w:t>such</w:t>
      </w:r>
      <w:r w:rsidRPr="00D06E15">
        <w:rPr>
          <w:color w:val="000000"/>
        </w:rPr>
        <w:t xml:space="preserve"> Party’s obligations under this Agreement</w:t>
      </w:r>
      <w:r w:rsidRPr="00D06E15">
        <w:rPr>
          <w:color w:val="000000"/>
        </w:rPr>
        <w:t xml:space="preserve">, provided, however, that </w:t>
      </w:r>
      <w:r w:rsidRPr="00D06E15">
        <w:rPr>
          <w:color w:val="000000"/>
        </w:rPr>
        <w:t>NMPC’ s total cumulative liability to MAIT and its affiliates for all claims of any kind, whether based upon contract, tort (including negligence and strict liability), or otherwise, for an</w:t>
      </w:r>
      <w:r w:rsidRPr="00D06E15">
        <w:rPr>
          <w:color w:val="000000"/>
        </w:rPr>
        <w:t>y loss, injury, or damage connected with, or resulting from, this Agreement, shall not exceed the agg</w:t>
      </w:r>
      <w:r w:rsidRPr="00D06E15">
        <w:rPr>
          <w:color w:val="000000"/>
        </w:rPr>
        <w:t xml:space="preserve">regate amount of all </w:t>
      </w:r>
      <w:r w:rsidRPr="00D06E15">
        <w:rPr>
          <w:color w:val="000000"/>
        </w:rPr>
        <w:t xml:space="preserve">payments made to NMPC by MAIT </w:t>
      </w:r>
      <w:r w:rsidRPr="00D06E15">
        <w:rPr>
          <w:color w:val="000000"/>
        </w:rPr>
        <w:t xml:space="preserve">for NMPC Costs </w:t>
      </w:r>
      <w:r w:rsidRPr="00D06E15">
        <w:rPr>
          <w:color w:val="000000"/>
        </w:rPr>
        <w:t>under this Agreement</w:t>
      </w:r>
      <w:r w:rsidRPr="00D06E15">
        <w:rPr>
          <w:color w:val="000000"/>
        </w:rPr>
        <w:t xml:space="preserve">.  In no event shall either Party be liable to the other </w:t>
      </w:r>
      <w:r w:rsidRPr="00D06E15">
        <w:rPr>
          <w:color w:val="000000"/>
        </w:rPr>
        <w:t>in connectio</w:t>
      </w:r>
      <w:r w:rsidRPr="00D06E15">
        <w:rPr>
          <w:color w:val="000000"/>
        </w:rPr>
        <w:t xml:space="preserve">n with this Agreement </w:t>
      </w:r>
      <w:r w:rsidRPr="00D06E15">
        <w:rPr>
          <w:color w:val="000000"/>
        </w:rPr>
        <w:t>for incidental, indirect, special, punitive or consequential damages (including</w:t>
      </w:r>
      <w:r w:rsidRPr="00D06E15">
        <w:rPr>
          <w:color w:val="000000"/>
        </w:rPr>
        <w:t>,</w:t>
      </w:r>
      <w:r w:rsidRPr="00D06E15">
        <w:rPr>
          <w:color w:val="000000"/>
        </w:rPr>
        <w:t xml:space="preserve"> without limitation</w:t>
      </w:r>
      <w:r w:rsidRPr="00D06E15">
        <w:rPr>
          <w:color w:val="000000"/>
        </w:rPr>
        <w:t>,</w:t>
      </w:r>
      <w:r w:rsidRPr="00D06E15">
        <w:rPr>
          <w:color w:val="000000"/>
        </w:rPr>
        <w:t xml:space="preserve"> damages for lost profits)</w:t>
      </w:r>
      <w:r w:rsidRPr="00D06E15">
        <w:rPr>
          <w:color w:val="000000"/>
        </w:rPr>
        <w:t>, whether or not (i) such damages were reasonably foreseeable or (ii) such Party was advised or aware that s</w:t>
      </w:r>
      <w:r w:rsidRPr="00D06E15">
        <w:rPr>
          <w:color w:val="000000"/>
        </w:rPr>
        <w:t xml:space="preserve">uch damages might be incurred.   </w:t>
      </w:r>
    </w:p>
    <w:p w:rsidR="006349CC" w:rsidRDefault="00E776AE" w:rsidP="00EA1838">
      <w:pPr>
        <w:pStyle w:val="ListParagraph"/>
        <w:rPr>
          <w:color w:val="000000"/>
        </w:rPr>
      </w:pPr>
    </w:p>
    <w:p w:rsidR="006349CC" w:rsidRDefault="00E776AE" w:rsidP="009C75BF">
      <w:pPr>
        <w:pStyle w:val="ListParagraph"/>
        <w:ind w:right="-180"/>
        <w:jc w:val="both"/>
        <w:rPr>
          <w:color w:val="000000"/>
        </w:rPr>
      </w:pPr>
      <w:r>
        <w:rPr>
          <w:color w:val="000000"/>
        </w:rPr>
        <w:t>NATIONAL GRID</w:t>
      </w:r>
      <w:r w:rsidRPr="006349CC">
        <w:rPr>
          <w:color w:val="000000"/>
        </w:rPr>
        <w:t xml:space="preserve"> MAKES NO REPRESENTATIONS, WARRANTIES OR GUARANTEES IN CONNECTION WITH THIS AGREEME</w:t>
      </w:r>
      <w:r>
        <w:rPr>
          <w:color w:val="000000"/>
        </w:rPr>
        <w:t>NT OR THE NMPC SCOPE OF WORK</w:t>
      </w:r>
      <w:r w:rsidRPr="006349CC">
        <w:rPr>
          <w:color w:val="000000"/>
        </w:rPr>
        <w:t xml:space="preserve"> PERFORMED IN CONNECTION HE</w:t>
      </w:r>
      <w:r>
        <w:rPr>
          <w:color w:val="000000"/>
        </w:rPr>
        <w:t>REWITH</w:t>
      </w:r>
      <w:r w:rsidRPr="006349CC">
        <w:rPr>
          <w:color w:val="000000"/>
        </w:rPr>
        <w:t>, WHETHER STATUTORY, ORAL, WRITTEN, EXPRESS, OR IMPLIED, INCLUDI</w:t>
      </w:r>
      <w:r w:rsidRPr="006349CC">
        <w:rPr>
          <w:color w:val="000000"/>
        </w:rPr>
        <w:t xml:space="preserve">NG, WITHOUT LIMITATION, WARRANTIES OF MERCHANTABILITY, FITNESS FOR A PARTICULAR PURPOSE, TITLE AND NON-INFRINGEMENT, WHICH REPRESENTATIONS, </w:t>
      </w:r>
      <w:r>
        <w:rPr>
          <w:color w:val="000000"/>
        </w:rPr>
        <w:t>WARRANTIES AND GUARANTEES NMPC</w:t>
      </w:r>
      <w:r w:rsidRPr="006349CC">
        <w:rPr>
          <w:color w:val="000000"/>
        </w:rPr>
        <w:t xml:space="preserve"> HEREBY DISCLAIMS TO THE FU</w:t>
      </w:r>
      <w:r>
        <w:rPr>
          <w:color w:val="000000"/>
        </w:rPr>
        <w:t xml:space="preserve">LLEST EXTENT PERMITTED BY LAW. </w:t>
      </w:r>
      <w:r w:rsidRPr="006349CC">
        <w:rPr>
          <w:color w:val="000000"/>
        </w:rPr>
        <w:t>ANY WARRANTIES PROVIDED BY O</w:t>
      </w:r>
      <w:r w:rsidRPr="006349CC">
        <w:rPr>
          <w:color w:val="000000"/>
        </w:rPr>
        <w:t>RIGINAL MANUFACTURERS’, LICENSORS’, OR PROVIDERS’ OF MATERIAL, EQUIPMENT, OR OTHER ITEMS PROVIDED</w:t>
      </w:r>
      <w:r>
        <w:rPr>
          <w:color w:val="000000"/>
        </w:rPr>
        <w:t xml:space="preserve"> OR USED IN CONNECTION WITH THIS AGREEMENT OR PERFORMANCE OF THE NMPC SCOPE OF WORK</w:t>
      </w:r>
      <w:r w:rsidRPr="006349CC">
        <w:rPr>
          <w:color w:val="000000"/>
        </w:rPr>
        <w:t>, INCLUDING IT</w:t>
      </w:r>
      <w:r>
        <w:rPr>
          <w:color w:val="000000"/>
        </w:rPr>
        <w:t>EMS INCORPORATED IN ANY DELIVERABLES</w:t>
      </w:r>
      <w:r w:rsidRPr="006349CC">
        <w:rPr>
          <w:color w:val="000000"/>
        </w:rPr>
        <w:t>, (“THIRD PARTY WARRANTIES</w:t>
      </w:r>
      <w:r w:rsidRPr="006349CC">
        <w:rPr>
          <w:color w:val="000000"/>
        </w:rPr>
        <w:t xml:space="preserve">”) ARE NOT TO BE </w:t>
      </w:r>
      <w:r>
        <w:rPr>
          <w:color w:val="000000"/>
        </w:rPr>
        <w:t>CONSIDERED WARRANTIES OF NMPC AND NMPC</w:t>
      </w:r>
      <w:r w:rsidRPr="006349CC">
        <w:rPr>
          <w:color w:val="000000"/>
        </w:rPr>
        <w:t xml:space="preserve"> MAKES NO REPRESENTATIONS, GUARANTEES, OR WARRANTIES AS TO THE APPLICABILITY OR ENFORCEABILITY OF ANY SUCH THIRD PARTY WARRANTIES.  THE TERMS OF THIS SECTION SHALL GOVERN OVER ANY CONTRARY VERBAL STATE</w:t>
      </w:r>
      <w:r w:rsidRPr="006349CC">
        <w:rPr>
          <w:color w:val="000000"/>
        </w:rPr>
        <w:t>MENTS OR L</w:t>
      </w:r>
      <w:r>
        <w:rPr>
          <w:color w:val="000000"/>
        </w:rPr>
        <w:t>ANGUAGE APPEARING IN ANY NMPC</w:t>
      </w:r>
      <w:r w:rsidRPr="006349CC">
        <w:rPr>
          <w:color w:val="000000"/>
        </w:rPr>
        <w:t xml:space="preserve"> OR OTHER DOCUMENTS.  </w:t>
      </w:r>
    </w:p>
    <w:p w:rsidR="009C75BF" w:rsidRDefault="00E776AE" w:rsidP="009C75BF">
      <w:pPr>
        <w:pStyle w:val="ListParagraph"/>
        <w:spacing w:before="200" w:after="200"/>
        <w:ind w:right="-180"/>
        <w:jc w:val="both"/>
        <w:rPr>
          <w:color w:val="000000"/>
        </w:rPr>
      </w:pPr>
    </w:p>
    <w:p w:rsidR="00ED3B62" w:rsidRDefault="00E776AE" w:rsidP="009C75BF">
      <w:pPr>
        <w:pStyle w:val="ListParagraph"/>
        <w:spacing w:before="200" w:after="200"/>
        <w:ind w:right="-180"/>
        <w:jc w:val="both"/>
        <w:rPr>
          <w:color w:val="000000"/>
        </w:rPr>
      </w:pPr>
      <w:r w:rsidRPr="005F004E">
        <w:rPr>
          <w:color w:val="000000"/>
        </w:rPr>
        <w:t>This paragraph shall survive any termination, expiration, cancellation, or completion of the Agreement</w:t>
      </w:r>
      <w:r w:rsidRPr="00E826A7">
        <w:rPr>
          <w:color w:val="000000"/>
        </w:rPr>
        <w:t xml:space="preserve">.  </w:t>
      </w:r>
    </w:p>
    <w:p w:rsidR="00ED3B62" w:rsidRPr="00D06E15" w:rsidRDefault="00E776AE" w:rsidP="009C75BF">
      <w:pPr>
        <w:ind w:left="720" w:right="-180" w:hanging="360"/>
        <w:jc w:val="both"/>
        <w:rPr>
          <w:color w:val="000000"/>
        </w:rPr>
      </w:pPr>
      <w:r>
        <w:rPr>
          <w:rFonts w:eastAsia="Calibri"/>
          <w:color w:val="000000"/>
        </w:rPr>
        <w:t>4.</w:t>
      </w:r>
      <w:r>
        <w:rPr>
          <w:rFonts w:eastAsia="Calibri"/>
          <w:color w:val="000000"/>
        </w:rPr>
        <w:tab/>
      </w:r>
      <w:r w:rsidRPr="00D06E15">
        <w:rPr>
          <w:color w:val="000000"/>
          <w:u w:val="single"/>
        </w:rPr>
        <w:t>Indemnification</w:t>
      </w:r>
      <w:r w:rsidRPr="00D06E15">
        <w:rPr>
          <w:color w:val="000000"/>
        </w:rPr>
        <w:t>.  Each Party (the “</w:t>
      </w:r>
      <w:r w:rsidRPr="00D06E15">
        <w:rPr>
          <w:i/>
          <w:color w:val="000000"/>
          <w:u w:val="single"/>
        </w:rPr>
        <w:t>Indemnifying Party</w:t>
      </w:r>
      <w:r w:rsidRPr="00D06E15">
        <w:rPr>
          <w:color w:val="000000"/>
        </w:rPr>
        <w:t xml:space="preserve">”) shall indemnify, hold </w:t>
      </w:r>
      <w:r w:rsidRPr="00D06E15">
        <w:rPr>
          <w:color w:val="000000"/>
        </w:rPr>
        <w:t>harmless, and upon request, defend the other Party, its affiliates, and its officers, directors, employees, agents, contractors, subcontractors, invitees, and successors (each, an “</w:t>
      </w:r>
      <w:r w:rsidRPr="00D06E15">
        <w:rPr>
          <w:i/>
          <w:color w:val="000000"/>
          <w:u w:val="single"/>
        </w:rPr>
        <w:t>Indemnified Party</w:t>
      </w:r>
      <w:r w:rsidRPr="00D06E15">
        <w:rPr>
          <w:color w:val="000000"/>
        </w:rPr>
        <w:t>”) from and against any and all demands, claims, liabiliti</w:t>
      </w:r>
      <w:r w:rsidRPr="00D06E15">
        <w:rPr>
          <w:color w:val="000000"/>
        </w:rPr>
        <w:t xml:space="preserve">es, costs, losses, judgments, damages, and expenses (including, without limitation, reasonable attorney and expert fees, and disbursements incurred by any of them in any action or proceeding between Indemnified Party and a third party, Indemnifying Party, </w:t>
      </w:r>
      <w:r w:rsidRPr="00D06E15">
        <w:rPr>
          <w:color w:val="000000"/>
        </w:rPr>
        <w:t xml:space="preserve">or any other party) </w:t>
      </w:r>
      <w:r>
        <w:rPr>
          <w:color w:val="000000"/>
        </w:rPr>
        <w:t xml:space="preserve"> </w:t>
      </w:r>
      <w:r w:rsidRPr="00D06E15">
        <w:rPr>
          <w:color w:val="000000"/>
        </w:rPr>
        <w:t>for damage to property, injury to or death of any third party, including Indemnified Party’s employees</w:t>
      </w:r>
      <w:r w:rsidRPr="00D06E15">
        <w:rPr>
          <w:color w:val="000000"/>
        </w:rPr>
        <w:t xml:space="preserve"> </w:t>
      </w:r>
      <w:r w:rsidRPr="00D06E15">
        <w:rPr>
          <w:color w:val="000000"/>
        </w:rPr>
        <w:t>and their affiliates’ employees, to the extent caused by the negligence or willful misconduct of Indemnifying Party and/or its offic</w:t>
      </w:r>
      <w:r w:rsidRPr="00D06E15">
        <w:rPr>
          <w:color w:val="000000"/>
        </w:rPr>
        <w:t>ers, directors, employees, agents, contractors and subcontractors arising out of or in connection with this Agreement</w:t>
      </w:r>
      <w:r w:rsidRPr="00D06E15">
        <w:rPr>
          <w:color w:val="000000"/>
        </w:rPr>
        <w:t xml:space="preserve"> (“</w:t>
      </w:r>
      <w:r w:rsidRPr="00D06E15">
        <w:rPr>
          <w:i/>
          <w:color w:val="000000"/>
          <w:u w:val="single"/>
        </w:rPr>
        <w:t>Claims</w:t>
      </w:r>
      <w:r w:rsidRPr="00D06E15">
        <w:rPr>
          <w:color w:val="000000"/>
        </w:rPr>
        <w:t>”), except to the extent such Claims arise from any breach of this Agreement by the Indemnified Party or from the negligence of wi</w:t>
      </w:r>
      <w:r w:rsidRPr="00D06E15">
        <w:rPr>
          <w:color w:val="000000"/>
        </w:rPr>
        <w:t xml:space="preserve">lful misconduct of an Indemnified Party, its affiliates, or its or its affiliates’ officers, directors, employees, agents, contractors, </w:t>
      </w:r>
      <w:r w:rsidRPr="00D06E15">
        <w:rPr>
          <w:color w:val="000000"/>
        </w:rPr>
        <w:t xml:space="preserve">or </w:t>
      </w:r>
      <w:r w:rsidRPr="00D06E15">
        <w:rPr>
          <w:color w:val="000000"/>
        </w:rPr>
        <w:t>subcontractors</w:t>
      </w:r>
      <w:r w:rsidRPr="00D06E15">
        <w:rPr>
          <w:color w:val="000000"/>
        </w:rPr>
        <w:t xml:space="preserve">.  In furtherance of the foregoing indemnification, and not by way of limitation thereof, Indemnifying </w:t>
      </w:r>
      <w:r w:rsidRPr="00D06E15">
        <w:rPr>
          <w:color w:val="000000"/>
        </w:rPr>
        <w:t>Party hereby waives any defense it might otherwise have under applicable workers’ compensation laws.</w:t>
      </w:r>
      <w:r w:rsidRPr="00D06E15">
        <w:rPr>
          <w:color w:val="000000"/>
        </w:rPr>
        <w:t xml:space="preserve">  This paragraph shall survive any termination, expiration, cancellation, or completion of the Agreement.</w:t>
      </w:r>
    </w:p>
    <w:p w:rsidR="0047654F" w:rsidRDefault="00E776AE" w:rsidP="0047654F">
      <w:pPr>
        <w:pStyle w:val="ListParagraph"/>
        <w:jc w:val="both"/>
        <w:rPr>
          <w:color w:val="000000"/>
        </w:rPr>
      </w:pPr>
    </w:p>
    <w:p w:rsidR="00C201D7" w:rsidRPr="00D06E15" w:rsidRDefault="00E776AE" w:rsidP="009C75BF">
      <w:pPr>
        <w:ind w:left="720" w:right="-180" w:hanging="360"/>
        <w:jc w:val="both"/>
        <w:rPr>
          <w:i/>
          <w:color w:val="000000"/>
        </w:rPr>
      </w:pPr>
      <w:r w:rsidRPr="006D7AB8">
        <w:rPr>
          <w:rFonts w:eastAsia="Calibri"/>
          <w:i/>
          <w:color w:val="000000"/>
        </w:rPr>
        <w:t>5.</w:t>
      </w:r>
      <w:r w:rsidRPr="006D7AB8">
        <w:rPr>
          <w:rFonts w:eastAsia="Calibri"/>
          <w:i/>
          <w:color w:val="000000"/>
        </w:rPr>
        <w:tab/>
      </w:r>
      <w:r w:rsidRPr="00D06E15">
        <w:rPr>
          <w:color w:val="000000"/>
        </w:rPr>
        <w:t>Each Party shall comply, at all times, with al</w:t>
      </w:r>
      <w:r w:rsidRPr="00D06E15">
        <w:rPr>
          <w:color w:val="000000"/>
        </w:rPr>
        <w:t xml:space="preserve">l applicable federal, state and local laws, codes, standards and regulations in connection with this Agreement and performance of any work hereunder. </w:t>
      </w:r>
      <w:r w:rsidRPr="00D06E15">
        <w:rPr>
          <w:color w:val="000000"/>
        </w:rPr>
        <w:t xml:space="preserve"> </w:t>
      </w:r>
      <w:r w:rsidRPr="00D06E15">
        <w:rPr>
          <w:color w:val="000000"/>
        </w:rPr>
        <w:t xml:space="preserve">Any work product resulting from the </w:t>
      </w:r>
      <w:r w:rsidRPr="00D06E15">
        <w:rPr>
          <w:color w:val="000000"/>
        </w:rPr>
        <w:t xml:space="preserve">NMPC </w:t>
      </w:r>
      <w:r w:rsidRPr="00D06E15">
        <w:rPr>
          <w:color w:val="000000"/>
        </w:rPr>
        <w:t>Scope of Work (“</w:t>
      </w:r>
      <w:r w:rsidRPr="00D06E15">
        <w:rPr>
          <w:i/>
          <w:color w:val="000000"/>
          <w:u w:val="single"/>
        </w:rPr>
        <w:t>Work Product</w:t>
      </w:r>
      <w:r w:rsidRPr="00D06E15">
        <w:rPr>
          <w:color w:val="000000"/>
        </w:rPr>
        <w:t>”)</w:t>
      </w:r>
      <w:r w:rsidRPr="00D06E15">
        <w:rPr>
          <w:color w:val="000000"/>
        </w:rPr>
        <w:t xml:space="preserve">, including, without limitation, </w:t>
      </w:r>
      <w:r w:rsidRPr="00D06E15">
        <w:rPr>
          <w:color w:val="000000"/>
        </w:rPr>
        <w:t>as-built drawings,</w:t>
      </w:r>
      <w:r w:rsidRPr="00D06E15">
        <w:rPr>
          <w:color w:val="000000"/>
        </w:rPr>
        <w:t xml:space="preserve"> shall be and remain the sole property of NMPC at no cost to NMPC.  Excluding third-party owned or licensed documents, materials and software, MAIT is granted an irrevocable, non-transferable, and non-assignable license to use the Work Pr</w:t>
      </w:r>
      <w:r w:rsidRPr="00D06E15">
        <w:rPr>
          <w:color w:val="000000"/>
        </w:rPr>
        <w:t>oduct solely in connection with the South Ripley Substation project, but only if and to the extent such Work Product is incorporated</w:t>
      </w:r>
      <w:r w:rsidRPr="00D06E15">
        <w:rPr>
          <w:color w:val="000000"/>
        </w:rPr>
        <w:t xml:space="preserve">, in whole or in part, into </w:t>
      </w:r>
      <w:r w:rsidRPr="00D06E15">
        <w:rPr>
          <w:color w:val="000000"/>
        </w:rPr>
        <w:t xml:space="preserve">drawings, specifications, or other documents provided </w:t>
      </w:r>
      <w:r w:rsidRPr="00D06E15">
        <w:rPr>
          <w:color w:val="000000"/>
        </w:rPr>
        <w:t xml:space="preserve">as deliverables </w:t>
      </w:r>
      <w:r w:rsidRPr="00D06E15">
        <w:rPr>
          <w:color w:val="000000"/>
        </w:rPr>
        <w:t xml:space="preserve">to MAIT by NMPC.  </w:t>
      </w:r>
      <w:r w:rsidRPr="00D06E15">
        <w:rPr>
          <w:i/>
          <w:color w:val="000000"/>
        </w:rPr>
        <w:t xml:space="preserve"> </w:t>
      </w:r>
    </w:p>
    <w:p w:rsidR="00855962" w:rsidRPr="006D7AB8" w:rsidRDefault="00E776AE" w:rsidP="00EA1838">
      <w:pPr>
        <w:pStyle w:val="ListParagraph"/>
        <w:rPr>
          <w:i/>
          <w:color w:val="000000"/>
        </w:rPr>
      </w:pPr>
    </w:p>
    <w:p w:rsidR="00855962" w:rsidRPr="00D06E15" w:rsidRDefault="00E776AE" w:rsidP="00D06E15">
      <w:pPr>
        <w:ind w:left="720" w:hanging="360"/>
        <w:jc w:val="both"/>
        <w:rPr>
          <w:i/>
          <w:color w:val="000000"/>
        </w:rPr>
      </w:pPr>
      <w:r w:rsidRPr="003F3ED1">
        <w:rPr>
          <w:rFonts w:eastAsia="Calibri"/>
          <w:i/>
          <w:color w:val="000000"/>
        </w:rPr>
        <w:t>6.</w:t>
      </w:r>
      <w:r w:rsidRPr="003F3ED1">
        <w:rPr>
          <w:rFonts w:eastAsia="Calibri"/>
          <w:i/>
          <w:color w:val="000000"/>
        </w:rPr>
        <w:tab/>
      </w:r>
      <w:r w:rsidRPr="00D06E15">
        <w:rPr>
          <w:color w:val="000000"/>
        </w:rPr>
        <w:t>[</w:t>
      </w:r>
      <w:r w:rsidRPr="00D06E15">
        <w:rPr>
          <w:color w:val="000000"/>
        </w:rPr>
        <w:t>R</w:t>
      </w:r>
      <w:r w:rsidRPr="00D06E15">
        <w:rPr>
          <w:color w:val="000000"/>
        </w:rPr>
        <w:t>eserved.]</w:t>
      </w:r>
    </w:p>
    <w:p w:rsidR="0047654F" w:rsidRDefault="00E776AE" w:rsidP="0047654F">
      <w:pPr>
        <w:pStyle w:val="ListParagraph"/>
        <w:rPr>
          <w:color w:val="000000"/>
        </w:rPr>
      </w:pPr>
    </w:p>
    <w:p w:rsidR="00436BBF" w:rsidRPr="00D06E15" w:rsidRDefault="00E776AE" w:rsidP="008F689C">
      <w:pPr>
        <w:ind w:left="720" w:right="-270" w:hanging="360"/>
        <w:jc w:val="both"/>
        <w:rPr>
          <w:color w:val="000000"/>
        </w:rPr>
      </w:pPr>
      <w:r w:rsidRPr="0047654F">
        <w:rPr>
          <w:rFonts w:eastAsia="Calibri"/>
          <w:color w:val="000000"/>
        </w:rPr>
        <w:t>7.</w:t>
      </w:r>
      <w:r w:rsidRPr="0047654F">
        <w:rPr>
          <w:rFonts w:eastAsia="Calibri"/>
          <w:color w:val="000000"/>
        </w:rPr>
        <w:tab/>
      </w:r>
      <w:r>
        <w:t xml:space="preserve">This Agreement </w:t>
      </w:r>
      <w:r w:rsidRPr="009B1553">
        <w:t xml:space="preserve">may </w:t>
      </w:r>
      <w:r>
        <w:t xml:space="preserve">not be </w:t>
      </w:r>
      <w:r w:rsidRPr="009B1553">
        <w:t>assign</w:t>
      </w:r>
      <w:r>
        <w:t xml:space="preserve">ed, in whole or in part, without </w:t>
      </w:r>
      <w:r w:rsidRPr="009B1553">
        <w:t xml:space="preserve">the </w:t>
      </w:r>
      <w:r>
        <w:t>prior written consent</w:t>
      </w:r>
      <w:r>
        <w:t xml:space="preserve"> </w:t>
      </w:r>
      <w:r>
        <w:t>of both Parties</w:t>
      </w:r>
      <w:r w:rsidRPr="005F004E">
        <w:t>, which consent shall not be unreasonably withheld, conditioned or delayed</w:t>
      </w:r>
      <w:r w:rsidRPr="009B1553">
        <w:t>.</w:t>
      </w:r>
    </w:p>
    <w:p w:rsidR="0047654F" w:rsidRDefault="00E776AE" w:rsidP="0047654F">
      <w:pPr>
        <w:pStyle w:val="ListParagraph"/>
        <w:rPr>
          <w:color w:val="000000"/>
        </w:rPr>
      </w:pPr>
    </w:p>
    <w:p w:rsidR="00ED3B62" w:rsidRPr="00D06E15" w:rsidRDefault="00E776AE" w:rsidP="008F689C">
      <w:pPr>
        <w:ind w:left="720" w:right="-270" w:hanging="360"/>
        <w:jc w:val="both"/>
        <w:rPr>
          <w:color w:val="000000"/>
        </w:rPr>
      </w:pPr>
      <w:r w:rsidRPr="0047654F">
        <w:rPr>
          <w:rFonts w:eastAsia="Calibri"/>
          <w:color w:val="000000"/>
        </w:rPr>
        <w:t>8.</w:t>
      </w:r>
      <w:r w:rsidRPr="0047654F">
        <w:rPr>
          <w:rFonts w:eastAsia="Calibri"/>
          <w:color w:val="000000"/>
        </w:rPr>
        <w:tab/>
      </w:r>
      <w:r w:rsidRPr="00E952A8">
        <w:t>The Parties are each independent contractors and shall n</w:t>
      </w:r>
      <w:r w:rsidRPr="00E952A8">
        <w:t>ot be considered or deemed to be an agent, employee, joint venturer or partner of the other.</w:t>
      </w:r>
      <w:r w:rsidRPr="00D06E15">
        <w:rPr>
          <w:b/>
        </w:rPr>
        <w:t xml:space="preserve">  </w:t>
      </w:r>
      <w:r>
        <w:t xml:space="preserve"> </w:t>
      </w:r>
      <w:r>
        <w:t>Any subcontracting of w</w:t>
      </w:r>
      <w:r w:rsidRPr="009B1553">
        <w:t xml:space="preserve">ork, in whole or in part, shall not relieve </w:t>
      </w:r>
      <w:r>
        <w:t>NMPC</w:t>
      </w:r>
      <w:r w:rsidRPr="009B1553">
        <w:t xml:space="preserve"> of the responsibility for full compliance wit</w:t>
      </w:r>
      <w:r>
        <w:t>h the requirements of this Agreement</w:t>
      </w:r>
      <w:r>
        <w:t xml:space="preserve">.  </w:t>
      </w:r>
      <w:r>
        <w:t xml:space="preserve"> </w:t>
      </w:r>
      <w:r>
        <w:t>This</w:t>
      </w:r>
      <w:r>
        <w:t xml:space="preserve"> Agreement</w:t>
      </w:r>
      <w:r w:rsidRPr="009B1553">
        <w:t xml:space="preserve"> is for the use and benefit of the Parties only, and not for the use and benefit of the public generally or any other person, party, or entity</w:t>
      </w:r>
      <w:r>
        <w:t xml:space="preserve">.  </w:t>
      </w:r>
      <w:r w:rsidRPr="00D06E15">
        <w:rPr>
          <w:color w:val="000000"/>
        </w:rPr>
        <w:t xml:space="preserve">This Agreement shall be governed by and construed in accordance with the laws of the </w:t>
      </w:r>
      <w:r w:rsidRPr="00D06E15">
        <w:rPr>
          <w:color w:val="000000"/>
        </w:rPr>
        <w:t>State of New Yor</w:t>
      </w:r>
      <w:r w:rsidRPr="00D06E15">
        <w:rPr>
          <w:color w:val="000000"/>
        </w:rPr>
        <w:t>k</w:t>
      </w:r>
      <w:r w:rsidRPr="00D06E15">
        <w:rPr>
          <w:color w:val="000000"/>
        </w:rPr>
        <w:t xml:space="preserve"> and not those laws determined by application of New York’</w:t>
      </w:r>
      <w:r>
        <w:rPr>
          <w:color w:val="000000"/>
        </w:rPr>
        <w:t xml:space="preserve">s conflicts of law principles. </w:t>
      </w:r>
      <w:r w:rsidRPr="00D06E15">
        <w:rPr>
          <w:color w:val="000000"/>
        </w:rPr>
        <w:t xml:space="preserve">Venue in any action with respect to this Agreement shall be in the State of New York; each Party agrees to submit to the personal jurisdiction of courts in the State </w:t>
      </w:r>
      <w:r w:rsidRPr="00D06E15">
        <w:rPr>
          <w:color w:val="000000"/>
        </w:rPr>
        <w:t>of New York with respect to any such actions</w:t>
      </w:r>
      <w:r>
        <w:rPr>
          <w:color w:val="000000"/>
        </w:rPr>
        <w:t xml:space="preserve">.  </w:t>
      </w:r>
      <w:r w:rsidRPr="00D06E15">
        <w:rPr>
          <w:color w:val="000000"/>
        </w:rPr>
        <w:t>This Agreement</w:t>
      </w:r>
      <w:r w:rsidRPr="00D06E15">
        <w:rPr>
          <w:color w:val="000000"/>
        </w:rPr>
        <w:t xml:space="preserve"> </w:t>
      </w:r>
      <w:r w:rsidRPr="00D06E15">
        <w:rPr>
          <w:color w:val="000000"/>
        </w:rPr>
        <w:t>set</w:t>
      </w:r>
      <w:r w:rsidRPr="00D06E15">
        <w:rPr>
          <w:color w:val="000000"/>
        </w:rPr>
        <w:t>s</w:t>
      </w:r>
      <w:r w:rsidRPr="00D06E15">
        <w:rPr>
          <w:color w:val="000000"/>
        </w:rPr>
        <w:t xml:space="preserve"> forth the entire understanding of the Parties with respect to the matters </w:t>
      </w:r>
      <w:r w:rsidRPr="00D06E15">
        <w:rPr>
          <w:color w:val="000000"/>
        </w:rPr>
        <w:t xml:space="preserve">it </w:t>
      </w:r>
      <w:r w:rsidRPr="00D06E15">
        <w:rPr>
          <w:color w:val="000000"/>
        </w:rPr>
        <w:t>purport</w:t>
      </w:r>
      <w:r w:rsidRPr="00D06E15">
        <w:rPr>
          <w:color w:val="000000"/>
        </w:rPr>
        <w:t>s</w:t>
      </w:r>
      <w:r w:rsidRPr="00D06E15">
        <w:rPr>
          <w:color w:val="000000"/>
        </w:rPr>
        <w:t xml:space="preserve"> to cover and supersede</w:t>
      </w:r>
      <w:r w:rsidRPr="00D06E15">
        <w:rPr>
          <w:color w:val="000000"/>
        </w:rPr>
        <w:t>s</w:t>
      </w:r>
      <w:r w:rsidRPr="00D06E15">
        <w:rPr>
          <w:color w:val="000000"/>
        </w:rPr>
        <w:t xml:space="preserve"> all prior communications, agreements, and understandings</w:t>
      </w:r>
      <w:r w:rsidRPr="00D06E15">
        <w:rPr>
          <w:color w:val="000000"/>
        </w:rPr>
        <w:t xml:space="preserve"> between the Parties</w:t>
      </w:r>
      <w:r w:rsidRPr="00D06E15">
        <w:rPr>
          <w:color w:val="000000"/>
        </w:rPr>
        <w:t>, w</w:t>
      </w:r>
      <w:r w:rsidRPr="00D06E15">
        <w:rPr>
          <w:color w:val="000000"/>
        </w:rPr>
        <w:t xml:space="preserve">hether written or oral, concerning the </w:t>
      </w:r>
      <w:r w:rsidRPr="00D06E15">
        <w:rPr>
          <w:color w:val="000000"/>
        </w:rPr>
        <w:t>subject matter hereof</w:t>
      </w:r>
      <w:r w:rsidRPr="00D06E15">
        <w:rPr>
          <w:color w:val="000000"/>
        </w:rPr>
        <w:t xml:space="preserve">. No amendment to this Agreement will be valid or binding unless </w:t>
      </w:r>
      <w:r>
        <w:t xml:space="preserve">and until reduced to writing and executed by each Party’s authorized representative. </w:t>
      </w:r>
      <w:r w:rsidRPr="00C2768A">
        <w:t xml:space="preserve">This Agreement may be executed by the Parties </w:t>
      </w:r>
      <w:r w:rsidRPr="00C2768A">
        <w:t>in multiple original counterparts, and each such counterpart will constitute an original hereof.</w:t>
      </w:r>
      <w:r w:rsidRPr="00D06E15">
        <w:rPr>
          <w:b/>
        </w:rPr>
        <w:t xml:space="preserve"> </w:t>
      </w:r>
      <w:r>
        <w:t xml:space="preserve"> </w:t>
      </w:r>
      <w:r w:rsidRPr="0072623D">
        <w:t>Signatures of the Parties transmitted by facsimile or other electronic means (including, without limitation, by e-mailed PDF) shall be deemed to be their orig</w:t>
      </w:r>
      <w:r w:rsidRPr="0072623D">
        <w:t>inal signatures for all purposes</w:t>
      </w:r>
      <w:r>
        <w:t>.</w:t>
      </w:r>
    </w:p>
    <w:p w:rsidR="00436BBF" w:rsidRDefault="00E776AE" w:rsidP="00E952A8">
      <w:pPr>
        <w:tabs>
          <w:tab w:val="left" w:pos="900"/>
        </w:tabs>
        <w:ind w:left="360"/>
        <w:jc w:val="both"/>
        <w:rPr>
          <w:b/>
          <w:u w:val="single"/>
        </w:rPr>
      </w:pPr>
    </w:p>
    <w:p w:rsidR="00ED3B62" w:rsidRPr="00EA1838" w:rsidRDefault="00E776AE" w:rsidP="00174809">
      <w:pPr>
        <w:keepNext/>
        <w:tabs>
          <w:tab w:val="left" w:pos="900"/>
        </w:tabs>
        <w:jc w:val="both"/>
        <w:rPr>
          <w:color w:val="000000"/>
        </w:rPr>
      </w:pPr>
      <w:r>
        <w:tab/>
      </w:r>
      <w:r w:rsidRPr="00EA1838">
        <w:rPr>
          <w:color w:val="000000"/>
        </w:rPr>
        <w:t xml:space="preserve">Please </w:t>
      </w:r>
      <w:r w:rsidRPr="00EA1838">
        <w:rPr>
          <w:color w:val="000000"/>
        </w:rPr>
        <w:t xml:space="preserve">have an authorized representative of </w:t>
      </w:r>
      <w:r w:rsidRPr="00EA1838">
        <w:rPr>
          <w:color w:val="000000"/>
        </w:rPr>
        <w:t>MAIT</w:t>
      </w:r>
      <w:r w:rsidRPr="00EA1838">
        <w:rPr>
          <w:color w:val="000000"/>
        </w:rPr>
        <w:t xml:space="preserve"> </w:t>
      </w:r>
      <w:r w:rsidRPr="00EA1838">
        <w:rPr>
          <w:color w:val="000000"/>
        </w:rPr>
        <w:t xml:space="preserve">sign below to indicate </w:t>
      </w:r>
      <w:r w:rsidRPr="00EA1838">
        <w:rPr>
          <w:color w:val="000000"/>
        </w:rPr>
        <w:t xml:space="preserve">MAIT </w:t>
      </w:r>
      <w:r w:rsidRPr="00EA1838">
        <w:rPr>
          <w:color w:val="000000"/>
        </w:rPr>
        <w:t xml:space="preserve">agreement with the terms of this Agreement and return a signed copy by pdf to </w:t>
      </w:r>
      <w:r w:rsidRPr="00EA1838">
        <w:rPr>
          <w:color w:val="000000"/>
        </w:rPr>
        <w:t>William J. Donovan</w:t>
      </w:r>
      <w:r w:rsidRPr="00EA1838">
        <w:rPr>
          <w:color w:val="000000"/>
        </w:rPr>
        <w:t xml:space="preserve"> at </w:t>
      </w:r>
      <w:r w:rsidRPr="00EA1838">
        <w:rPr>
          <w:color w:val="000000"/>
        </w:rPr>
        <w:t>William.donovan@nationalgrid.com</w:t>
      </w:r>
    </w:p>
    <w:p w:rsidR="00ED3B62" w:rsidRDefault="00E776AE" w:rsidP="00174809">
      <w:pPr>
        <w:keepNext/>
      </w:pPr>
    </w:p>
    <w:p w:rsidR="00ED3B62" w:rsidRDefault="00E776AE" w:rsidP="00174809">
      <w:pPr>
        <w:keepNext/>
      </w:pPr>
      <w:r>
        <w:t xml:space="preserve">Acknowledged and agreed: </w:t>
      </w:r>
    </w:p>
    <w:p w:rsidR="008F689C" w:rsidRDefault="00E776AE" w:rsidP="00174809">
      <w:pPr>
        <w:keepNext/>
      </w:pPr>
    </w:p>
    <w:p w:rsidR="008F689C" w:rsidRDefault="00E776AE" w:rsidP="00174809">
      <w:pPr>
        <w:keepNext/>
      </w:pPr>
    </w:p>
    <w:p w:rsidR="00ED3B62" w:rsidRDefault="00E776AE" w:rsidP="00174809">
      <w:pPr>
        <w:keepNext/>
      </w:pPr>
    </w:p>
    <w:p w:rsidR="00962C0B" w:rsidRDefault="00E776AE" w:rsidP="00174809">
      <w:pPr>
        <w:keepNext/>
      </w:pPr>
      <w:r>
        <w:rPr>
          <w:noProof/>
        </w:rPr>
        <w:drawing>
          <wp:inline distT="0" distB="0" distL="0" distR="0">
            <wp:extent cx="3977640" cy="274925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77640" cy="2749251"/>
                    </a:xfrm>
                    <a:prstGeom prst="rect">
                      <a:avLst/>
                    </a:prstGeom>
                  </pic:spPr>
                </pic:pic>
              </a:graphicData>
            </a:graphic>
          </wp:inline>
        </w:drawing>
      </w:r>
    </w:p>
    <w:p w:rsidR="00962C0B" w:rsidRDefault="00E776AE" w:rsidP="00174809">
      <w:pPr>
        <w:keepNext/>
      </w:pPr>
    </w:p>
    <w:p w:rsidR="0045648A" w:rsidRDefault="00E776AE" w:rsidP="00174809">
      <w:pPr>
        <w:keepNext/>
        <w:rPr>
          <w:b/>
          <w:caps/>
        </w:rPr>
      </w:pPr>
    </w:p>
    <w:p w:rsidR="00870994" w:rsidRDefault="00E776AE"/>
    <w:sectPr w:rsidR="00870994" w:rsidSect="00083BB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0" w:footer="61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D54" w:rsidRDefault="00616D54" w:rsidP="00616D54">
      <w:r>
        <w:separator/>
      </w:r>
    </w:p>
  </w:endnote>
  <w:endnote w:type="continuationSeparator" w:id="0">
    <w:p w:rsidR="00616D54" w:rsidRDefault="00616D54" w:rsidP="00616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54" w:rsidRDefault="00E776AE">
    <w:pPr>
      <w:jc w:val="right"/>
      <w:rPr>
        <w:rFonts w:ascii="Arial" w:eastAsia="Arial" w:hAnsi="Arial" w:cs="Arial"/>
        <w:color w:val="000000"/>
        <w:sz w:val="16"/>
      </w:rPr>
    </w:pPr>
    <w:r>
      <w:rPr>
        <w:rFonts w:ascii="Arial" w:eastAsia="Arial" w:hAnsi="Arial" w:cs="Arial"/>
        <w:color w:val="000000"/>
        <w:sz w:val="16"/>
      </w:rPr>
      <w:t xml:space="preserve">Effective Date: 10/11/2017 - Docket #: ER18-279-000 - Page </w:t>
    </w:r>
    <w:r w:rsidR="00616D54">
      <w:rPr>
        <w:rFonts w:ascii="Arial" w:eastAsia="Arial" w:hAnsi="Arial" w:cs="Arial"/>
        <w:color w:val="000000"/>
        <w:sz w:val="16"/>
      </w:rPr>
      <w:fldChar w:fldCharType="begin"/>
    </w:r>
    <w:r>
      <w:rPr>
        <w:rFonts w:ascii="Arial" w:eastAsia="Arial" w:hAnsi="Arial" w:cs="Arial"/>
        <w:color w:val="000000"/>
        <w:sz w:val="16"/>
      </w:rPr>
      <w:instrText>PAGE</w:instrText>
    </w:r>
    <w:r w:rsidR="00616D5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54" w:rsidRDefault="00E776AE">
    <w:pPr>
      <w:jc w:val="right"/>
      <w:rPr>
        <w:rFonts w:ascii="Arial" w:eastAsia="Arial" w:hAnsi="Arial" w:cs="Arial"/>
        <w:color w:val="000000"/>
        <w:sz w:val="16"/>
      </w:rPr>
    </w:pPr>
    <w:r>
      <w:rPr>
        <w:rFonts w:ascii="Arial" w:eastAsia="Arial" w:hAnsi="Arial" w:cs="Arial"/>
        <w:color w:val="000000"/>
        <w:sz w:val="16"/>
      </w:rPr>
      <w:t xml:space="preserve">Effective Date: 10/11/2017 - Docket #: ER18-279-000 - Page </w:t>
    </w:r>
    <w:r w:rsidR="00616D5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16D5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54" w:rsidRDefault="00E776AE">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10/11/2017 - Docket #: ER18-279-000 - Page </w:t>
    </w:r>
    <w:r w:rsidR="00616D54">
      <w:rPr>
        <w:rFonts w:ascii="Arial" w:eastAsia="Arial" w:hAnsi="Arial" w:cs="Arial"/>
        <w:color w:val="000000"/>
        <w:sz w:val="16"/>
      </w:rPr>
      <w:fldChar w:fldCharType="begin"/>
    </w:r>
    <w:r>
      <w:rPr>
        <w:rFonts w:ascii="Arial" w:eastAsia="Arial" w:hAnsi="Arial" w:cs="Arial"/>
        <w:color w:val="000000"/>
        <w:sz w:val="16"/>
      </w:rPr>
      <w:instrText>PAGE</w:instrText>
    </w:r>
    <w:r w:rsidR="00616D5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D54" w:rsidRDefault="00616D54" w:rsidP="00616D54">
      <w:r>
        <w:separator/>
      </w:r>
    </w:p>
  </w:footnote>
  <w:footnote w:type="continuationSeparator" w:id="0">
    <w:p w:rsidR="00616D54" w:rsidRDefault="00616D54" w:rsidP="00616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54" w:rsidRDefault="00E776AE">
    <w:pPr>
      <w:rPr>
        <w:rFonts w:ascii="Arial" w:eastAsia="Arial" w:hAnsi="Arial" w:cs="Arial"/>
        <w:color w:val="000000"/>
        <w:sz w:val="16"/>
      </w:rPr>
    </w:pPr>
    <w:r>
      <w:rPr>
        <w:rFonts w:ascii="Arial" w:eastAsia="Arial" w:hAnsi="Arial" w:cs="Arial"/>
        <w:color w:val="000000"/>
        <w:sz w:val="16"/>
      </w:rPr>
      <w:t>NYISO Agreements --&gt; Service Agreements --&gt; Reimbursement Agreement between NMPC and MAIT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54" w:rsidRDefault="00E776AE">
    <w:pPr>
      <w:rPr>
        <w:rFonts w:ascii="Arial" w:eastAsia="Arial" w:hAnsi="Arial" w:cs="Arial"/>
        <w:color w:val="000000"/>
        <w:sz w:val="16"/>
      </w:rPr>
    </w:pPr>
    <w:r>
      <w:rPr>
        <w:rFonts w:ascii="Arial" w:eastAsia="Arial" w:hAnsi="Arial" w:cs="Arial"/>
        <w:color w:val="000000"/>
        <w:sz w:val="16"/>
      </w:rPr>
      <w:t>NYISO Agreements --&gt; Service Agreements --&gt; Reimbursement Agreemen</w:t>
    </w:r>
    <w:r>
      <w:rPr>
        <w:rFonts w:ascii="Arial" w:eastAsia="Arial" w:hAnsi="Arial" w:cs="Arial"/>
        <w:color w:val="000000"/>
        <w:sz w:val="16"/>
      </w:rPr>
      <w:t>t between NMPC and MAIT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54" w:rsidRDefault="00E776AE">
    <w:pPr>
      <w:rPr>
        <w:rFonts w:ascii="Arial" w:eastAsia="Arial" w:hAnsi="Arial" w:cs="Arial"/>
        <w:color w:val="000000"/>
        <w:sz w:val="16"/>
      </w:rPr>
    </w:pPr>
    <w:r>
      <w:rPr>
        <w:rFonts w:ascii="Arial" w:eastAsia="Arial" w:hAnsi="Arial" w:cs="Arial"/>
        <w:color w:val="000000"/>
        <w:sz w:val="16"/>
      </w:rPr>
      <w:t>NYISO Agreements --&gt; Service Agreements --&gt; Reimbursement Agreement between NMPC and MAIT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B41E6"/>
    <w:multiLevelType w:val="multilevel"/>
    <w:tmpl w:val="175A22FA"/>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
    <w:nsid w:val="480E1406"/>
    <w:multiLevelType w:val="hybridMultilevel"/>
    <w:tmpl w:val="1B0AC7E4"/>
    <w:lvl w:ilvl="0" w:tplc="4274E698">
      <w:start w:val="1"/>
      <w:numFmt w:val="decimal"/>
      <w:lvlText w:val="%1."/>
      <w:lvlJc w:val="left"/>
      <w:pPr>
        <w:ind w:left="720" w:hanging="360"/>
      </w:pPr>
      <w:rPr>
        <w:rFonts w:hint="default"/>
      </w:rPr>
    </w:lvl>
    <w:lvl w:ilvl="1" w:tplc="E168D40C" w:tentative="1">
      <w:start w:val="1"/>
      <w:numFmt w:val="lowerLetter"/>
      <w:lvlText w:val="%2."/>
      <w:lvlJc w:val="left"/>
      <w:pPr>
        <w:ind w:left="1440" w:hanging="360"/>
      </w:pPr>
    </w:lvl>
    <w:lvl w:ilvl="2" w:tplc="60F8A218" w:tentative="1">
      <w:start w:val="1"/>
      <w:numFmt w:val="lowerRoman"/>
      <w:lvlText w:val="%3."/>
      <w:lvlJc w:val="right"/>
      <w:pPr>
        <w:ind w:left="2160" w:hanging="180"/>
      </w:pPr>
    </w:lvl>
    <w:lvl w:ilvl="3" w:tplc="E2B8551A" w:tentative="1">
      <w:start w:val="1"/>
      <w:numFmt w:val="decimal"/>
      <w:lvlText w:val="%4."/>
      <w:lvlJc w:val="left"/>
      <w:pPr>
        <w:ind w:left="2880" w:hanging="360"/>
      </w:pPr>
    </w:lvl>
    <w:lvl w:ilvl="4" w:tplc="1E92483C" w:tentative="1">
      <w:start w:val="1"/>
      <w:numFmt w:val="lowerLetter"/>
      <w:lvlText w:val="%5."/>
      <w:lvlJc w:val="left"/>
      <w:pPr>
        <w:ind w:left="3600" w:hanging="360"/>
      </w:pPr>
    </w:lvl>
    <w:lvl w:ilvl="5" w:tplc="92AA18E6" w:tentative="1">
      <w:start w:val="1"/>
      <w:numFmt w:val="lowerRoman"/>
      <w:lvlText w:val="%6."/>
      <w:lvlJc w:val="right"/>
      <w:pPr>
        <w:ind w:left="4320" w:hanging="180"/>
      </w:pPr>
    </w:lvl>
    <w:lvl w:ilvl="6" w:tplc="8BD60B94" w:tentative="1">
      <w:start w:val="1"/>
      <w:numFmt w:val="decimal"/>
      <w:lvlText w:val="%7."/>
      <w:lvlJc w:val="left"/>
      <w:pPr>
        <w:ind w:left="5040" w:hanging="360"/>
      </w:pPr>
    </w:lvl>
    <w:lvl w:ilvl="7" w:tplc="6CA688F2" w:tentative="1">
      <w:start w:val="1"/>
      <w:numFmt w:val="lowerLetter"/>
      <w:lvlText w:val="%8."/>
      <w:lvlJc w:val="left"/>
      <w:pPr>
        <w:ind w:left="5760" w:hanging="360"/>
      </w:pPr>
    </w:lvl>
    <w:lvl w:ilvl="8" w:tplc="3D4AB062" w:tentative="1">
      <w:start w:val="1"/>
      <w:numFmt w:val="lowerRoman"/>
      <w:lvlText w:val="%9."/>
      <w:lvlJc w:val="right"/>
      <w:pPr>
        <w:ind w:left="6480" w:hanging="180"/>
      </w:pPr>
    </w:lvl>
  </w:abstractNum>
  <w:abstractNum w:abstractNumId="2">
    <w:nsid w:val="66DC5B43"/>
    <w:multiLevelType w:val="hybridMultilevel"/>
    <w:tmpl w:val="9768F29A"/>
    <w:lvl w:ilvl="0" w:tplc="EB9A0054">
      <w:start w:val="1"/>
      <w:numFmt w:val="decimal"/>
      <w:lvlText w:val="%1."/>
      <w:lvlJc w:val="left"/>
      <w:pPr>
        <w:ind w:left="720" w:hanging="360"/>
      </w:pPr>
      <w:rPr>
        <w:rFonts w:cs="Times New Roman"/>
      </w:rPr>
    </w:lvl>
    <w:lvl w:ilvl="1" w:tplc="D68C4AAA">
      <w:start w:val="1"/>
      <w:numFmt w:val="lowerLetter"/>
      <w:lvlText w:val="%2."/>
      <w:lvlJc w:val="left"/>
      <w:pPr>
        <w:ind w:left="1440" w:hanging="360"/>
      </w:pPr>
      <w:rPr>
        <w:rFonts w:cs="Times New Roman"/>
      </w:rPr>
    </w:lvl>
    <w:lvl w:ilvl="2" w:tplc="A9A00A52">
      <w:start w:val="1"/>
      <w:numFmt w:val="lowerRoman"/>
      <w:lvlText w:val="%3."/>
      <w:lvlJc w:val="right"/>
      <w:pPr>
        <w:ind w:left="2160" w:hanging="180"/>
      </w:pPr>
      <w:rPr>
        <w:rFonts w:cs="Times New Roman"/>
      </w:rPr>
    </w:lvl>
    <w:lvl w:ilvl="3" w:tplc="5B80BE52">
      <w:start w:val="1"/>
      <w:numFmt w:val="decimal"/>
      <w:lvlText w:val="%4."/>
      <w:lvlJc w:val="left"/>
      <w:pPr>
        <w:ind w:left="2880" w:hanging="360"/>
      </w:pPr>
      <w:rPr>
        <w:rFonts w:cs="Times New Roman"/>
      </w:rPr>
    </w:lvl>
    <w:lvl w:ilvl="4" w:tplc="F48C3AF0">
      <w:start w:val="1"/>
      <w:numFmt w:val="lowerLetter"/>
      <w:lvlText w:val="%5."/>
      <w:lvlJc w:val="left"/>
      <w:pPr>
        <w:ind w:left="3600" w:hanging="360"/>
      </w:pPr>
      <w:rPr>
        <w:rFonts w:cs="Times New Roman"/>
      </w:rPr>
    </w:lvl>
    <w:lvl w:ilvl="5" w:tplc="9176C964">
      <w:start w:val="1"/>
      <w:numFmt w:val="lowerRoman"/>
      <w:lvlText w:val="%6."/>
      <w:lvlJc w:val="right"/>
      <w:pPr>
        <w:ind w:left="4320" w:hanging="180"/>
      </w:pPr>
      <w:rPr>
        <w:rFonts w:cs="Times New Roman"/>
      </w:rPr>
    </w:lvl>
    <w:lvl w:ilvl="6" w:tplc="786E9BC0">
      <w:start w:val="1"/>
      <w:numFmt w:val="decimal"/>
      <w:lvlText w:val="%7."/>
      <w:lvlJc w:val="left"/>
      <w:pPr>
        <w:ind w:left="5040" w:hanging="360"/>
      </w:pPr>
      <w:rPr>
        <w:rFonts w:cs="Times New Roman"/>
      </w:rPr>
    </w:lvl>
    <w:lvl w:ilvl="7" w:tplc="83F02016">
      <w:start w:val="1"/>
      <w:numFmt w:val="lowerLetter"/>
      <w:lvlText w:val="%8."/>
      <w:lvlJc w:val="left"/>
      <w:pPr>
        <w:ind w:left="5760" w:hanging="360"/>
      </w:pPr>
      <w:rPr>
        <w:rFonts w:cs="Times New Roman"/>
      </w:rPr>
    </w:lvl>
    <w:lvl w:ilvl="8" w:tplc="57CC9012">
      <w:start w:val="1"/>
      <w:numFmt w:val="lowerRoman"/>
      <w:lvlText w:val="%9."/>
      <w:lvlJc w:val="right"/>
      <w:pPr>
        <w:ind w:left="6480"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616D54"/>
    <w:rsid w:val="00616D54"/>
    <w:rsid w:val="00E77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6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B62"/>
    <w:pPr>
      <w:ind w:left="720"/>
      <w:contextualSpacing/>
    </w:pPr>
    <w:rPr>
      <w:rFonts w:eastAsia="Calibri"/>
    </w:rPr>
  </w:style>
  <w:style w:type="paragraph" w:styleId="BalloonText">
    <w:name w:val="Balloon Text"/>
    <w:basedOn w:val="Normal"/>
    <w:link w:val="BalloonTextChar"/>
    <w:uiPriority w:val="99"/>
    <w:semiHidden/>
    <w:unhideWhenUsed/>
    <w:rsid w:val="004D103D"/>
    <w:rPr>
      <w:rFonts w:ascii="Tahoma" w:hAnsi="Tahoma" w:cs="Tahoma"/>
      <w:sz w:val="16"/>
      <w:szCs w:val="16"/>
    </w:rPr>
  </w:style>
  <w:style w:type="character" w:customStyle="1" w:styleId="BalloonTextChar">
    <w:name w:val="Balloon Text Char"/>
    <w:link w:val="BalloonText"/>
    <w:uiPriority w:val="99"/>
    <w:semiHidden/>
    <w:rsid w:val="004D103D"/>
    <w:rPr>
      <w:rFonts w:ascii="Tahoma" w:eastAsia="Times New Roman" w:hAnsi="Tahoma" w:cs="Tahoma"/>
      <w:sz w:val="16"/>
      <w:szCs w:val="16"/>
    </w:rPr>
  </w:style>
  <w:style w:type="paragraph" w:styleId="Revision">
    <w:name w:val="Revision"/>
    <w:hidden/>
    <w:uiPriority w:val="99"/>
    <w:semiHidden/>
    <w:rsid w:val="004D103D"/>
    <w:rPr>
      <w:rFonts w:ascii="Times New Roman" w:eastAsia="Times New Roman" w:hAnsi="Times New Roman"/>
      <w:sz w:val="24"/>
      <w:szCs w:val="24"/>
    </w:rPr>
  </w:style>
  <w:style w:type="character" w:styleId="CommentReference">
    <w:name w:val="annotation reference"/>
    <w:uiPriority w:val="99"/>
    <w:semiHidden/>
    <w:unhideWhenUsed/>
    <w:rsid w:val="00DF43DC"/>
    <w:rPr>
      <w:sz w:val="16"/>
      <w:szCs w:val="16"/>
    </w:rPr>
  </w:style>
  <w:style w:type="paragraph" w:styleId="CommentText">
    <w:name w:val="annotation text"/>
    <w:basedOn w:val="Normal"/>
    <w:link w:val="CommentTextChar"/>
    <w:uiPriority w:val="99"/>
    <w:semiHidden/>
    <w:unhideWhenUsed/>
    <w:rsid w:val="00DF43DC"/>
    <w:rPr>
      <w:sz w:val="20"/>
      <w:szCs w:val="20"/>
    </w:rPr>
  </w:style>
  <w:style w:type="character" w:customStyle="1" w:styleId="CommentTextChar">
    <w:name w:val="Comment Text Char"/>
    <w:link w:val="CommentText"/>
    <w:uiPriority w:val="99"/>
    <w:semiHidden/>
    <w:rsid w:val="00DF43D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F43DC"/>
    <w:rPr>
      <w:b/>
      <w:bCs/>
    </w:rPr>
  </w:style>
  <w:style w:type="character" w:customStyle="1" w:styleId="CommentSubjectChar">
    <w:name w:val="Comment Subject Char"/>
    <w:link w:val="CommentSubject"/>
    <w:uiPriority w:val="99"/>
    <w:semiHidden/>
    <w:rsid w:val="00DF43DC"/>
    <w:rPr>
      <w:rFonts w:ascii="Times New Roman" w:eastAsia="Times New Roman" w:hAnsi="Times New Roman"/>
      <w:b/>
      <w:bCs/>
    </w:rPr>
  </w:style>
  <w:style w:type="paragraph" w:styleId="Header">
    <w:name w:val="header"/>
    <w:basedOn w:val="Normal"/>
    <w:link w:val="HeaderChar"/>
    <w:uiPriority w:val="99"/>
    <w:unhideWhenUsed/>
    <w:rsid w:val="00BD071C"/>
    <w:pPr>
      <w:tabs>
        <w:tab w:val="center" w:pos="4680"/>
        <w:tab w:val="right" w:pos="9360"/>
      </w:tabs>
    </w:pPr>
  </w:style>
  <w:style w:type="character" w:customStyle="1" w:styleId="HeaderChar">
    <w:name w:val="Header Char"/>
    <w:basedOn w:val="DefaultParagraphFont"/>
    <w:link w:val="Header"/>
    <w:uiPriority w:val="99"/>
    <w:rsid w:val="00BD071C"/>
    <w:rPr>
      <w:rFonts w:ascii="Times New Roman" w:eastAsia="Times New Roman" w:hAnsi="Times New Roman"/>
      <w:sz w:val="24"/>
      <w:szCs w:val="24"/>
    </w:rPr>
  </w:style>
  <w:style w:type="paragraph" w:styleId="Footer">
    <w:name w:val="footer"/>
    <w:basedOn w:val="Normal"/>
    <w:link w:val="FooterChar"/>
    <w:uiPriority w:val="99"/>
    <w:unhideWhenUsed/>
    <w:rsid w:val="00BD071C"/>
    <w:pPr>
      <w:tabs>
        <w:tab w:val="center" w:pos="4680"/>
        <w:tab w:val="right" w:pos="9360"/>
      </w:tabs>
    </w:pPr>
  </w:style>
  <w:style w:type="character" w:customStyle="1" w:styleId="FooterChar">
    <w:name w:val="Footer Char"/>
    <w:basedOn w:val="DefaultParagraphFont"/>
    <w:link w:val="Footer"/>
    <w:uiPriority w:val="99"/>
    <w:rsid w:val="00BD071C"/>
    <w:rPr>
      <w:rFonts w:ascii="Times New Roman" w:eastAsia="Times New Roman" w:hAnsi="Times New Roman"/>
      <w:sz w:val="24"/>
      <w:szCs w:val="24"/>
    </w:rPr>
  </w:style>
  <w:style w:type="paragraph" w:styleId="NoSpacing">
    <w:name w:val="No Spacing"/>
    <w:uiPriority w:val="1"/>
    <w:qFormat/>
    <w:rsid w:val="00594BB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2192</Words>
  <Characters>12501</Characters>
  <Application>Microsoft Office Word</Application>
  <DocSecurity>4</DocSecurity>
  <Lines>104</Lines>
  <Paragraphs>29</Paragraphs>
  <ScaleCrop>false</ScaleCrop>
  <Company/>
  <LinksUpToDate>false</LinksUpToDate>
  <CharactersWithSpaces>14664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2017-12-20T21:00:00Z</dcterms:created>
  <dcterms:modified xsi:type="dcterms:W3CDTF">2017-12-20T21:00:00Z</dcterms:modified>
</cp:coreProperties>
</file>