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2A053F">
      <w:pPr>
        <w:pStyle w:val="Heading2"/>
        <w:pageBreakBefore w:val="0"/>
      </w:pPr>
      <w:bookmarkStart w:id="0" w:name="_Toc261445997"/>
      <w:bookmarkStart w:id="1" w:name="_GoBack"/>
      <w:bookmarkEnd w:id="1"/>
      <w:r>
        <w:t>2.5</w:t>
      </w:r>
      <w:r>
        <w:tab/>
        <w:t>Definitions - E</w:t>
      </w:r>
      <w:bookmarkEnd w:id="0"/>
    </w:p>
    <w:p w:rsidR="00BD4BAF" w:rsidRDefault="002A053F">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2A053F">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2A053F">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2A053F">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2A053F">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2A053F">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2A053F">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2A053F">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2A053F">
      <w:pPr>
        <w:pStyle w:val="Definition"/>
        <w:rPr>
          <w:strike/>
        </w:rPr>
      </w:pPr>
      <w:r>
        <w:rPr>
          <w:rFonts w:ascii="Times New Roman Bold" w:hAnsi="Times New Roman Bold"/>
          <w:b/>
        </w:rPr>
        <w:t xml:space="preserve">Energy (“MWh”): </w:t>
      </w:r>
      <w:bookmarkStart w:id="4" w:name="_DV_C45"/>
      <w:r>
        <w:t>A quantity of electricity that is bid</w:t>
      </w:r>
      <w:r>
        <w:t>, produced, purchased, consumed, sold, or transmitted over a period of time, and measured or calculated in megawatt hours.</w:t>
      </w:r>
      <w:bookmarkEnd w:id="4"/>
    </w:p>
    <w:p w:rsidR="00BD4BAF" w:rsidRDefault="002A053F">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2A053F">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6"/>
      <w:r>
        <w:t xml:space="preserve">  Energy Limited Resources must register their Energy limiting characteristics with, and justify them to, the ISO </w:t>
      </w:r>
      <w:r>
        <w:rPr>
          <w:bCs/>
          <w:iCs/>
        </w:rPr>
        <w:t>consistent</w:t>
      </w:r>
      <w:r>
        <w:t xml:space="preserve"> with ISO Procedures.</w:t>
      </w:r>
    </w:p>
    <w:p w:rsidR="00BD4BAF" w:rsidRDefault="002A053F">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2A053F">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2A053F">
      <w:pPr>
        <w:pStyle w:val="Definition"/>
        <w:rPr>
          <w:bCs/>
        </w:rPr>
      </w:pPr>
      <w:r>
        <w:rPr>
          <w:b/>
          <w:bCs/>
        </w:rPr>
        <w:t xml:space="preserve">ETA Agent: </w:t>
      </w:r>
      <w:r>
        <w:rPr>
          <w:snapToGrid w:val="0"/>
        </w:rPr>
        <w:t>As defined in the ISO OATT</w:t>
      </w:r>
      <w:r>
        <w:rPr>
          <w:bCs/>
        </w:rPr>
        <w:t>.</w:t>
      </w:r>
    </w:p>
    <w:p w:rsidR="00BD4BAF" w:rsidRDefault="002A053F">
      <w:pPr>
        <w:pStyle w:val="Definition"/>
      </w:pPr>
      <w:r>
        <w:rPr>
          <w:b/>
          <w:bCs/>
        </w:rPr>
        <w:t>ETCNL TCC:</w:t>
      </w:r>
      <w:r>
        <w:t xml:space="preserve"> </w:t>
      </w:r>
      <w:r>
        <w:rPr>
          <w:snapToGrid w:val="0"/>
        </w:rPr>
        <w:t>As defined in the ISO OATT</w:t>
      </w:r>
      <w:r>
        <w:t>.</w:t>
      </w:r>
    </w:p>
    <w:p w:rsidR="00BD4BAF" w:rsidRDefault="002A053F">
      <w:pPr>
        <w:pStyle w:val="Definition"/>
        <w:rPr>
          <w:iCs/>
        </w:rPr>
      </w:pPr>
      <w:r>
        <w:rPr>
          <w:b/>
          <w:bCs/>
          <w:iCs/>
        </w:rPr>
        <w:t xml:space="preserve">Excess Amount: </w:t>
      </w:r>
      <w:r>
        <w:rPr>
          <w:iCs/>
        </w:rPr>
        <w:t>The difference, if any, between the dollar amou</w:t>
      </w:r>
      <w:r>
        <w:rPr>
          <w:iCs/>
        </w:rPr>
        <w:t>nts charged to purchasers of Unforced Capacity in an ISO–administered Unforced Capacity auction and the dollar amounts paid to sellers of Unforced Capacity in that ISO–administered Installed Capacity auction.</w:t>
      </w:r>
    </w:p>
    <w:p w:rsidR="00BD4BAF" w:rsidRDefault="002A053F">
      <w:pPr>
        <w:pStyle w:val="Definition"/>
      </w:pPr>
      <w:r>
        <w:rPr>
          <w:b/>
          <w:bCs/>
        </w:rPr>
        <w:t xml:space="preserve">Excess Congestion Rents: </w:t>
      </w:r>
      <w:r>
        <w:rPr>
          <w:snapToGrid w:val="0"/>
        </w:rPr>
        <w:t xml:space="preserve">As defined in the ISO </w:t>
      </w:r>
      <w:r>
        <w:rPr>
          <w:snapToGrid w:val="0"/>
        </w:rPr>
        <w:t>OATT</w:t>
      </w:r>
      <w:r>
        <w:t>.</w:t>
      </w:r>
    </w:p>
    <w:p w:rsidR="00BD4BAF" w:rsidRDefault="002A053F">
      <w:pPr>
        <w:pStyle w:val="Definition"/>
      </w:pPr>
      <w:r>
        <w:rPr>
          <w:b/>
        </w:rPr>
        <w:t xml:space="preserve">Existing Transmission Capacity for Native Load ("ETCNL"): </w:t>
      </w:r>
      <w:r>
        <w:rPr>
          <w:snapToGrid w:val="0"/>
        </w:rPr>
        <w:t>As defined in the ISO OATT</w:t>
      </w:r>
      <w:r>
        <w:t>.</w:t>
      </w:r>
    </w:p>
    <w:p w:rsidR="00DE48FD" w:rsidRDefault="002A053F">
      <w:pPr>
        <w:pStyle w:val="Definition"/>
      </w:pPr>
      <w:r>
        <w:rPr>
          <w:b/>
          <w:bCs/>
        </w:rPr>
        <w:t>Existing Transmission Agreement (“ETA”)</w:t>
      </w:r>
      <w:r>
        <w:t xml:space="preserve">: </w:t>
      </w:r>
      <w:r>
        <w:rPr>
          <w:snapToGrid w:val="0"/>
        </w:rPr>
        <w:t>As defined in the ISO OATT</w:t>
      </w:r>
      <w:r>
        <w:t>.</w:t>
      </w:r>
    </w:p>
    <w:p w:rsidR="001754CE" w:rsidRDefault="002A053F">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w:t>
      </w:r>
      <w:r w:rsidRPr="00B95B91">
        <w:t>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w:t>
      </w:r>
      <w:r w:rsidRPr="00B95B91">
        <w:t>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w:t>
      </w:r>
      <w:r w:rsidRPr="00B95B91">
        <w:t xml:space="preserve">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deemed</w:t>
      </w:r>
      <w:r w:rsidRPr="00B95B91">
        <w:t xml:space="preserve"> voluntary</w:t>
      </w:r>
      <w:r>
        <w:t>.</w:t>
      </w:r>
      <w:r>
        <w:t xml:space="preserve"> </w:t>
      </w:r>
    </w:p>
    <w:p w:rsidR="00BD4BAF" w:rsidRDefault="002A053F">
      <w:pPr>
        <w:pStyle w:val="Definition"/>
      </w:pPr>
      <w:r>
        <w:rPr>
          <w:b/>
          <w:bCs/>
        </w:rPr>
        <w:lastRenderedPageBreak/>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2A053F">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2A053F">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2A053F"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2A053F">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D4BAF" w:rsidRDefault="002A053F" w:rsidP="00BD4BAF">
      <w:pPr>
        <w:pStyle w:val="Definition"/>
      </w:pPr>
      <w:r>
        <w:rPr>
          <w:b/>
        </w:rPr>
        <w:t>External Transaction Component</w:t>
      </w:r>
      <w:r>
        <w:t>:  A component of the Operating Requirement, calculated in accordanc</w:t>
      </w:r>
      <w:r>
        <w:t>e with Section 26.4.2 of Attachment K to this Services Tariff.</w:t>
      </w:r>
    </w:p>
    <w:p w:rsidR="00BD4BAF" w:rsidRDefault="002A053F">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w:t>
      </w:r>
      <w:r>
        <w:t xml:space="preserve"> outside the NYCA (</w:t>
      </w:r>
      <w:r>
        <w:rPr>
          <w:u w:val="single"/>
        </w:rPr>
        <w:t>i.e.</w:t>
      </w:r>
      <w:r>
        <w:t>, Exports, Imports or Wheels Through).</w:t>
      </w:r>
    </w:p>
    <w:p w:rsidR="00BD4BAF" w:rsidRDefault="002A053F">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53F">
      <w:r>
        <w:separator/>
      </w:r>
    </w:p>
  </w:endnote>
  <w:endnote w:type="continuationSeparator" w:id="0">
    <w:p w:rsidR="00000000" w:rsidRDefault="002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jc w:val="right"/>
      <w:rPr>
        <w:rFonts w:ascii="Arial" w:eastAsia="Arial" w:hAnsi="Arial" w:cs="Arial"/>
        <w:color w:val="000000"/>
        <w:sz w:val="16"/>
      </w:rPr>
    </w:pPr>
    <w:r>
      <w:rPr>
        <w:rFonts w:ascii="Arial" w:eastAsia="Arial" w:hAnsi="Arial" w:cs="Arial"/>
        <w:color w:val="000000"/>
        <w:sz w:val="16"/>
      </w:rPr>
      <w:t>Effective Date: 8/1/2017 - Docket #: ER17-1167</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53F">
      <w:r>
        <w:separator/>
      </w:r>
    </w:p>
  </w:footnote>
  <w:footnote w:type="continuationSeparator" w:id="0">
    <w:p w:rsidR="00000000" w:rsidRDefault="002A0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10" w:rsidRDefault="002A05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21474FC">
      <w:start w:val="1"/>
      <w:numFmt w:val="bullet"/>
      <w:pStyle w:val="Bulletpara"/>
      <w:lvlText w:val=""/>
      <w:lvlJc w:val="left"/>
      <w:pPr>
        <w:tabs>
          <w:tab w:val="num" w:pos="720"/>
        </w:tabs>
        <w:ind w:left="720" w:hanging="360"/>
      </w:pPr>
      <w:rPr>
        <w:rFonts w:ascii="Symbol" w:hAnsi="Symbol" w:hint="default"/>
      </w:rPr>
    </w:lvl>
    <w:lvl w:ilvl="1" w:tplc="7ECCFF3C" w:tentative="1">
      <w:start w:val="1"/>
      <w:numFmt w:val="bullet"/>
      <w:lvlText w:val="o"/>
      <w:lvlJc w:val="left"/>
      <w:pPr>
        <w:tabs>
          <w:tab w:val="num" w:pos="1440"/>
        </w:tabs>
        <w:ind w:left="1440" w:hanging="360"/>
      </w:pPr>
      <w:rPr>
        <w:rFonts w:ascii="Courier New" w:hAnsi="Courier New" w:hint="default"/>
      </w:rPr>
    </w:lvl>
    <w:lvl w:ilvl="2" w:tplc="3C0C1A46" w:tentative="1">
      <w:start w:val="1"/>
      <w:numFmt w:val="bullet"/>
      <w:lvlText w:val=""/>
      <w:lvlJc w:val="left"/>
      <w:pPr>
        <w:tabs>
          <w:tab w:val="num" w:pos="2160"/>
        </w:tabs>
        <w:ind w:left="2160" w:hanging="360"/>
      </w:pPr>
      <w:rPr>
        <w:rFonts w:ascii="Wingdings" w:hAnsi="Wingdings" w:hint="default"/>
      </w:rPr>
    </w:lvl>
    <w:lvl w:ilvl="3" w:tplc="34980506" w:tentative="1">
      <w:start w:val="1"/>
      <w:numFmt w:val="bullet"/>
      <w:lvlText w:val=""/>
      <w:lvlJc w:val="left"/>
      <w:pPr>
        <w:tabs>
          <w:tab w:val="num" w:pos="2880"/>
        </w:tabs>
        <w:ind w:left="2880" w:hanging="360"/>
      </w:pPr>
      <w:rPr>
        <w:rFonts w:ascii="Symbol" w:hAnsi="Symbol" w:hint="default"/>
      </w:rPr>
    </w:lvl>
    <w:lvl w:ilvl="4" w:tplc="375C5294" w:tentative="1">
      <w:start w:val="1"/>
      <w:numFmt w:val="bullet"/>
      <w:lvlText w:val="o"/>
      <w:lvlJc w:val="left"/>
      <w:pPr>
        <w:tabs>
          <w:tab w:val="num" w:pos="3600"/>
        </w:tabs>
        <w:ind w:left="3600" w:hanging="360"/>
      </w:pPr>
      <w:rPr>
        <w:rFonts w:ascii="Courier New" w:hAnsi="Courier New" w:hint="default"/>
      </w:rPr>
    </w:lvl>
    <w:lvl w:ilvl="5" w:tplc="4A343912" w:tentative="1">
      <w:start w:val="1"/>
      <w:numFmt w:val="bullet"/>
      <w:lvlText w:val=""/>
      <w:lvlJc w:val="left"/>
      <w:pPr>
        <w:tabs>
          <w:tab w:val="num" w:pos="4320"/>
        </w:tabs>
        <w:ind w:left="4320" w:hanging="360"/>
      </w:pPr>
      <w:rPr>
        <w:rFonts w:ascii="Wingdings" w:hAnsi="Wingdings" w:hint="default"/>
      </w:rPr>
    </w:lvl>
    <w:lvl w:ilvl="6" w:tplc="C35659B4" w:tentative="1">
      <w:start w:val="1"/>
      <w:numFmt w:val="bullet"/>
      <w:lvlText w:val=""/>
      <w:lvlJc w:val="left"/>
      <w:pPr>
        <w:tabs>
          <w:tab w:val="num" w:pos="5040"/>
        </w:tabs>
        <w:ind w:left="5040" w:hanging="360"/>
      </w:pPr>
      <w:rPr>
        <w:rFonts w:ascii="Symbol" w:hAnsi="Symbol" w:hint="default"/>
      </w:rPr>
    </w:lvl>
    <w:lvl w:ilvl="7" w:tplc="D6367554" w:tentative="1">
      <w:start w:val="1"/>
      <w:numFmt w:val="bullet"/>
      <w:lvlText w:val="o"/>
      <w:lvlJc w:val="left"/>
      <w:pPr>
        <w:tabs>
          <w:tab w:val="num" w:pos="5760"/>
        </w:tabs>
        <w:ind w:left="5760" w:hanging="360"/>
      </w:pPr>
      <w:rPr>
        <w:rFonts w:ascii="Courier New" w:hAnsi="Courier New" w:hint="default"/>
      </w:rPr>
    </w:lvl>
    <w:lvl w:ilvl="8" w:tplc="8CFC3A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23310"/>
    <w:rsid w:val="002A053F"/>
    <w:rsid w:val="00C233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