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214AEE">
      <w:pPr>
        <w:pStyle w:val="Heading2"/>
      </w:pPr>
      <w:bookmarkStart w:id="0" w:name="_Toc261446011"/>
      <w:bookmarkStart w:id="1" w:name="_GoBack"/>
      <w:bookmarkEnd w:id="1"/>
      <w:r>
        <w:t>2.19</w:t>
      </w:r>
      <w:r>
        <w:tab/>
        <w:t>Definitions - S</w:t>
      </w:r>
      <w:bookmarkEnd w:id="0"/>
    </w:p>
    <w:p w:rsidR="009A716B" w:rsidRDefault="00214AEE">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214AEE"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214AEE">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214AEE">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214AEE">
      <w:pPr>
        <w:pStyle w:val="Definition"/>
      </w:pPr>
      <w:r>
        <w:rPr>
          <w:b/>
        </w:rPr>
        <w:t>Scheduled Energy Injections:</w:t>
      </w:r>
      <w:r>
        <w:t xml:space="preserve"> As defined in the ISO OATT.</w:t>
      </w:r>
    </w:p>
    <w:p w:rsidR="009A716B" w:rsidRDefault="00214AEE">
      <w:pPr>
        <w:pStyle w:val="Definition"/>
      </w:pPr>
      <w:r>
        <w:rPr>
          <w:b/>
        </w:rPr>
        <w:t>Scheduled Energy Withdrawals</w:t>
      </w:r>
      <w:r>
        <w:t>: As defined in the ISO OATT.</w:t>
      </w:r>
    </w:p>
    <w:p w:rsidR="009A716B" w:rsidRDefault="00214AEE">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214AEE">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214AEE">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214AEE">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214AEE">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214AEE">
      <w:pPr>
        <w:pStyle w:val="Definition"/>
      </w:pPr>
      <w:r>
        <w:rPr>
          <w:b/>
        </w:rPr>
        <w:t>SCUC</w:t>
      </w:r>
      <w:r>
        <w:t>: Security Constrained Unit Commitment, described in Section 4.2.4 of this ISO Services Tariff.</w:t>
      </w:r>
    </w:p>
    <w:p w:rsidR="009A716B" w:rsidRDefault="00214AEE">
      <w:pPr>
        <w:pStyle w:val="Definition"/>
      </w:pPr>
      <w:r>
        <w:rPr>
          <w:b/>
        </w:rPr>
        <w:t>Secondary</w:t>
      </w:r>
      <w:r>
        <w:rPr>
          <w:b/>
          <w:bCs/>
        </w:rPr>
        <w:t xml:space="preserve"> Holder</w:t>
      </w:r>
      <w:r>
        <w:t xml:space="preserve">: </w:t>
      </w:r>
      <w:r>
        <w:t xml:space="preserve">As defined in the ISO </w:t>
      </w:r>
      <w:r>
        <w:t>OATT</w:t>
      </w:r>
      <w:r>
        <w:t>.</w:t>
      </w:r>
    </w:p>
    <w:p w:rsidR="009A716B" w:rsidRDefault="00214AEE">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214AEE">
      <w:pPr>
        <w:pStyle w:val="Definition"/>
        <w:rPr>
          <w:bCs/>
        </w:rPr>
      </w:pPr>
      <w:r>
        <w:rPr>
          <w:b/>
        </w:rPr>
        <w:t>Secondary</w:t>
      </w:r>
      <w:r>
        <w:rPr>
          <w:b/>
          <w:bCs/>
        </w:rPr>
        <w:t xml:space="preserve"> Market</w:t>
      </w:r>
      <w:r>
        <w:t xml:space="preserve">: </w:t>
      </w:r>
      <w:r>
        <w:t>As defined in the ISO OATT</w:t>
      </w:r>
      <w:r>
        <w:rPr>
          <w:bCs/>
        </w:rPr>
        <w:t>.</w:t>
      </w:r>
    </w:p>
    <w:p w:rsidR="009A716B" w:rsidRDefault="00214AEE">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214AEE">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214AEE">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9A716B" w:rsidRDefault="00214AEE">
      <w:pPr>
        <w:pStyle w:val="Definition"/>
      </w:pPr>
      <w:r>
        <w:rPr>
          <w:b/>
        </w:rPr>
        <w:t>Self</w:t>
      </w:r>
      <w:r>
        <w:rPr>
          <w:b/>
          <w:bCs/>
        </w:rPr>
        <w:noBreakHyphen/>
        <w:t>Supply</w:t>
      </w:r>
      <w:r>
        <w:t xml:space="preserve">: The provision of certain Ancillary Services, or the </w:t>
      </w:r>
      <w:r>
        <w:t>provision of Energy to replace Marginal Losses by a Transmission Customer using either the Transmission Customer’s own Generators or generation obtained from an entity other than the ISO.</w:t>
      </w:r>
    </w:p>
    <w:p w:rsidR="009A716B" w:rsidRDefault="00214AEE">
      <w:pPr>
        <w:pStyle w:val="Definition"/>
      </w:pPr>
      <w:r>
        <w:rPr>
          <w:b/>
        </w:rPr>
        <w:t>Service</w:t>
      </w:r>
      <w:r>
        <w:rPr>
          <w:b/>
          <w:bCs/>
        </w:rPr>
        <w:t xml:space="preserve"> Agreement</w:t>
      </w:r>
      <w:r>
        <w:t>: The agreement, in the form of Attachment A to the</w:t>
      </w:r>
      <w:r>
        <w:t xml:space="preserve"> Tariff, and any amendments or supplements thereto entered into by a Customer and the ISO of service under the </w:t>
      </w:r>
      <w:r>
        <w:lastRenderedPageBreak/>
        <w:t>Tariff, or any unexecuted Service Agreement, amendments or supplements thereto, that the ISO unilaterally files with the Commission.</w:t>
      </w:r>
    </w:p>
    <w:p w:rsidR="009A716B" w:rsidRDefault="00214AEE">
      <w:pPr>
        <w:pStyle w:val="Definition"/>
      </w:pPr>
      <w:r>
        <w:rPr>
          <w:b/>
        </w:rPr>
        <w:t>Service</w:t>
      </w:r>
      <w:r>
        <w:rPr>
          <w:b/>
          <w:bCs/>
        </w:rPr>
        <w:t xml:space="preserve"> Comm</w:t>
      </w:r>
      <w:r>
        <w:rPr>
          <w:b/>
          <w:bCs/>
        </w:rPr>
        <w:t>encement Date</w:t>
      </w:r>
      <w:r>
        <w:t>: The date that the ISO begins to provide service pursuant to the terms of a Service Agreement, or in accordance with the Tariff.</w:t>
      </w:r>
    </w:p>
    <w:p w:rsidR="009A716B" w:rsidRDefault="00214AEE">
      <w:pPr>
        <w:pStyle w:val="Definition"/>
      </w:pPr>
      <w:r>
        <w:rPr>
          <w:b/>
        </w:rPr>
        <w:t>Settlement</w:t>
      </w:r>
      <w:r>
        <w:t>: The process of determining the charges to be paid to, or by, a Customer to satisfy its obligations.</w:t>
      </w:r>
    </w:p>
    <w:p w:rsidR="009A716B" w:rsidRDefault="00214AEE">
      <w:pPr>
        <w:pStyle w:val="Definition"/>
      </w:pPr>
      <w:r>
        <w:rPr>
          <w:b/>
        </w:rPr>
        <w:t>S</w:t>
      </w:r>
      <w:r>
        <w:rPr>
          <w:b/>
        </w:rPr>
        <w:t>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214AEE">
      <w:pPr>
        <w:pStyle w:val="Definition"/>
        <w:rPr>
          <w:b/>
        </w:rPr>
      </w:pPr>
      <w:r>
        <w:rPr>
          <w:b/>
        </w:rPr>
        <w:t>Shift Factor (“SF”)</w:t>
      </w:r>
      <w:r>
        <w:t xml:space="preserve">: A ratio, calculated by the ISO, that compares the </w:t>
      </w:r>
      <w:r>
        <w:t>change in power flow through a transmission facility resulting from the incremental injection and withdrawal of power on the NYS Transmission System.</w:t>
      </w:r>
    </w:p>
    <w:p w:rsidR="009A716B" w:rsidRDefault="00214AEE">
      <w:pPr>
        <w:pStyle w:val="Definition"/>
      </w:pPr>
      <w:r>
        <w:rPr>
          <w:b/>
        </w:rPr>
        <w:t>Shutdown Period</w:t>
      </w:r>
      <w:r>
        <w:t>: An ISO approved period of time immediately following a shutdown order, such as a zero bas</w:t>
      </w:r>
      <w:r>
        <w:t>e point, that has been designated by the Customer, during which unstable operation prevents the unit from accurately following its base points.</w:t>
      </w:r>
    </w:p>
    <w:p w:rsidR="009A716B" w:rsidRDefault="00214AEE">
      <w:pPr>
        <w:pStyle w:val="Definition"/>
      </w:pPr>
      <w:r>
        <w:rPr>
          <w:b/>
          <w:bCs/>
        </w:rPr>
        <w:t>Sink Price Cap Bid</w:t>
      </w:r>
      <w:r>
        <w:t xml:space="preserve">: A monotonically increasing Bid curve provided by an entity engaged in an Export, other than </w:t>
      </w:r>
      <w:r>
        <w:t>an entity submitting a CTS Interface Bid, to indicate the relevant Proxy Generator Bus LBMP at or below which that entity is willing to either purchase Energy in the LBMP Markets or, in the case of Bilateral Transactions, to accept Transmission Service, wh</w:t>
      </w:r>
      <w:r>
        <w:t>ere the MW amounts on the Bid curve represent the desired increments of Energy that the entity is willing to purchase at various price points.</w:t>
      </w:r>
    </w:p>
    <w:p w:rsidR="00273281" w:rsidRDefault="00214AEE">
      <w:pPr>
        <w:pStyle w:val="Definition"/>
      </w:pPr>
      <w:r>
        <w:rPr>
          <w:b/>
        </w:rPr>
        <w:t>Southeastern New York (</w:t>
      </w:r>
      <w:r>
        <w:rPr>
          <w:b/>
        </w:rPr>
        <w:t>“</w:t>
      </w:r>
      <w:r>
        <w:rPr>
          <w:b/>
        </w:rPr>
        <w:t>SENY</w:t>
      </w:r>
      <w:r>
        <w:rPr>
          <w:b/>
        </w:rPr>
        <w:t>”</w:t>
      </w:r>
      <w:r>
        <w:rPr>
          <w:b/>
        </w:rPr>
        <w:t>):</w:t>
      </w:r>
      <w:r>
        <w:t xml:space="preserve"> An electrical area comprised of Load Zones G, H, I, J, and K, as identified in th</w:t>
      </w:r>
      <w:r>
        <w:t>e ISO Procedures.</w:t>
      </w:r>
    </w:p>
    <w:p w:rsidR="009A716B" w:rsidRDefault="00214AEE">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214AEE">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214AEE">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214AEE">
      <w:pPr>
        <w:pStyle w:val="Definition"/>
        <w:spacing w:after="120"/>
      </w:pPr>
      <w:r>
        <w:rPr>
          <w:b/>
          <w:bCs/>
        </w:rPr>
        <w:t xml:space="preserve">Station </w:t>
      </w:r>
      <w:r>
        <w:rPr>
          <w:b/>
        </w:rPr>
        <w:t>Power</w:t>
      </w:r>
      <w:r>
        <w:t>: Station Powe</w:t>
      </w:r>
      <w:r>
        <w:t xml:space="preserve">r shall mean the Energy used by a Generator: </w:t>
      </w:r>
    </w:p>
    <w:p w:rsidR="009A716B" w:rsidRDefault="00214AEE">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214AEE">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214AEE">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214AEE">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214AEE">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214AEE">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214AEE">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214AEE">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214AEE">
      <w:pPr>
        <w:pStyle w:val="Definition"/>
      </w:pPr>
      <w:r>
        <w:rPr>
          <w:b/>
        </w:rPr>
        <w:t>Stranded Investment Recovery Charge</w:t>
      </w:r>
      <w:r>
        <w:t>: A charge established by a Transmission Owner to recover Strandable Costs.</w:t>
      </w:r>
    </w:p>
    <w:p w:rsidR="009A716B" w:rsidRDefault="00214AEE">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214AEE">
      <w:pPr>
        <w:pStyle w:val="Definition"/>
      </w:pPr>
      <w:r>
        <w:rPr>
          <w:b/>
        </w:rPr>
        <w:t>Subzone</w:t>
      </w:r>
      <w:r>
        <w:t>: That portion of a Load Zone in a Transmission Owner’s Transmission District.</w:t>
      </w:r>
    </w:p>
    <w:p w:rsidR="009A716B" w:rsidRDefault="00214AEE">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214AEE">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214AEE">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214AEE">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AEE">
      <w:r>
        <w:separator/>
      </w:r>
    </w:p>
  </w:endnote>
  <w:endnote w:type="continuationSeparator" w:id="0">
    <w:p w:rsidR="00000000" w:rsidRDefault="0021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48" w:rsidRDefault="00214AE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48" w:rsidRDefault="00214AEE">
    <w:pPr>
      <w:jc w:val="right"/>
      <w:rPr>
        <w:rFonts w:ascii="Arial" w:eastAsia="Arial" w:hAnsi="Arial" w:cs="Arial"/>
        <w:color w:val="000000"/>
        <w:sz w:val="16"/>
      </w:rPr>
    </w:pPr>
    <w:r>
      <w:rPr>
        <w:rFonts w:ascii="Arial" w:eastAsia="Arial" w:hAnsi="Arial" w:cs="Arial"/>
        <w:color w:val="000000"/>
        <w:sz w:val="16"/>
      </w:rPr>
      <w:t>Effective Date: 8/1/2017 - Docket #: ER17-116</w:t>
    </w:r>
    <w:r>
      <w:rPr>
        <w:rFonts w:ascii="Arial" w:eastAsia="Arial" w:hAnsi="Arial" w:cs="Arial"/>
        <w:color w:val="000000"/>
        <w:sz w:val="16"/>
      </w:rPr>
      <w:t xml:space="preserve">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48" w:rsidRDefault="00214AE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4AEE">
      <w:r>
        <w:separator/>
      </w:r>
    </w:p>
  </w:footnote>
  <w:footnote w:type="continuationSeparator" w:id="0">
    <w:p w:rsidR="00000000" w:rsidRDefault="00214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48" w:rsidRDefault="00214AE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w:t>
    </w:r>
    <w:r>
      <w:rPr>
        <w:rFonts w:ascii="Arial" w:eastAsia="Arial" w:hAnsi="Arial" w:cs="Arial"/>
        <w:color w:val="000000"/>
        <w:sz w:val="16"/>
      </w:rPr>
      <w:t>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48" w:rsidRDefault="00214A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48" w:rsidRDefault="00214A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AFE2542">
      <w:start w:val="1"/>
      <w:numFmt w:val="bullet"/>
      <w:pStyle w:val="Bulletpara"/>
      <w:lvlText w:val=""/>
      <w:lvlJc w:val="left"/>
      <w:pPr>
        <w:tabs>
          <w:tab w:val="num" w:pos="720"/>
        </w:tabs>
        <w:ind w:left="720" w:hanging="360"/>
      </w:pPr>
      <w:rPr>
        <w:rFonts w:ascii="Symbol" w:hAnsi="Symbol" w:hint="default"/>
      </w:rPr>
    </w:lvl>
    <w:lvl w:ilvl="1" w:tplc="A956BABC" w:tentative="1">
      <w:start w:val="1"/>
      <w:numFmt w:val="bullet"/>
      <w:lvlText w:val="o"/>
      <w:lvlJc w:val="left"/>
      <w:pPr>
        <w:tabs>
          <w:tab w:val="num" w:pos="1440"/>
        </w:tabs>
        <w:ind w:left="1440" w:hanging="360"/>
      </w:pPr>
      <w:rPr>
        <w:rFonts w:ascii="Courier New" w:hAnsi="Courier New" w:hint="default"/>
      </w:rPr>
    </w:lvl>
    <w:lvl w:ilvl="2" w:tplc="3F262040" w:tentative="1">
      <w:start w:val="1"/>
      <w:numFmt w:val="bullet"/>
      <w:lvlText w:val=""/>
      <w:lvlJc w:val="left"/>
      <w:pPr>
        <w:tabs>
          <w:tab w:val="num" w:pos="2160"/>
        </w:tabs>
        <w:ind w:left="2160" w:hanging="360"/>
      </w:pPr>
      <w:rPr>
        <w:rFonts w:ascii="Wingdings" w:hAnsi="Wingdings" w:hint="default"/>
      </w:rPr>
    </w:lvl>
    <w:lvl w:ilvl="3" w:tplc="9CE68B2A" w:tentative="1">
      <w:start w:val="1"/>
      <w:numFmt w:val="bullet"/>
      <w:lvlText w:val=""/>
      <w:lvlJc w:val="left"/>
      <w:pPr>
        <w:tabs>
          <w:tab w:val="num" w:pos="2880"/>
        </w:tabs>
        <w:ind w:left="2880" w:hanging="360"/>
      </w:pPr>
      <w:rPr>
        <w:rFonts w:ascii="Symbol" w:hAnsi="Symbol" w:hint="default"/>
      </w:rPr>
    </w:lvl>
    <w:lvl w:ilvl="4" w:tplc="541AD6E8" w:tentative="1">
      <w:start w:val="1"/>
      <w:numFmt w:val="bullet"/>
      <w:lvlText w:val="o"/>
      <w:lvlJc w:val="left"/>
      <w:pPr>
        <w:tabs>
          <w:tab w:val="num" w:pos="3600"/>
        </w:tabs>
        <w:ind w:left="3600" w:hanging="360"/>
      </w:pPr>
      <w:rPr>
        <w:rFonts w:ascii="Courier New" w:hAnsi="Courier New" w:hint="default"/>
      </w:rPr>
    </w:lvl>
    <w:lvl w:ilvl="5" w:tplc="126C1A42" w:tentative="1">
      <w:start w:val="1"/>
      <w:numFmt w:val="bullet"/>
      <w:lvlText w:val=""/>
      <w:lvlJc w:val="left"/>
      <w:pPr>
        <w:tabs>
          <w:tab w:val="num" w:pos="4320"/>
        </w:tabs>
        <w:ind w:left="4320" w:hanging="360"/>
      </w:pPr>
      <w:rPr>
        <w:rFonts w:ascii="Wingdings" w:hAnsi="Wingdings" w:hint="default"/>
      </w:rPr>
    </w:lvl>
    <w:lvl w:ilvl="6" w:tplc="DCBEF5A4" w:tentative="1">
      <w:start w:val="1"/>
      <w:numFmt w:val="bullet"/>
      <w:lvlText w:val=""/>
      <w:lvlJc w:val="left"/>
      <w:pPr>
        <w:tabs>
          <w:tab w:val="num" w:pos="5040"/>
        </w:tabs>
        <w:ind w:left="5040" w:hanging="360"/>
      </w:pPr>
      <w:rPr>
        <w:rFonts w:ascii="Symbol" w:hAnsi="Symbol" w:hint="default"/>
      </w:rPr>
    </w:lvl>
    <w:lvl w:ilvl="7" w:tplc="2E68BA7E" w:tentative="1">
      <w:start w:val="1"/>
      <w:numFmt w:val="bullet"/>
      <w:lvlText w:val="o"/>
      <w:lvlJc w:val="left"/>
      <w:pPr>
        <w:tabs>
          <w:tab w:val="num" w:pos="5760"/>
        </w:tabs>
        <w:ind w:left="5760" w:hanging="360"/>
      </w:pPr>
      <w:rPr>
        <w:rFonts w:ascii="Courier New" w:hAnsi="Courier New" w:hint="default"/>
      </w:rPr>
    </w:lvl>
    <w:lvl w:ilvl="8" w:tplc="0A7EE9F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A74F48"/>
    <w:rsid w:val="00214AEE"/>
    <w:rsid w:val="00A7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5C8DD-7A3B-4992-A472-8ED45AB2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2107</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