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EA" w:rsidRDefault="0070506C">
      <w:pPr>
        <w:pStyle w:val="Heading2"/>
      </w:pPr>
      <w:bookmarkStart w:id="0" w:name="_Toc261446010"/>
      <w:bookmarkStart w:id="1" w:name="_GoBack"/>
      <w:bookmarkEnd w:id="1"/>
      <w:r>
        <w:t>2.18</w:t>
      </w:r>
      <w:r>
        <w:tab/>
        <w:t>Definitions - R</w:t>
      </w:r>
      <w:bookmarkEnd w:id="0"/>
    </w:p>
    <w:p w:rsidR="00CE15EA" w:rsidRDefault="0070506C">
      <w:pPr>
        <w:pStyle w:val="Definition"/>
        <w:rPr>
          <w:u w:val="double"/>
        </w:rPr>
      </w:pPr>
      <w:r>
        <w:rPr>
          <w:b/>
        </w:rPr>
        <w:t>Ramp Capacity</w:t>
      </w:r>
      <w:r>
        <w:t xml:space="preserve">: 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70506C">
      <w:pPr>
        <w:pStyle w:val="Definition"/>
      </w:pPr>
      <w:r>
        <w:rPr>
          <w:b/>
        </w:rPr>
        <w:t>RCRR TCC:</w:t>
      </w:r>
      <w:r>
        <w:t>: A zone-to-zone TCC created when a Transmission Owner with a RCRR exercises its right to convert the RCRR into a TCC pursuant to Section 19.5.4 of Attachme</w:t>
      </w:r>
      <w:r>
        <w:t>nt M of the ISO OATT.</w:t>
      </w:r>
    </w:p>
    <w:p w:rsidR="00CE15EA" w:rsidRDefault="0070506C">
      <w:pPr>
        <w:pStyle w:val="Definition"/>
      </w:pPr>
      <w:r>
        <w:rPr>
          <w:b/>
        </w:rPr>
        <w:t>Reactive Power (MVAr)</w:t>
      </w:r>
      <w:r>
        <w:t>: The product of voltage and the out</w:t>
      </w:r>
      <w:r>
        <w:noBreakHyphen/>
        <w:t>of</w:t>
      </w:r>
      <w:r>
        <w:noBreakHyphen/>
        <w:t>phase component of alternating current. Reactive Power, usually measured in MVAr, is produced by capacitors (synchronous condensers), Qualified Non-Generator Voltage Support</w:t>
      </w:r>
      <w:r>
        <w:t xml:space="preserve"> Resources, and over</w:t>
      </w:r>
      <w:r>
        <w:noBreakHyphen/>
        <w:t>excited Generators and absorbed by reactors or under</w:t>
      </w:r>
      <w:r>
        <w:noBreakHyphen/>
        <w:t>excited Generators and other inductive devices including the inductive portion of Loads.</w:t>
      </w:r>
    </w:p>
    <w:p w:rsidR="00CE15EA" w:rsidRDefault="0070506C">
      <w:pPr>
        <w:pStyle w:val="Definition"/>
      </w:pPr>
      <w:r>
        <w:rPr>
          <w:b/>
        </w:rPr>
        <w:t>Real Power Losses</w:t>
      </w:r>
      <w:r>
        <w:t>: The loss of Energy, resulting from transporting power over the NYS Transmi</w:t>
      </w:r>
      <w:r>
        <w:t>ssion System, between the Point of Injection and Point of Withdrawal of that Energy.</w:t>
      </w:r>
    </w:p>
    <w:p w:rsidR="00CE15EA" w:rsidRDefault="0070506C">
      <w:pPr>
        <w:pStyle w:val="Definition"/>
      </w:pPr>
      <w:r>
        <w:rPr>
          <w:b/>
        </w:rPr>
        <w:t>Real-Time Bid</w:t>
      </w:r>
      <w:r>
        <w:t xml:space="preserve">: </w:t>
      </w:r>
      <w:r>
        <w:rPr>
          <w:iCs/>
        </w:rPr>
        <w:t>A Bid submitted into the Real-Time Commitment</w:t>
      </w:r>
      <w:r>
        <w:t xml:space="preserve"> before the close of the Real-Time Scheduling Window. </w:t>
      </w:r>
      <w:r>
        <w:t xml:space="preserve"> </w:t>
      </w:r>
      <w:r>
        <w:t>A Real-Time Bid shall also include a CTS Interface Bid.</w:t>
      </w:r>
    </w:p>
    <w:p w:rsidR="00CE15EA" w:rsidRDefault="0070506C">
      <w:pPr>
        <w:pStyle w:val="Definition"/>
        <w:rPr>
          <w:bCs/>
          <w:iCs/>
        </w:rPr>
      </w:pPr>
      <w:r>
        <w:rPr>
          <w:b/>
        </w:rPr>
        <w:t>Real-Time Commitment (“RTC”)</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and f</w:t>
      </w:r>
      <w:r>
        <w:rPr>
          <w:bCs/>
          <w:iCs/>
        </w:rPr>
        <w:t xml:space="preserve">ifteen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rPr>
        <w:t>” “</w:t>
      </w:r>
      <w:r>
        <w:rPr>
          <w:bCs/>
          <w:iCs/>
        </w:rPr>
        <w:t>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binding commitment instructions for the periods beginning fifteen and thirty minutes after its scheduled posting</w:t>
      </w:r>
      <w:r>
        <w:rPr>
          <w:bCs/>
          <w:iCs/>
        </w:rPr>
        <w:t xml:space="preserve"> 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Schedu</w:t>
      </w:r>
      <w:r>
        <w:rPr>
          <w:bCs/>
          <w:iCs/>
        </w:rPr>
        <w:t xml:space="preserve">led Proxy Generator Buses.  Additional information about RTC’s functions is provided in Section 4.4.2 of this ISO Services Tariff.  </w:t>
      </w:r>
    </w:p>
    <w:p w:rsidR="00CE15EA" w:rsidRDefault="0070506C">
      <w:pPr>
        <w:pStyle w:val="Definition"/>
        <w:rPr>
          <w:iCs/>
        </w:rPr>
      </w:pPr>
      <w:r>
        <w:rPr>
          <w:b/>
        </w:rPr>
        <w:t>Real-Time Dispatch (“RTD”)</w:t>
      </w:r>
      <w:r>
        <w:t xml:space="preserve">: </w:t>
      </w:r>
      <w:r>
        <w:rPr>
          <w:bCs/>
          <w:iCs/>
        </w:rPr>
        <w:t>A multi-period security constrained dispatch model that co-optimizes to solve simultaneously fo</w:t>
      </w:r>
      <w:r>
        <w:rPr>
          <w:bCs/>
          <w:iCs/>
        </w:rPr>
        <w:t>r Load, Operating Reserves, and Regulation Service on a least-as-bid production cost basis over a fifty, fifty-five or sixty-minute period (depending on when each RTD run occurs within an hour).  The Real-Time Dispatch dispatches, but does not commit, Reso</w:t>
      </w:r>
      <w:r>
        <w:rPr>
          <w:bCs/>
          <w:iCs/>
        </w:rPr>
        <w:t>urces, except that RTD may commit, for pricing purposes, Resources meeting Minimum Generation Levels  and capable of starting in ten minutes.  RTD may also establish 5 minute External Transaction schedules at Dynamically Scheduled Proxy Generator Buses.  R</w:t>
      </w:r>
      <w:r>
        <w:rPr>
          <w:bCs/>
          <w:iCs/>
        </w:rPr>
        <w:t xml:space="preserve">eal-Time Dispatch runs will normally occur every five minutes.  Additional information about RTD’s functions is provided in Section 4.4.3 of this ISO Services Tariff.  </w:t>
      </w:r>
      <w:r>
        <w:rPr>
          <w:iCs/>
        </w:rPr>
        <w:t xml:space="preserve">Throughout this ISO </w:t>
      </w:r>
      <w:r>
        <w:rPr>
          <w:iCs/>
        </w:rPr>
        <w:lastRenderedPageBreak/>
        <w:t>Services Tariff the term “RTD” will normally be used to refer to bot</w:t>
      </w:r>
      <w:r>
        <w:rPr>
          <w:iCs/>
        </w:rPr>
        <w:t>h the Real-Time Dispatch and to the specialized Real-Time Dispatch Corrective Action Mode software.</w:t>
      </w:r>
    </w:p>
    <w:p w:rsidR="00CE15EA" w:rsidRDefault="0070506C">
      <w:pPr>
        <w:pStyle w:val="Definition"/>
        <w:rPr>
          <w:iCs/>
        </w:rPr>
      </w:pPr>
      <w:r>
        <w:rPr>
          <w:b/>
        </w:rPr>
        <w:t>Real-Time Dispatch–Corrective Action Mode (“RTD-CAM”)</w:t>
      </w:r>
      <w:r>
        <w:t xml:space="preserve">: </w:t>
      </w:r>
      <w:r>
        <w:rPr>
          <w:iCs/>
        </w:rPr>
        <w:t xml:space="preserve">A specialized version of the Real-Time Dispatch software that will be activated when it is needed to </w:t>
      </w:r>
      <w:r>
        <w:rPr>
          <w:iCs/>
        </w:rPr>
        <w:t xml:space="preserve">address </w:t>
      </w:r>
      <w:r>
        <w:t>unanticipated</w:t>
      </w:r>
      <w:r>
        <w:rPr>
          <w:iCs/>
        </w:rPr>
        <w:t xml:space="preserve"> system conditions.  RTD-CAM is described in Section 4.4.4 of this ISO Services Tariff.  </w:t>
      </w:r>
    </w:p>
    <w:p w:rsidR="00CE15EA" w:rsidRDefault="0070506C">
      <w:pPr>
        <w:pStyle w:val="Definition"/>
      </w:pPr>
      <w:bookmarkStart w:id="2" w:name="_DV_M70"/>
      <w:bookmarkEnd w:id="2"/>
      <w:r>
        <w:rPr>
          <w:b/>
        </w:rPr>
        <w:t>Real</w:t>
      </w:r>
      <w:r>
        <w:rPr>
          <w:b/>
        </w:rPr>
        <w:noBreakHyphen/>
        <w:t>Time LBMP</w:t>
      </w:r>
      <w:bookmarkStart w:id="3" w:name="_DV_M71"/>
      <w:bookmarkEnd w:id="3"/>
      <w:r>
        <w:t>: The LBMPs established through the ISO Administered Real</w:t>
      </w:r>
      <w:r>
        <w:noBreakHyphen/>
        <w:t>Time Market.</w:t>
      </w:r>
    </w:p>
    <w:p w:rsidR="00CE15EA" w:rsidRDefault="0070506C">
      <w:pPr>
        <w:pStyle w:val="Definition"/>
        <w:rPr>
          <w:u w:val="double"/>
        </w:rPr>
      </w:pPr>
      <w:bookmarkStart w:id="4" w:name="_DV_M72"/>
      <w:bookmarkEnd w:id="4"/>
      <w:r>
        <w:rPr>
          <w:b/>
        </w:rPr>
        <w:t>Real</w:t>
      </w:r>
      <w:r>
        <w:rPr>
          <w:b/>
        </w:rPr>
        <w:noBreakHyphen/>
        <w:t>Time Market</w:t>
      </w:r>
      <w:bookmarkStart w:id="5" w:name="_DV_M73"/>
      <w:bookmarkEnd w:id="5"/>
      <w:r>
        <w:t>: The ISO Administered Market</w:t>
      </w:r>
      <w:r>
        <w:rPr>
          <w:iCs/>
        </w:rPr>
        <w:t>s for Energy an</w:t>
      </w:r>
      <w:r>
        <w:rPr>
          <w:iCs/>
        </w:rPr>
        <w:t>d Ancillary Services</w:t>
      </w:r>
      <w:r>
        <w:t xml:space="preserve"> resulting from the operation of the </w:t>
      </w:r>
      <w:r>
        <w:rPr>
          <w:iCs/>
        </w:rPr>
        <w:t>RTC and RTD</w:t>
      </w:r>
      <w:r>
        <w:t>.</w:t>
      </w:r>
    </w:p>
    <w:p w:rsidR="00CE15EA" w:rsidRDefault="0070506C">
      <w:pPr>
        <w:pStyle w:val="Definition"/>
      </w:pPr>
      <w:r>
        <w:rPr>
          <w:b/>
        </w:rPr>
        <w:t>Real</w:t>
      </w:r>
      <w:r>
        <w:rPr>
          <w:b/>
        </w:rPr>
        <w:noBreakHyphen/>
        <w:t>Time Minimum Run Qualified Gas Turbine</w:t>
      </w:r>
      <w:r>
        <w:t>: One or more gas turbines, offered in the Real-Time Market, which, because of their physical operating characteristics, may qualify for a mini</w:t>
      </w:r>
      <w:r>
        <w:t>mum run time of two hours in the Real-Time Market.  Characteristics that qualify gas turbines for this treatment are established by ISO Procedures and include using waste heat from the gas turbine-generated electricity to make steam for the generation of a</w:t>
      </w:r>
      <w:r>
        <w:t>dditional electricity via a steam turbine.</w:t>
      </w:r>
    </w:p>
    <w:p w:rsidR="00CE15EA" w:rsidRDefault="0070506C">
      <w:pPr>
        <w:pStyle w:val="Definition"/>
      </w:pPr>
      <w:bookmarkStart w:id="6" w:name="_DV_IPM77"/>
      <w:bookmarkStart w:id="7" w:name="_DV_C68"/>
      <w:bookmarkEnd w:id="6"/>
      <w:r>
        <w:rPr>
          <w:b/>
        </w:rPr>
        <w:t>Real-Time Scheduled Energy</w:t>
      </w:r>
      <w:bookmarkStart w:id="8" w:name="_DV_IPM78"/>
      <w:bookmarkStart w:id="9" w:name="_DV_C69"/>
      <w:bookmarkEnd w:id="7"/>
      <w:bookmarkEnd w:id="8"/>
      <w:r>
        <w:t xml:space="preserve">: The quantity of Energy that a Supplier is directed to inject or withdraw in real-time by the ISO.  Injections are indicated by positive Base Point Signals and withdrawals are indicated </w:t>
      </w:r>
      <w:r>
        <w:t>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Committed F</w:t>
      </w:r>
      <w:r>
        <w:rPr>
          <w:iCs/>
        </w:rPr>
        <w:t xml:space="preserve">ixed or Self-Committed Fixed </w:t>
      </w:r>
      <w:r>
        <w:t xml:space="preserve">Supplier’s Real-Time Scheduled Energy is equal to its </w:t>
      </w:r>
      <w:r>
        <w:rPr>
          <w:iCs/>
        </w:rPr>
        <w:t>bid output level in real-time</w:t>
      </w:r>
      <w:r>
        <w:t>.</w:t>
      </w:r>
      <w:bookmarkEnd w:id="9"/>
    </w:p>
    <w:p w:rsidR="00CE15EA" w:rsidRDefault="0070506C">
      <w:pPr>
        <w:pStyle w:val="Definition"/>
      </w:pPr>
      <w:bookmarkStart w:id="10" w:name="_DV_M74"/>
      <w:bookmarkStart w:id="11" w:name="_DV_M76"/>
      <w:bookmarkStart w:id="12" w:name="_DV_IPM79"/>
      <w:bookmarkStart w:id="13" w:name="_DV_IPM80"/>
      <w:bookmarkStart w:id="14" w:name="_DV_IPM81"/>
      <w:bookmarkStart w:id="15" w:name="_DV_IPM83"/>
      <w:bookmarkStart w:id="16" w:name="_DV_IPM87"/>
      <w:bookmarkStart w:id="17" w:name="_DV_IPM88"/>
      <w:bookmarkStart w:id="18" w:name="_DV_M78"/>
      <w:bookmarkEnd w:id="10"/>
      <w:bookmarkEnd w:id="11"/>
      <w:bookmarkEnd w:id="12"/>
      <w:bookmarkEnd w:id="13"/>
      <w:bookmarkEnd w:id="14"/>
      <w:bookmarkEnd w:id="15"/>
      <w:bookmarkEnd w:id="16"/>
      <w:bookmarkEnd w:id="17"/>
      <w:bookmarkEnd w:id="18"/>
      <w:r>
        <w:rPr>
          <w:rStyle w:val="DeltaViewInsertion"/>
          <w:b/>
          <w:u w:val="none"/>
        </w:rPr>
        <w:t xml:space="preserve">Real-Time Scheduling Window: </w:t>
      </w:r>
      <w:r>
        <w:rPr>
          <w:iCs/>
        </w:rPr>
        <w:t>The period of time within which the ISO accepts offers and bids to sell and purchase Energy and Ancillary Service</w:t>
      </w:r>
      <w:r>
        <w:rPr>
          <w:iCs/>
        </w:rPr>
        <w:t xml:space="preserve">s in the Real-Time Market for a given hour which period closes seventy-five (75) minutes before the start of that hour, </w:t>
      </w:r>
      <w:r>
        <w:t>or eighty-five (85) minutes before the start of that hour for Bids to schedule External Transactions at the Proxy Generator Buses associ</w:t>
      </w:r>
      <w:r>
        <w:t>ated with the Cross-Sound Scheduled Line, the Neptune Scheduled Line, the Linden VFT Scheduled Line, or the HTP Scheduled Line.</w:t>
      </w:r>
    </w:p>
    <w:p w:rsidR="00CE15EA" w:rsidRDefault="0070506C">
      <w:pPr>
        <w:pStyle w:val="Definition"/>
        <w:rPr>
          <w:bCs/>
        </w:rPr>
      </w:pPr>
      <w:r>
        <w:rPr>
          <w:b/>
        </w:rPr>
        <w:t>Reconfiguration Auction</w:t>
      </w:r>
      <w:r>
        <w:t xml:space="preserve">: </w:t>
      </w:r>
      <w:r>
        <w:rPr>
          <w:bCs/>
        </w:rPr>
        <w:t xml:space="preserve">The monthly </w:t>
      </w:r>
      <w:r>
        <w:t>auction</w:t>
      </w:r>
      <w:r>
        <w:rPr>
          <w:bCs/>
        </w:rPr>
        <w:t xml:space="preserve"> administered by the ISO in which Market </w:t>
      </w:r>
      <w:r>
        <w:rPr>
          <w:iCs/>
        </w:rPr>
        <w:t>Participants</w:t>
      </w:r>
      <w:r>
        <w:rPr>
          <w:bCs/>
        </w:rPr>
        <w:t xml:space="preserve"> may purchase and sell one-month TCCs.</w:t>
      </w:r>
    </w:p>
    <w:p w:rsidR="00CE15EA" w:rsidRDefault="0070506C">
      <w:pPr>
        <w:pStyle w:val="Definition"/>
      </w:pPr>
      <w:bookmarkStart w:id="19" w:name="_DV_M75"/>
      <w:bookmarkEnd w:id="19"/>
      <w:r>
        <w:rPr>
          <w:b/>
        </w:rPr>
        <w:t>Reference Bus</w:t>
      </w:r>
      <w:bookmarkStart w:id="20" w:name="_DV_M77"/>
      <w:bookmarkEnd w:id="20"/>
      <w:r>
        <w:t>: The location on the NYS Transmission System relative to which all mathematical quantities, including Shift Factors and penalty factors relating to physical operation, will be calculated.  The NYPA Marcy</w:t>
      </w:r>
      <w:r>
        <w:t xml:space="preserve"> 345 kV transmission substation is designated as the </w:t>
      </w:r>
      <w:r>
        <w:rPr>
          <w:iCs/>
        </w:rPr>
        <w:t>Reference</w:t>
      </w:r>
      <w:r>
        <w:t xml:space="preserve"> Bus.</w:t>
      </w:r>
    </w:p>
    <w:p w:rsidR="00CE15EA" w:rsidRDefault="0070506C">
      <w:pPr>
        <w:pStyle w:val="Definition"/>
      </w:pPr>
      <w:bookmarkStart w:id="21" w:name="_DV_M207"/>
      <w:bookmarkEnd w:id="21"/>
      <w:r>
        <w:rPr>
          <w:b/>
        </w:rPr>
        <w:t xml:space="preserve">Regulation Capacity: </w:t>
      </w:r>
      <w:r>
        <w:t xml:space="preserve"> The Energy or Demand Reduction capability, measured in MW, that a Regulation Service provider offers and/or which it is scheduled to provide for Regulation Service.</w:t>
      </w:r>
    </w:p>
    <w:p w:rsidR="00CE15EA" w:rsidRDefault="0070506C">
      <w:pPr>
        <w:pStyle w:val="Definition"/>
      </w:pPr>
      <w:r>
        <w:rPr>
          <w:b/>
        </w:rPr>
        <w:t>R</w:t>
      </w:r>
      <w:r>
        <w:rPr>
          <w:b/>
        </w:rPr>
        <w:t>egulation Capacity Market Price:</w:t>
      </w:r>
      <w:r>
        <w:t xml:space="preserve"> The price for Regulation Capacity determined by the ISO pursuant to section 15.3 of this Services Tariff.</w:t>
      </w:r>
    </w:p>
    <w:p w:rsidR="00CE15EA" w:rsidRDefault="0070506C">
      <w:pPr>
        <w:pStyle w:val="Definition"/>
      </w:pPr>
      <w:r>
        <w:rPr>
          <w:b/>
        </w:rPr>
        <w:lastRenderedPageBreak/>
        <w:t>Regulation Capacity Response Rate</w:t>
      </w:r>
      <w:r>
        <w:rPr>
          <w:b/>
          <w:bCs/>
        </w:rPr>
        <w:t xml:space="preserve">:  </w:t>
      </w:r>
      <w:r>
        <w:rPr>
          <w:rFonts w:eastAsia="Calibri"/>
        </w:rPr>
        <w:t>The Regulation Capacity a Resource is capable of providing over five minutes, mea</w:t>
      </w:r>
      <w:r>
        <w:rPr>
          <w:rFonts w:eastAsia="Calibri"/>
        </w:rPr>
        <w:t>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sufficient to permit that Resource to provide the Regulation Capacity (in MW) offered within a five-minute RTD interval.</w:t>
      </w:r>
      <w:r>
        <w:rPr>
          <w:bCs/>
        </w:rPr>
        <w:t xml:space="preserve"> Reference </w:t>
      </w:r>
      <w:r>
        <w:rPr>
          <w:bCs/>
        </w:rPr>
        <w:t xml:space="preserve">to a Regulation response rate shall be a reference to the Regulation Capacity Response </w:t>
      </w:r>
      <w:r>
        <w:rPr>
          <w:iCs/>
        </w:rPr>
        <w:t>Rate</w:t>
      </w:r>
      <w:r>
        <w:rPr>
          <w:iCs/>
        </w:rPr>
        <w:t>.</w:t>
      </w:r>
    </w:p>
    <w:p w:rsidR="00CE15EA" w:rsidRDefault="0070506C">
      <w:pPr>
        <w:pStyle w:val="Definition"/>
      </w:pPr>
      <w:r>
        <w:rPr>
          <w:b/>
        </w:rPr>
        <w:t xml:space="preserve">Regulation Movement: </w:t>
      </w:r>
      <w:r>
        <w:t xml:space="preserve">The absolute value of the change in Energy or Demand Reduction over a six </w:t>
      </w:r>
      <w:r>
        <w:rPr>
          <w:iCs/>
        </w:rPr>
        <w:t>second</w:t>
      </w:r>
      <w:r>
        <w:t xml:space="preserve"> interval, measured in MW, that a Regulation Service provider </w:t>
      </w:r>
      <w:r>
        <w:t xml:space="preserve">is instructed to deliver </w:t>
      </w:r>
      <w:r>
        <w:rPr>
          <w:iCs/>
        </w:rPr>
        <w:t>for</w:t>
      </w:r>
      <w:r>
        <w:t xml:space="preserve"> the purpose of providing Regulation Service. </w:t>
      </w:r>
    </w:p>
    <w:p w:rsidR="00CE15EA" w:rsidRDefault="0070506C">
      <w:pPr>
        <w:pStyle w:val="Definition"/>
      </w:pPr>
      <w:r>
        <w:rPr>
          <w:b/>
        </w:rPr>
        <w:t>Regulation Movement Market Price:</w:t>
      </w:r>
      <w:r>
        <w:t xml:space="preserve"> The price for Regulation Movement as determined by the ISO </w:t>
      </w:r>
      <w:r>
        <w:rPr>
          <w:iCs/>
        </w:rPr>
        <w:t>pursuant</w:t>
      </w:r>
      <w:r>
        <w:t xml:space="preserve"> to section 15.3 of this Services Tariff.</w:t>
      </w:r>
    </w:p>
    <w:p w:rsidR="00CE15EA" w:rsidRDefault="0070506C">
      <w:pPr>
        <w:pStyle w:val="Definition"/>
      </w:pPr>
      <w:r>
        <w:rPr>
          <w:b/>
        </w:rPr>
        <w:t xml:space="preserve">Regulation Movement Multiplier:  </w:t>
      </w:r>
      <w:r>
        <w:t>A fac</w:t>
      </w:r>
      <w:r>
        <w:t>tor</w:t>
      </w:r>
      <w:r>
        <w:rPr>
          <w:color w:val="FF0000"/>
        </w:rPr>
        <w:t xml:space="preserve"> </w:t>
      </w:r>
      <w:r>
        <w:t xml:space="preserve">with the value of </w:t>
      </w:r>
      <w:r>
        <w:t>thirteen</w:t>
      </w:r>
      <w:r>
        <w:t xml:space="preserve"> (</w:t>
      </w:r>
      <w:r>
        <w:t>13</w:t>
      </w:r>
      <w:r>
        <w:t xml:space="preserve">), used with the Regulation Movement Bids, to schedule Regulation Service providers in both the Day-Ahead and </w:t>
      </w:r>
      <w:r>
        <w:rPr>
          <w:iCs/>
        </w:rPr>
        <w:t>Real</w:t>
      </w:r>
      <w:r>
        <w:t>-Time Energy markets.  The ISO calculates the Regulation Movement Multiplier based on the historical relatio</w:t>
      </w:r>
      <w:r>
        <w:t xml:space="preserve">nship between the number of MW of Regulation Capacity that the ISO seeks to maintain in each hour and the number of Regulation Movement MW instructed by AGC in each hour.  </w:t>
      </w:r>
      <w:bookmarkStart w:id="22" w:name="_DV_M304"/>
      <w:bookmarkEnd w:id="22"/>
    </w:p>
    <w:p w:rsidR="00CE15EA" w:rsidRDefault="0070506C">
      <w:pPr>
        <w:pStyle w:val="Definition"/>
        <w:rPr>
          <w:b/>
        </w:rPr>
      </w:pPr>
      <w:r>
        <w:rPr>
          <w:b/>
        </w:rPr>
        <w:t>Regulation Movement Response Rate</w:t>
      </w:r>
      <w:r>
        <w:t>: The amount of Regulation Movement a Regulation S</w:t>
      </w:r>
      <w:r>
        <w:t xml:space="preserve">ervice provider is capable of delivering in six seconds which shall not be less than, but can be equal to or </w:t>
      </w:r>
      <w:r>
        <w:rPr>
          <w:iCs/>
        </w:rPr>
        <w:t>greater</w:t>
      </w:r>
      <w:r>
        <w:t xml:space="preserve"> than, the Regulation Capacity Response Rate equivalent.</w:t>
      </w:r>
      <w:r>
        <w:rPr>
          <w:b/>
        </w:rPr>
        <w:t xml:space="preserve"> </w:t>
      </w:r>
    </w:p>
    <w:p w:rsidR="00CE15EA" w:rsidRDefault="0070506C">
      <w:pPr>
        <w:pStyle w:val="Definition"/>
      </w:pPr>
      <w:r>
        <w:rPr>
          <w:b/>
        </w:rPr>
        <w:t xml:space="preserve">Regulation Service: </w:t>
      </w:r>
      <w:r>
        <w:t xml:space="preserve">The Ancillary Service defined by the Commission as “frequency </w:t>
      </w:r>
      <w:r>
        <w:t xml:space="preserve">regulation” and that is instructed as Regulation Capacity in the Day-Ahead Market and as Regulation Capacity and Regulation Movement in the Real-Time Market as is further described in Section </w:t>
      </w:r>
      <w:r>
        <w:rPr>
          <w:iCs/>
        </w:rPr>
        <w:t>15</w:t>
      </w:r>
      <w:r>
        <w:t>.3 of the Services Tariff.  Day-Ahead and Real-Time Bids to pr</w:t>
      </w:r>
      <w:r>
        <w:t>ovide Regulation Service shall include a Bid for Regulation Capacity and a Bid for Regulation Movement.  The Regulation Service requirement or target level shall be for MW of Regulation Capacity.</w:t>
      </w:r>
    </w:p>
    <w:p w:rsidR="00CE15EA" w:rsidRDefault="0070506C">
      <w:pPr>
        <w:pStyle w:val="Definition"/>
        <w:rPr>
          <w:iCs/>
        </w:rPr>
      </w:pPr>
      <w:r>
        <w:rPr>
          <w:b/>
        </w:rPr>
        <w:t>Regulation Service Demand Curve</w:t>
      </w:r>
      <w:r>
        <w:t xml:space="preserve">: </w:t>
      </w:r>
      <w:r>
        <w:rPr>
          <w:iCs/>
        </w:rPr>
        <w:t xml:space="preserve">A series of quantity/price </w:t>
      </w:r>
      <w:r>
        <w:rPr>
          <w:iCs/>
        </w:rPr>
        <w:t>points that defines the maximum Shadow Price for Regulation Service corresponding to each possible quantity of Resources that the ISO’s software may schedule to satisfy the ISO’s Regulation Service constraint.  A single Regulation Service Demand Curve will</w:t>
      </w:r>
      <w:r>
        <w:rPr>
          <w:iCs/>
        </w:rPr>
        <w:t xml:space="preserve"> apply to both the Day-Ahead Market and the Real-Time Market </w:t>
      </w:r>
      <w:r>
        <w:t>for</w:t>
      </w:r>
      <w:r>
        <w:rPr>
          <w:iCs/>
        </w:rPr>
        <w:t xml:space="preserve"> Regulation Service.  The Shadow Price for Regulation Service shall be used to calculate Regulation Service payments under Rate Schedule 3 of this ISO Services Tariff.  </w:t>
      </w:r>
    </w:p>
    <w:p w:rsidR="00CE15EA" w:rsidRDefault="0070506C">
      <w:pPr>
        <w:pStyle w:val="Definition"/>
        <w:rPr>
          <w:bCs/>
          <w:iCs/>
        </w:rPr>
      </w:pPr>
      <w:r>
        <w:rPr>
          <w:b/>
        </w:rPr>
        <w:t>Regulation Revenue Adj</w:t>
      </w:r>
      <w:r>
        <w:rPr>
          <w:b/>
        </w:rPr>
        <w:t>ustment Charge (“RRAC”)</w:t>
      </w:r>
      <w:r>
        <w:t xml:space="preserve">: </w:t>
      </w:r>
      <w:r>
        <w:rPr>
          <w:bCs/>
          <w:iCs/>
        </w:rPr>
        <w:t>A charge that will be assessed against certain Generators that are providing Regulation Service under Section 15.3.6 of Rate Schedule 3 to this ISO Services Tariff.</w:t>
      </w:r>
    </w:p>
    <w:p w:rsidR="00CE15EA" w:rsidRDefault="0070506C">
      <w:pPr>
        <w:pStyle w:val="Definition"/>
        <w:rPr>
          <w:bCs/>
          <w:iCs/>
        </w:rPr>
      </w:pPr>
      <w:r>
        <w:rPr>
          <w:b/>
        </w:rPr>
        <w:t>Regulation Revenue Adjustment Payment (“RRAP”)</w:t>
      </w:r>
      <w:r>
        <w:t xml:space="preserve">: </w:t>
      </w:r>
      <w:r>
        <w:rPr>
          <w:bCs/>
          <w:iCs/>
        </w:rPr>
        <w:t xml:space="preserve">A payment that </w:t>
      </w:r>
      <w:r>
        <w:rPr>
          <w:bCs/>
          <w:iCs/>
        </w:rPr>
        <w:t>will be made to certain Generators that are providing Regulation Service under Section 15.3.6 of Rate Schedule 3 to this ISO Services Tariff.</w:t>
      </w:r>
    </w:p>
    <w:p w:rsidR="00CE15EA" w:rsidRDefault="0070506C">
      <w:pPr>
        <w:pStyle w:val="Definition"/>
      </w:pPr>
      <w:r>
        <w:rPr>
          <w:b/>
        </w:rPr>
        <w:t>Reliability</w:t>
      </w:r>
      <w:r>
        <w:t xml:space="preserve"> </w:t>
      </w:r>
      <w:r>
        <w:rPr>
          <w:b/>
        </w:rPr>
        <w:t>Rules</w:t>
      </w:r>
      <w:bookmarkStart w:id="23" w:name="_DV_M79"/>
      <w:bookmarkEnd w:id="23"/>
      <w:r>
        <w:t>: Those rules, standards, procedures and protocols developed and promulgated by the NYSRC, includ</w:t>
      </w:r>
      <w:r>
        <w:t xml:space="preserve">ing Local Reliability Rules, in accordance with NERC, NPCC, FERC, PSC </w:t>
      </w:r>
      <w:bookmarkStart w:id="24" w:name="_DV_M80"/>
      <w:bookmarkEnd w:id="24"/>
      <w:r>
        <w:t>and NRC standards, rules and regulations and other criteria and pursuant to the NYSRC Agreement.</w:t>
      </w:r>
    </w:p>
    <w:p w:rsidR="002F2AC0" w:rsidRPr="00F640A9" w:rsidRDefault="0070506C" w:rsidP="002F2AC0">
      <w:pPr>
        <w:pStyle w:val="Definition"/>
      </w:pPr>
      <w:r w:rsidRPr="00F076D7">
        <w:rPr>
          <w:b/>
        </w:rPr>
        <w:t xml:space="preserve">Repair Plan:  </w:t>
      </w:r>
      <w:r w:rsidRPr="00F076D7">
        <w:t>A</w:t>
      </w:r>
      <w:r w:rsidRPr="00F076D7">
        <w:rPr>
          <w:b/>
        </w:rPr>
        <w:t xml:space="preserve"> </w:t>
      </w:r>
      <w:r w:rsidRPr="00F076D7">
        <w:t>work plan,</w:t>
      </w:r>
      <w:r w:rsidRPr="00F076D7">
        <w:t xml:space="preserve"> set of actions, and time frame for such actions, that is necessary to repair a Generator and return it to service as described in Section 5.1</w:t>
      </w:r>
      <w:r>
        <w:t>8</w:t>
      </w:r>
      <w:r w:rsidRPr="00F076D7">
        <w:t>.1 of this Services Tariff</w:t>
      </w:r>
      <w:r w:rsidRPr="00F076D7">
        <w:rPr>
          <w:b/>
        </w:rPr>
        <w:t>.</w:t>
      </w:r>
    </w:p>
    <w:p w:rsidR="00CE15EA" w:rsidRDefault="0070506C">
      <w:pPr>
        <w:pStyle w:val="Definition"/>
        <w:rPr>
          <w:u w:val="double"/>
        </w:rPr>
      </w:pPr>
      <w:r>
        <w:rPr>
          <w:b/>
          <w:bCs/>
        </w:rPr>
        <w:t xml:space="preserve">Required </w:t>
      </w:r>
      <w:r>
        <w:rPr>
          <w:b/>
        </w:rPr>
        <w:t>System</w:t>
      </w:r>
      <w:r>
        <w:rPr>
          <w:b/>
          <w:bCs/>
        </w:rPr>
        <w:t xml:space="preserve"> Capability</w:t>
      </w:r>
      <w:r>
        <w:t>: Generation capability required to meet an LSE’s peak Load</w:t>
      </w:r>
      <w:r>
        <w:t xml:space="preserve"> plus Installed Capacity Reserve obligation as defined in the Reliability Rules.</w:t>
      </w:r>
    </w:p>
    <w:p w:rsidR="00CE15EA" w:rsidRDefault="0070506C">
      <w:pPr>
        <w:pStyle w:val="Definition"/>
        <w:rPr>
          <w:iCs/>
        </w:rPr>
      </w:pPr>
      <w:r>
        <w:rPr>
          <w:b/>
        </w:rPr>
        <w:t>Reserve</w:t>
      </w:r>
      <w:r>
        <w:rPr>
          <w:b/>
          <w:iCs/>
        </w:rPr>
        <w:t xml:space="preserve"> Performance Index</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 Tariff m</w:t>
      </w:r>
      <w:r>
        <w:rPr>
          <w:iCs/>
        </w:rPr>
        <w:t xml:space="preserve">ade to Demand Side Resources scheduled to provide Operating Reserves in the Day-Ahead Market. </w:t>
      </w:r>
    </w:p>
    <w:p w:rsidR="00CE15EA" w:rsidRDefault="0070506C">
      <w:pPr>
        <w:pStyle w:val="Definition"/>
      </w:pPr>
      <w:r>
        <w:rPr>
          <w:b/>
        </w:rPr>
        <w:t>Residual</w:t>
      </w:r>
      <w:r>
        <w:rPr>
          <w:b/>
          <w:bCs/>
        </w:rPr>
        <w:t xml:space="preserve"> Adjustment</w:t>
      </w:r>
      <w:r>
        <w:t>: The adjustment made to ISO costs that are recovered through Schedule 1 of the OATT.  The Residual Adjustment is calculated pursuant to Sched</w:t>
      </w:r>
      <w:r>
        <w:t>ule 1 of the OATT.</w:t>
      </w:r>
    </w:p>
    <w:p w:rsidR="00CE15EA" w:rsidRDefault="0070506C">
      <w:pPr>
        <w:pStyle w:val="Definition"/>
      </w:pPr>
      <w:r>
        <w:rPr>
          <w:b/>
        </w:rPr>
        <w:t>Residual</w:t>
      </w:r>
      <w:r>
        <w:rPr>
          <w:b/>
          <w:bCs/>
        </w:rPr>
        <w:t xml:space="preserve"> Capacity Reservation Right (“RCRR”): </w:t>
      </w:r>
      <w:r>
        <w:t>A megawatt of transmission Capacity from one Load Zone to an electrically contiguous Load Zone, each of which is internal to the NYCA, that may be converted into an RCRR TCC by a Transmission</w:t>
      </w:r>
      <w:r>
        <w:t xml:space="preserve"> Owner allocated the RCRR pursuant to Section 19.5 of Attachment M of the ISO OATT.</w:t>
      </w:r>
    </w:p>
    <w:p w:rsidR="00CE15EA" w:rsidRDefault="0070506C">
      <w:pPr>
        <w:pStyle w:val="Definition"/>
      </w:pPr>
      <w:r>
        <w:rPr>
          <w:b/>
          <w:bCs/>
        </w:rPr>
        <w:t>Residual Transmission Capacity</w:t>
      </w:r>
      <w:r>
        <w:t>: The transmission capacity determined by the ISO before, during and after the Centralized TCC Auction which is conceptually equal to the foll</w:t>
      </w:r>
      <w:r>
        <w:t xml:space="preserve">owing: </w:t>
      </w:r>
    </w:p>
    <w:p w:rsidR="00CE15EA" w:rsidRDefault="0070506C">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CE15EA" w:rsidRDefault="0070506C">
      <w:pPr>
        <w:pStyle w:val="Definitionindent"/>
      </w:pPr>
      <w:r>
        <w:t xml:space="preserve">The TCCs associated with </w:t>
      </w:r>
      <w:r>
        <w:rPr>
          <w:iCs/>
        </w:rPr>
        <w:t xml:space="preserve">Residual Transmission Capacity </w:t>
      </w:r>
      <w:r>
        <w:t xml:space="preserve">cannot be accurately determined until the Centralized TCC Auction is conducted.  </w:t>
      </w:r>
    </w:p>
    <w:p w:rsidR="00CE15EA" w:rsidRDefault="0070506C">
      <w:pPr>
        <w:pStyle w:val="Definitionindent"/>
      </w:pPr>
      <w:r>
        <w:t>TTC is the Total Transfer Capability tha</w:t>
      </w:r>
      <w:r>
        <w:t xml:space="preserve">t can only be determined after the </w:t>
      </w:r>
      <w:r>
        <w:rPr>
          <w:iCs/>
        </w:rPr>
        <w:t xml:space="preserve">Residual Transmission </w:t>
      </w:r>
      <w:r>
        <w:t>Capacity</w:t>
      </w:r>
      <w:r>
        <w:rPr>
          <w:iCs/>
        </w:rPr>
        <w:t xml:space="preserve"> </w:t>
      </w:r>
      <w:r>
        <w:t>is known.</w:t>
      </w:r>
    </w:p>
    <w:p w:rsidR="00CE15EA" w:rsidRDefault="0070506C">
      <w:pPr>
        <w:pStyle w:val="Definitionindent"/>
      </w:pPr>
      <w:r>
        <w:t>GTR is the transmission capacity associated with Grandfathered Rights.</w:t>
      </w:r>
    </w:p>
    <w:p w:rsidR="00CE15EA" w:rsidRDefault="0070506C">
      <w:pPr>
        <w:pStyle w:val="Definitionindent"/>
      </w:pPr>
      <w:r>
        <w:t>GTCC is the transmission capacity associated with Grandfathered TCCs.</w:t>
      </w:r>
    </w:p>
    <w:p w:rsidR="00CE15EA" w:rsidRDefault="0070506C">
      <w:pPr>
        <w:pStyle w:val="Definitionindent"/>
      </w:pPr>
      <w:r>
        <w:t>ETCNL is the transmission capacity asso</w:t>
      </w:r>
      <w:r>
        <w:t>ciated with Existing Transmission Capacity for Native Load.</w:t>
      </w:r>
    </w:p>
    <w:p w:rsidR="00CE15EA" w:rsidRDefault="0070506C">
      <w:pPr>
        <w:pStyle w:val="Definitionindent"/>
      </w:pPr>
      <w:r>
        <w:t>TRM is the Transmission Reliability Margin.</w:t>
      </w:r>
    </w:p>
    <w:p w:rsidR="00CE15EA" w:rsidRDefault="0070506C">
      <w:pPr>
        <w:pStyle w:val="Definitionindent"/>
        <w:rPr>
          <w:b/>
          <w:bCs/>
        </w:rPr>
      </w:pPr>
      <w:r>
        <w:t>CBM is the Capacity Benefit Margin.</w:t>
      </w:r>
    </w:p>
    <w:p w:rsidR="00CE15EA" w:rsidRDefault="0070506C">
      <w:pPr>
        <w:pStyle w:val="Definition"/>
      </w:pPr>
      <w:r>
        <w:rPr>
          <w:b/>
        </w:rPr>
        <w:t>Resource</w:t>
      </w:r>
      <w:r>
        <w:t>: An Energy Limited Resource, Generator, Installed Capacity Marketer, Special Case Resource, Intermittent Po</w:t>
      </w:r>
      <w:r>
        <w:t>wer Resource, Limited Control Run of River Hydro Resource,</w:t>
      </w:r>
      <w:r>
        <w:rPr>
          <w:u w:val="double"/>
        </w:rPr>
        <w:t xml:space="preserve"> </w:t>
      </w:r>
      <w:r>
        <w:t>municipally-owned generation, System Resource, Demand Side Resource or Control Area System Resource.</w:t>
      </w:r>
    </w:p>
    <w:p w:rsidR="00CE15EA" w:rsidRDefault="0070506C">
      <w:pPr>
        <w:pStyle w:val="Definition"/>
      </w:pPr>
      <w:r>
        <w:rPr>
          <w:b/>
        </w:rPr>
        <w:t>Responsible Interface Party</w:t>
      </w:r>
      <w:r>
        <w:rPr>
          <w:b/>
        </w:rPr>
        <w:t xml:space="preserve"> (“RIP”)</w:t>
      </w:r>
      <w:r>
        <w:rPr>
          <w:b/>
        </w:rPr>
        <w:t xml:space="preserve">:  </w:t>
      </w:r>
      <w:r>
        <w:t>A Customer that is authorized by the ISO to be the Install</w:t>
      </w:r>
      <w:r>
        <w:t xml:space="preserve">ed Capacity Supplier for one or more Special Case Resources and that agrees to certain notification and other requirements as set forth in this Services Tariff and in the ISO Procedures. </w:t>
      </w:r>
    </w:p>
    <w:p w:rsidR="00CE15EA" w:rsidRDefault="0070506C">
      <w:pPr>
        <w:pStyle w:val="Definition"/>
      </w:pPr>
      <w:r>
        <w:rPr>
          <w:b/>
        </w:rPr>
        <w:t>Rest</w:t>
      </w:r>
      <w:r>
        <w:rPr>
          <w:rFonts w:ascii="Times New Roman Bold" w:hAnsi="Times New Roman Bold"/>
          <w:b/>
          <w:bCs/>
        </w:rPr>
        <w:t xml:space="preserve"> of State</w:t>
      </w:r>
      <w:r>
        <w:t>: The set of all non-Locality NYCA LBMP Load Zones.  As</w:t>
      </w:r>
      <w:r>
        <w:t xml:space="preserve"> of the 2014/2015 Capability Year, Rest of State includes all NYCA LBMP Load Zones other than LBMP Load Zones G, H, I, J and K.</w:t>
      </w:r>
    </w:p>
    <w:p w:rsidR="002F2AC0" w:rsidRPr="00630AC2" w:rsidRDefault="0070506C" w:rsidP="002F2AC0">
      <w:pPr>
        <w:pStyle w:val="Definition"/>
      </w:pPr>
      <w:r w:rsidRPr="00F076D7">
        <w:rPr>
          <w:rFonts w:eastAsia="Calibri"/>
          <w:b/>
        </w:rPr>
        <w:t>Retired:</w:t>
      </w:r>
      <w:r w:rsidRPr="00F076D7">
        <w:rPr>
          <w:rFonts w:eastAsia="Calibri"/>
          <w:sz w:val="23"/>
          <w:szCs w:val="23"/>
        </w:rPr>
        <w:t xml:space="preserve"> </w:t>
      </w:r>
      <w:r w:rsidRPr="00F076D7">
        <w:rPr>
          <w:rFonts w:eastAsia="Calibri"/>
        </w:rPr>
        <w:t>A Generator that has permanently ceased operating on or after the effective date of Section 5.18 of this Services Tarif</w:t>
      </w:r>
      <w:r w:rsidRPr="00F076D7">
        <w:rPr>
          <w:rFonts w:eastAsia="Calibri"/>
        </w:rPr>
        <w:t xml:space="preserve">f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ICAP Ineligible Forced Outage.</w:t>
      </w:r>
    </w:p>
    <w:p w:rsidR="00CE15EA" w:rsidRDefault="0070506C">
      <w:pPr>
        <w:pStyle w:val="Definition"/>
      </w:pPr>
      <w:r>
        <w:rPr>
          <w:b/>
        </w:rPr>
        <w:t xml:space="preserve">Rolling RTC: </w:t>
      </w:r>
      <w:r>
        <w:t xml:space="preserve"> The RTC run that is used to schedule a given 15-minute External Transaction.  The Rolling RTC may</w:t>
      </w:r>
      <w:r>
        <w:t xml:space="preserve"> be an RTC00, RTC15, RTC30 or RTC45 run.</w:t>
      </w:r>
    </w:p>
    <w:sectPr w:rsidR="00CE15EA" w:rsidSect="003773D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506C">
      <w:r>
        <w:separator/>
      </w:r>
    </w:p>
  </w:endnote>
  <w:endnote w:type="continuationSeparator" w:id="0">
    <w:p w:rsidR="00000000" w:rsidRDefault="0070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61" w:rsidRDefault="0070506C">
    <w:pPr>
      <w:jc w:val="right"/>
      <w:rPr>
        <w:rFonts w:ascii="Arial" w:eastAsia="Arial" w:hAnsi="Arial" w:cs="Arial"/>
        <w:color w:val="000000"/>
        <w:sz w:val="16"/>
      </w:rPr>
    </w:pPr>
    <w:r>
      <w:rPr>
        <w:rFonts w:ascii="Arial" w:eastAsia="Arial" w:hAnsi="Arial" w:cs="Arial"/>
        <w:color w:val="000000"/>
        <w:sz w:val="16"/>
      </w:rPr>
      <w:t xml:space="preserve">Effective Date: 4/7/2015 -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61" w:rsidRDefault="0070506C">
    <w:pPr>
      <w:jc w:val="right"/>
      <w:rPr>
        <w:rFonts w:ascii="Arial" w:eastAsia="Arial" w:hAnsi="Arial" w:cs="Arial"/>
        <w:color w:val="000000"/>
        <w:sz w:val="16"/>
      </w:rPr>
    </w:pPr>
    <w:r>
      <w:rPr>
        <w:rFonts w:ascii="Arial" w:eastAsia="Arial" w:hAnsi="Arial" w:cs="Arial"/>
        <w:color w:val="000000"/>
        <w:sz w:val="16"/>
      </w:rPr>
      <w:t xml:space="preserve">Effective Date: 4/7/2015 -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61" w:rsidRDefault="0070506C">
    <w:pPr>
      <w:jc w:val="right"/>
      <w:rPr>
        <w:rFonts w:ascii="Arial" w:eastAsia="Arial" w:hAnsi="Arial" w:cs="Arial"/>
        <w:color w:val="000000"/>
        <w:sz w:val="16"/>
      </w:rPr>
    </w:pPr>
    <w:r>
      <w:rPr>
        <w:rFonts w:ascii="Arial" w:eastAsia="Arial" w:hAnsi="Arial" w:cs="Arial"/>
        <w:color w:val="000000"/>
        <w:sz w:val="16"/>
      </w:rPr>
      <w:t xml:space="preserve">Effective Date: 4/7/2015 -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506C">
      <w:r>
        <w:separator/>
      </w:r>
    </w:p>
  </w:footnote>
  <w:footnote w:type="continuationSeparator" w:id="0">
    <w:p w:rsidR="00000000" w:rsidRDefault="00705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61" w:rsidRDefault="0070506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61" w:rsidRDefault="0070506C">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Market Administration and Control Area Services Tariff (MST) --&gt; 2 MST Definitions --&gt; 2.18 MST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61" w:rsidRDefault="0070506C">
    <w:pPr>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Market Administration and Control Area Services Tariff (MST) --&gt; 2 MST Definitions --&gt; 2.18 MST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C42C7E2A">
      <w:start w:val="1"/>
      <w:numFmt w:val="bullet"/>
      <w:pStyle w:val="Bulletpara"/>
      <w:lvlText w:val=""/>
      <w:lvlJc w:val="left"/>
      <w:pPr>
        <w:tabs>
          <w:tab w:val="num" w:pos="720"/>
        </w:tabs>
        <w:ind w:left="720" w:hanging="360"/>
      </w:pPr>
      <w:rPr>
        <w:rFonts w:ascii="Symbol" w:hAnsi="Symbol" w:hint="default"/>
      </w:rPr>
    </w:lvl>
    <w:lvl w:ilvl="1" w:tplc="746CD37A" w:tentative="1">
      <w:start w:val="1"/>
      <w:numFmt w:val="bullet"/>
      <w:lvlText w:val="o"/>
      <w:lvlJc w:val="left"/>
      <w:pPr>
        <w:tabs>
          <w:tab w:val="num" w:pos="1440"/>
        </w:tabs>
        <w:ind w:left="1440" w:hanging="360"/>
      </w:pPr>
      <w:rPr>
        <w:rFonts w:ascii="Courier New" w:hAnsi="Courier New" w:hint="default"/>
      </w:rPr>
    </w:lvl>
    <w:lvl w:ilvl="2" w:tplc="7DF246D0" w:tentative="1">
      <w:start w:val="1"/>
      <w:numFmt w:val="bullet"/>
      <w:lvlText w:val=""/>
      <w:lvlJc w:val="left"/>
      <w:pPr>
        <w:tabs>
          <w:tab w:val="num" w:pos="2160"/>
        </w:tabs>
        <w:ind w:left="2160" w:hanging="360"/>
      </w:pPr>
      <w:rPr>
        <w:rFonts w:ascii="Wingdings" w:hAnsi="Wingdings" w:hint="default"/>
      </w:rPr>
    </w:lvl>
    <w:lvl w:ilvl="3" w:tplc="FED4CC2C" w:tentative="1">
      <w:start w:val="1"/>
      <w:numFmt w:val="bullet"/>
      <w:lvlText w:val=""/>
      <w:lvlJc w:val="left"/>
      <w:pPr>
        <w:tabs>
          <w:tab w:val="num" w:pos="2880"/>
        </w:tabs>
        <w:ind w:left="2880" w:hanging="360"/>
      </w:pPr>
      <w:rPr>
        <w:rFonts w:ascii="Symbol" w:hAnsi="Symbol" w:hint="default"/>
      </w:rPr>
    </w:lvl>
    <w:lvl w:ilvl="4" w:tplc="2F345C48" w:tentative="1">
      <w:start w:val="1"/>
      <w:numFmt w:val="bullet"/>
      <w:lvlText w:val="o"/>
      <w:lvlJc w:val="left"/>
      <w:pPr>
        <w:tabs>
          <w:tab w:val="num" w:pos="3600"/>
        </w:tabs>
        <w:ind w:left="3600" w:hanging="360"/>
      </w:pPr>
      <w:rPr>
        <w:rFonts w:ascii="Courier New" w:hAnsi="Courier New" w:hint="default"/>
      </w:rPr>
    </w:lvl>
    <w:lvl w:ilvl="5" w:tplc="C11ABA8A" w:tentative="1">
      <w:start w:val="1"/>
      <w:numFmt w:val="bullet"/>
      <w:lvlText w:val=""/>
      <w:lvlJc w:val="left"/>
      <w:pPr>
        <w:tabs>
          <w:tab w:val="num" w:pos="4320"/>
        </w:tabs>
        <w:ind w:left="4320" w:hanging="360"/>
      </w:pPr>
      <w:rPr>
        <w:rFonts w:ascii="Wingdings" w:hAnsi="Wingdings" w:hint="default"/>
      </w:rPr>
    </w:lvl>
    <w:lvl w:ilvl="6" w:tplc="CCE03FBE" w:tentative="1">
      <w:start w:val="1"/>
      <w:numFmt w:val="bullet"/>
      <w:lvlText w:val=""/>
      <w:lvlJc w:val="left"/>
      <w:pPr>
        <w:tabs>
          <w:tab w:val="num" w:pos="5040"/>
        </w:tabs>
        <w:ind w:left="5040" w:hanging="360"/>
      </w:pPr>
      <w:rPr>
        <w:rFonts w:ascii="Symbol" w:hAnsi="Symbol" w:hint="default"/>
      </w:rPr>
    </w:lvl>
    <w:lvl w:ilvl="7" w:tplc="CB982AD0" w:tentative="1">
      <w:start w:val="1"/>
      <w:numFmt w:val="bullet"/>
      <w:lvlText w:val="o"/>
      <w:lvlJc w:val="left"/>
      <w:pPr>
        <w:tabs>
          <w:tab w:val="num" w:pos="5760"/>
        </w:tabs>
        <w:ind w:left="5760" w:hanging="360"/>
      </w:pPr>
      <w:rPr>
        <w:rFonts w:ascii="Courier New" w:hAnsi="Courier New" w:hint="default"/>
      </w:rPr>
    </w:lvl>
    <w:lvl w:ilvl="8" w:tplc="ECFABC4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E37E09BC">
      <w:start w:val="1"/>
      <w:numFmt w:val="lowerRoman"/>
      <w:lvlText w:val="(%1)"/>
      <w:lvlJc w:val="left"/>
      <w:pPr>
        <w:tabs>
          <w:tab w:val="num" w:pos="2448"/>
        </w:tabs>
        <w:ind w:left="2448" w:hanging="648"/>
      </w:pPr>
      <w:rPr>
        <w:rFonts w:cs="Times New Roman" w:hint="default"/>
        <w:b w:val="0"/>
        <w:i w:val="0"/>
        <w:u w:val="none"/>
      </w:rPr>
    </w:lvl>
    <w:lvl w:ilvl="1" w:tplc="AB88348E" w:tentative="1">
      <w:start w:val="1"/>
      <w:numFmt w:val="lowerLetter"/>
      <w:lvlText w:val="%2."/>
      <w:lvlJc w:val="left"/>
      <w:pPr>
        <w:tabs>
          <w:tab w:val="num" w:pos="1440"/>
        </w:tabs>
        <w:ind w:left="1440" w:hanging="360"/>
      </w:pPr>
      <w:rPr>
        <w:rFonts w:cs="Times New Roman"/>
      </w:rPr>
    </w:lvl>
    <w:lvl w:ilvl="2" w:tplc="995E1CD8" w:tentative="1">
      <w:start w:val="1"/>
      <w:numFmt w:val="lowerRoman"/>
      <w:lvlText w:val="%3."/>
      <w:lvlJc w:val="right"/>
      <w:pPr>
        <w:tabs>
          <w:tab w:val="num" w:pos="2160"/>
        </w:tabs>
        <w:ind w:left="2160" w:hanging="180"/>
      </w:pPr>
      <w:rPr>
        <w:rFonts w:cs="Times New Roman"/>
      </w:rPr>
    </w:lvl>
    <w:lvl w:ilvl="3" w:tplc="020E38F0" w:tentative="1">
      <w:start w:val="1"/>
      <w:numFmt w:val="decimal"/>
      <w:lvlText w:val="%4."/>
      <w:lvlJc w:val="left"/>
      <w:pPr>
        <w:tabs>
          <w:tab w:val="num" w:pos="2880"/>
        </w:tabs>
        <w:ind w:left="2880" w:hanging="360"/>
      </w:pPr>
      <w:rPr>
        <w:rFonts w:cs="Times New Roman"/>
      </w:rPr>
    </w:lvl>
    <w:lvl w:ilvl="4" w:tplc="BE8210E0" w:tentative="1">
      <w:start w:val="1"/>
      <w:numFmt w:val="lowerLetter"/>
      <w:lvlText w:val="%5."/>
      <w:lvlJc w:val="left"/>
      <w:pPr>
        <w:tabs>
          <w:tab w:val="num" w:pos="3600"/>
        </w:tabs>
        <w:ind w:left="3600" w:hanging="360"/>
      </w:pPr>
      <w:rPr>
        <w:rFonts w:cs="Times New Roman"/>
      </w:rPr>
    </w:lvl>
    <w:lvl w:ilvl="5" w:tplc="CD746F6A" w:tentative="1">
      <w:start w:val="1"/>
      <w:numFmt w:val="lowerRoman"/>
      <w:lvlText w:val="%6."/>
      <w:lvlJc w:val="right"/>
      <w:pPr>
        <w:tabs>
          <w:tab w:val="num" w:pos="4320"/>
        </w:tabs>
        <w:ind w:left="4320" w:hanging="180"/>
      </w:pPr>
      <w:rPr>
        <w:rFonts w:cs="Times New Roman"/>
      </w:rPr>
    </w:lvl>
    <w:lvl w:ilvl="6" w:tplc="C90676BA" w:tentative="1">
      <w:start w:val="1"/>
      <w:numFmt w:val="decimal"/>
      <w:lvlText w:val="%7."/>
      <w:lvlJc w:val="left"/>
      <w:pPr>
        <w:tabs>
          <w:tab w:val="num" w:pos="5040"/>
        </w:tabs>
        <w:ind w:left="5040" w:hanging="360"/>
      </w:pPr>
      <w:rPr>
        <w:rFonts w:cs="Times New Roman"/>
      </w:rPr>
    </w:lvl>
    <w:lvl w:ilvl="7" w:tplc="5A722ACA" w:tentative="1">
      <w:start w:val="1"/>
      <w:numFmt w:val="lowerLetter"/>
      <w:lvlText w:val="%8."/>
      <w:lvlJc w:val="left"/>
      <w:pPr>
        <w:tabs>
          <w:tab w:val="num" w:pos="5760"/>
        </w:tabs>
        <w:ind w:left="5760" w:hanging="360"/>
      </w:pPr>
      <w:rPr>
        <w:rFonts w:cs="Times New Roman"/>
      </w:rPr>
    </w:lvl>
    <w:lvl w:ilvl="8" w:tplc="D0BC5520"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E8BC1478">
      <w:start w:val="1"/>
      <w:numFmt w:val="decimal"/>
      <w:lvlText w:val="%1."/>
      <w:lvlJc w:val="left"/>
      <w:pPr>
        <w:tabs>
          <w:tab w:val="num" w:pos="720"/>
        </w:tabs>
        <w:ind w:left="720" w:hanging="360"/>
      </w:pPr>
      <w:rPr>
        <w:rFonts w:cs="Times New Roman"/>
      </w:rPr>
    </w:lvl>
    <w:lvl w:ilvl="1" w:tplc="AFDE617A" w:tentative="1">
      <w:start w:val="1"/>
      <w:numFmt w:val="lowerLetter"/>
      <w:lvlText w:val="%2."/>
      <w:lvlJc w:val="left"/>
      <w:pPr>
        <w:tabs>
          <w:tab w:val="num" w:pos="1440"/>
        </w:tabs>
        <w:ind w:left="1440" w:hanging="360"/>
      </w:pPr>
      <w:rPr>
        <w:rFonts w:cs="Times New Roman"/>
      </w:rPr>
    </w:lvl>
    <w:lvl w:ilvl="2" w:tplc="DF568AAA" w:tentative="1">
      <w:start w:val="1"/>
      <w:numFmt w:val="lowerRoman"/>
      <w:lvlText w:val="%3."/>
      <w:lvlJc w:val="right"/>
      <w:pPr>
        <w:tabs>
          <w:tab w:val="num" w:pos="2160"/>
        </w:tabs>
        <w:ind w:left="2160" w:hanging="180"/>
      </w:pPr>
      <w:rPr>
        <w:rFonts w:cs="Times New Roman"/>
      </w:rPr>
    </w:lvl>
    <w:lvl w:ilvl="3" w:tplc="1D165902" w:tentative="1">
      <w:start w:val="1"/>
      <w:numFmt w:val="decimal"/>
      <w:lvlText w:val="%4."/>
      <w:lvlJc w:val="left"/>
      <w:pPr>
        <w:tabs>
          <w:tab w:val="num" w:pos="2880"/>
        </w:tabs>
        <w:ind w:left="2880" w:hanging="360"/>
      </w:pPr>
      <w:rPr>
        <w:rFonts w:cs="Times New Roman"/>
      </w:rPr>
    </w:lvl>
    <w:lvl w:ilvl="4" w:tplc="37D09474" w:tentative="1">
      <w:start w:val="1"/>
      <w:numFmt w:val="lowerLetter"/>
      <w:lvlText w:val="%5."/>
      <w:lvlJc w:val="left"/>
      <w:pPr>
        <w:tabs>
          <w:tab w:val="num" w:pos="3600"/>
        </w:tabs>
        <w:ind w:left="3600" w:hanging="360"/>
      </w:pPr>
      <w:rPr>
        <w:rFonts w:cs="Times New Roman"/>
      </w:rPr>
    </w:lvl>
    <w:lvl w:ilvl="5" w:tplc="D190055E" w:tentative="1">
      <w:start w:val="1"/>
      <w:numFmt w:val="lowerRoman"/>
      <w:lvlText w:val="%6."/>
      <w:lvlJc w:val="right"/>
      <w:pPr>
        <w:tabs>
          <w:tab w:val="num" w:pos="4320"/>
        </w:tabs>
        <w:ind w:left="4320" w:hanging="180"/>
      </w:pPr>
      <w:rPr>
        <w:rFonts w:cs="Times New Roman"/>
      </w:rPr>
    </w:lvl>
    <w:lvl w:ilvl="6" w:tplc="23F845A4" w:tentative="1">
      <w:start w:val="1"/>
      <w:numFmt w:val="decimal"/>
      <w:lvlText w:val="%7."/>
      <w:lvlJc w:val="left"/>
      <w:pPr>
        <w:tabs>
          <w:tab w:val="num" w:pos="5040"/>
        </w:tabs>
        <w:ind w:left="5040" w:hanging="360"/>
      </w:pPr>
      <w:rPr>
        <w:rFonts w:cs="Times New Roman"/>
      </w:rPr>
    </w:lvl>
    <w:lvl w:ilvl="7" w:tplc="FE1E805A" w:tentative="1">
      <w:start w:val="1"/>
      <w:numFmt w:val="lowerLetter"/>
      <w:lvlText w:val="%8."/>
      <w:lvlJc w:val="left"/>
      <w:pPr>
        <w:tabs>
          <w:tab w:val="num" w:pos="5760"/>
        </w:tabs>
        <w:ind w:left="5760" w:hanging="360"/>
      </w:pPr>
      <w:rPr>
        <w:rFonts w:cs="Times New Roman"/>
      </w:rPr>
    </w:lvl>
    <w:lvl w:ilvl="8" w:tplc="88F6E7B0"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C728CCBC">
      <w:start w:val="1"/>
      <w:numFmt w:val="bullet"/>
      <w:lvlText w:val=""/>
      <w:lvlJc w:val="left"/>
      <w:pPr>
        <w:tabs>
          <w:tab w:val="num" w:pos="5760"/>
        </w:tabs>
        <w:ind w:left="5760" w:hanging="360"/>
      </w:pPr>
      <w:rPr>
        <w:rFonts w:ascii="Symbol" w:hAnsi="Symbol" w:hint="default"/>
        <w:color w:val="auto"/>
        <w:u w:val="none"/>
      </w:rPr>
    </w:lvl>
    <w:lvl w:ilvl="1" w:tplc="CBC6EF9E" w:tentative="1">
      <w:start w:val="1"/>
      <w:numFmt w:val="bullet"/>
      <w:lvlText w:val="o"/>
      <w:lvlJc w:val="left"/>
      <w:pPr>
        <w:tabs>
          <w:tab w:val="num" w:pos="3600"/>
        </w:tabs>
        <w:ind w:left="3600" w:hanging="360"/>
      </w:pPr>
      <w:rPr>
        <w:rFonts w:ascii="Courier New" w:hAnsi="Courier New" w:hint="default"/>
      </w:rPr>
    </w:lvl>
    <w:lvl w:ilvl="2" w:tplc="1382BD6E" w:tentative="1">
      <w:start w:val="1"/>
      <w:numFmt w:val="bullet"/>
      <w:lvlText w:val=""/>
      <w:lvlJc w:val="left"/>
      <w:pPr>
        <w:tabs>
          <w:tab w:val="num" w:pos="4320"/>
        </w:tabs>
        <w:ind w:left="4320" w:hanging="360"/>
      </w:pPr>
      <w:rPr>
        <w:rFonts w:ascii="Wingdings" w:hAnsi="Wingdings" w:hint="default"/>
      </w:rPr>
    </w:lvl>
    <w:lvl w:ilvl="3" w:tplc="B5808B5E">
      <w:start w:val="1"/>
      <w:numFmt w:val="bullet"/>
      <w:lvlText w:val=""/>
      <w:lvlJc w:val="left"/>
      <w:pPr>
        <w:tabs>
          <w:tab w:val="num" w:pos="5040"/>
        </w:tabs>
        <w:ind w:left="5040" w:hanging="360"/>
      </w:pPr>
      <w:rPr>
        <w:rFonts w:ascii="Symbol" w:hAnsi="Symbol" w:hint="default"/>
      </w:rPr>
    </w:lvl>
    <w:lvl w:ilvl="4" w:tplc="3108702C" w:tentative="1">
      <w:start w:val="1"/>
      <w:numFmt w:val="bullet"/>
      <w:lvlText w:val="o"/>
      <w:lvlJc w:val="left"/>
      <w:pPr>
        <w:tabs>
          <w:tab w:val="num" w:pos="5760"/>
        </w:tabs>
        <w:ind w:left="5760" w:hanging="360"/>
      </w:pPr>
      <w:rPr>
        <w:rFonts w:ascii="Courier New" w:hAnsi="Courier New" w:hint="default"/>
      </w:rPr>
    </w:lvl>
    <w:lvl w:ilvl="5" w:tplc="C414B652" w:tentative="1">
      <w:start w:val="1"/>
      <w:numFmt w:val="bullet"/>
      <w:lvlText w:val=""/>
      <w:lvlJc w:val="left"/>
      <w:pPr>
        <w:tabs>
          <w:tab w:val="num" w:pos="6480"/>
        </w:tabs>
        <w:ind w:left="6480" w:hanging="360"/>
      </w:pPr>
      <w:rPr>
        <w:rFonts w:ascii="Wingdings" w:hAnsi="Wingdings" w:hint="default"/>
      </w:rPr>
    </w:lvl>
    <w:lvl w:ilvl="6" w:tplc="02C0B8EC" w:tentative="1">
      <w:start w:val="1"/>
      <w:numFmt w:val="bullet"/>
      <w:lvlText w:val=""/>
      <w:lvlJc w:val="left"/>
      <w:pPr>
        <w:tabs>
          <w:tab w:val="num" w:pos="7200"/>
        </w:tabs>
        <w:ind w:left="7200" w:hanging="360"/>
      </w:pPr>
      <w:rPr>
        <w:rFonts w:ascii="Symbol" w:hAnsi="Symbol" w:hint="default"/>
      </w:rPr>
    </w:lvl>
    <w:lvl w:ilvl="7" w:tplc="D108CAA0" w:tentative="1">
      <w:start w:val="1"/>
      <w:numFmt w:val="bullet"/>
      <w:lvlText w:val="o"/>
      <w:lvlJc w:val="left"/>
      <w:pPr>
        <w:tabs>
          <w:tab w:val="num" w:pos="7920"/>
        </w:tabs>
        <w:ind w:left="7920" w:hanging="360"/>
      </w:pPr>
      <w:rPr>
        <w:rFonts w:ascii="Courier New" w:hAnsi="Courier New" w:hint="default"/>
      </w:rPr>
    </w:lvl>
    <w:lvl w:ilvl="8" w:tplc="F92A68AC"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01F6A59E">
      <w:start w:val="1"/>
      <w:numFmt w:val="decimal"/>
      <w:lvlText w:val="(%1)"/>
      <w:lvlJc w:val="left"/>
      <w:pPr>
        <w:tabs>
          <w:tab w:val="num" w:pos="2520"/>
        </w:tabs>
        <w:ind w:left="2520" w:hanging="720"/>
      </w:pPr>
      <w:rPr>
        <w:rFonts w:cs="Times New Roman" w:hint="default"/>
      </w:rPr>
    </w:lvl>
    <w:lvl w:ilvl="1" w:tplc="34F613FE">
      <w:start w:val="1"/>
      <w:numFmt w:val="lowerRoman"/>
      <w:lvlText w:val="(%2)"/>
      <w:lvlJc w:val="left"/>
      <w:pPr>
        <w:tabs>
          <w:tab w:val="num" w:pos="1800"/>
        </w:tabs>
        <w:ind w:left="1800" w:hanging="720"/>
      </w:pPr>
      <w:rPr>
        <w:rFonts w:cs="Times New Roman" w:hint="default"/>
        <w:b w:val="0"/>
      </w:rPr>
    </w:lvl>
    <w:lvl w:ilvl="2" w:tplc="3906E3D4">
      <w:start w:val="1"/>
      <w:numFmt w:val="decimal"/>
      <w:lvlText w:val="(%3)"/>
      <w:lvlJc w:val="right"/>
      <w:pPr>
        <w:tabs>
          <w:tab w:val="num" w:pos="2160"/>
        </w:tabs>
        <w:ind w:left="2160" w:hanging="180"/>
      </w:pPr>
      <w:rPr>
        <w:rFonts w:ascii="Times New Roman" w:eastAsia="Times New Roman" w:hAnsi="Times New Roman" w:cs="Times New Roman"/>
        <w:b w:val="0"/>
      </w:rPr>
    </w:lvl>
    <w:lvl w:ilvl="3" w:tplc="00EEEB18">
      <w:start w:val="1"/>
      <w:numFmt w:val="lowerRoman"/>
      <w:lvlText w:val="(%4)"/>
      <w:lvlJc w:val="left"/>
      <w:pPr>
        <w:tabs>
          <w:tab w:val="num" w:pos="2520"/>
        </w:tabs>
        <w:ind w:left="2880" w:hanging="360"/>
      </w:pPr>
      <w:rPr>
        <w:rFonts w:cs="Times New Roman" w:hint="default"/>
        <w:b w:val="0"/>
      </w:rPr>
    </w:lvl>
    <w:lvl w:ilvl="4" w:tplc="7EDE98D0" w:tentative="1">
      <w:start w:val="1"/>
      <w:numFmt w:val="lowerLetter"/>
      <w:lvlText w:val="%5."/>
      <w:lvlJc w:val="left"/>
      <w:pPr>
        <w:tabs>
          <w:tab w:val="num" w:pos="3600"/>
        </w:tabs>
        <w:ind w:left="3600" w:hanging="360"/>
      </w:pPr>
      <w:rPr>
        <w:rFonts w:cs="Times New Roman"/>
      </w:rPr>
    </w:lvl>
    <w:lvl w:ilvl="5" w:tplc="D910D224" w:tentative="1">
      <w:start w:val="1"/>
      <w:numFmt w:val="lowerRoman"/>
      <w:lvlText w:val="%6."/>
      <w:lvlJc w:val="right"/>
      <w:pPr>
        <w:tabs>
          <w:tab w:val="num" w:pos="4320"/>
        </w:tabs>
        <w:ind w:left="4320" w:hanging="180"/>
      </w:pPr>
      <w:rPr>
        <w:rFonts w:cs="Times New Roman"/>
      </w:rPr>
    </w:lvl>
    <w:lvl w:ilvl="6" w:tplc="3976E342" w:tentative="1">
      <w:start w:val="1"/>
      <w:numFmt w:val="decimal"/>
      <w:lvlText w:val="%7."/>
      <w:lvlJc w:val="left"/>
      <w:pPr>
        <w:tabs>
          <w:tab w:val="num" w:pos="5040"/>
        </w:tabs>
        <w:ind w:left="5040" w:hanging="360"/>
      </w:pPr>
      <w:rPr>
        <w:rFonts w:cs="Times New Roman"/>
      </w:rPr>
    </w:lvl>
    <w:lvl w:ilvl="7" w:tplc="11B48552" w:tentative="1">
      <w:start w:val="1"/>
      <w:numFmt w:val="lowerLetter"/>
      <w:lvlText w:val="%8."/>
      <w:lvlJc w:val="left"/>
      <w:pPr>
        <w:tabs>
          <w:tab w:val="num" w:pos="5760"/>
        </w:tabs>
        <w:ind w:left="5760" w:hanging="360"/>
      </w:pPr>
      <w:rPr>
        <w:rFonts w:cs="Times New Roman"/>
      </w:rPr>
    </w:lvl>
    <w:lvl w:ilvl="8" w:tplc="3CE2370A"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CF5E61"/>
    <w:rsid w:val="0070506C"/>
    <w:rsid w:val="00CF5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uiPriority w:val="99"/>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uiPriority w:val="99"/>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uiPriority w:val="99"/>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1ECFEB-50E1-4398-9401-612855B3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1901</Words>
  <Characters>10841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 Starter</cp:lastModifiedBy>
  <cp:revision>2</cp:revision>
  <cp:lastPrinted>2014-05-28T17:19:00Z</cp:lastPrinted>
  <dcterms:created xsi:type="dcterms:W3CDTF">2019-01-31T22:00:00Z</dcterms:created>
  <dcterms:modified xsi:type="dcterms:W3CDTF">2019-01-31T22:00:00Z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513760464</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Elimination of Non-Firm Transmission Service Filing</vt:lpwstr>
  </property>
  <property fmtid="{D5CDD505-2E9C-101B-9397-08002B2CF9AE}" pid="6" name="_NewReviewCycle">
    <vt:lpwstr/>
  </property>
  <property fmtid="{D5CDD505-2E9C-101B-9397-08002B2CF9AE}" pid="7" name="_PreviousAdHocReviewCycleID">
    <vt:i4>-252027280</vt:i4>
  </property>
  <property fmtid="{D5CDD505-2E9C-101B-9397-08002B2CF9AE}" pid="8" name="_ReviewingToolsShownOnce">
    <vt:lpwstr/>
  </property>
</Properties>
</file>