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7168AD" w:rsidP="00CA43B9">
      <w:pPr>
        <w:pStyle w:val="Heading2"/>
      </w:pPr>
      <w:bookmarkStart w:id="0" w:name="_Toc261444337"/>
      <w:bookmarkStart w:id="1" w:name="_GoBack"/>
      <w:bookmarkEnd w:id="1"/>
      <w:r>
        <w:t>1.15</w:t>
      </w:r>
      <w:r>
        <w:tab/>
        <w:t>Definitions - O</w:t>
      </w:r>
      <w:bookmarkEnd w:id="0"/>
    </w:p>
    <w:p w:rsidR="00A8398A" w:rsidRDefault="007168AD"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7168AD"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7168AD"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67016E" w:rsidRPr="00A9659B" w:rsidRDefault="007168AD" w:rsidP="00FE1767">
      <w:pPr>
        <w:pStyle w:val="Definition"/>
      </w:pPr>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p>
    <w:p w:rsidR="00A8398A" w:rsidRPr="00A9659B" w:rsidRDefault="007168AD"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7168AD"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7168AD"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7168AD"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7168AD"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7168AD"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w:t>
      </w:r>
      <w:r w:rsidRPr="00D76A3F">
        <w:t>gibility criteria set forth in Rate Schedule</w:t>
      </w:r>
      <w:r>
        <w:t xml:space="preserve"> 4 of this ISO Services Tariff and that can be started, synchronized and can change their output level within ten (10) minutes; and</w:t>
      </w:r>
    </w:p>
    <w:p w:rsidR="00C51100" w:rsidRDefault="007168AD" w:rsidP="006E5482">
      <w:pPr>
        <w:pStyle w:val="Definitionindent"/>
      </w:pPr>
      <w:r>
        <w:lastRenderedPageBreak/>
        <w:t xml:space="preserve">(3) </w:t>
      </w:r>
      <w:r>
        <w:tab/>
      </w:r>
      <w:r>
        <w:t xml:space="preserve">30-Minute Reserve:  Synchronized Operating Reserves provided by </w:t>
      </w:r>
      <w:r w:rsidRPr="00D76A3F">
        <w:t>Generators</w:t>
      </w:r>
      <w:r>
        <w:t>,</w:t>
      </w:r>
      <w:r>
        <w:t xml:space="preserve"> </w:t>
      </w:r>
      <w:r>
        <w:t>except Behind-the-Meter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w:t>
      </w:r>
      <w:r>
        <w:t>erators</w:t>
      </w:r>
      <w:r>
        <w:t>, Behind-the-Meter Net Generation Resources that are comprised of more than one generating unit and dispatched as a single aggregate unit,</w:t>
      </w:r>
      <w:r>
        <w:t xml:space="preserve"> or Demand Side Resources that meet the eligibility criteria set forth in Rate Schedule 4 of this ISO Services </w:t>
      </w:r>
      <w:r>
        <w:t>Tariff and that can respond to instructions to change their output level within thirty (30) minutes, including starting and synchronizing to the NYS Power System.</w:t>
      </w:r>
    </w:p>
    <w:p w:rsidR="00C51100" w:rsidRDefault="007168AD" w:rsidP="00FE1767">
      <w:pPr>
        <w:pStyle w:val="Definition"/>
        <w:rPr>
          <w:bCs/>
        </w:rPr>
      </w:pPr>
      <w:r>
        <w:rPr>
          <w:b/>
        </w:rPr>
        <w:t>Operating Reserve Demand Curve:</w:t>
      </w:r>
      <w:r>
        <w:rPr>
          <w:bCs/>
        </w:rPr>
        <w:t xml:space="preserve">  A series of quantity/price points that defines the maximum S</w:t>
      </w:r>
      <w:r>
        <w:rPr>
          <w:bCs/>
        </w:rPr>
        <w:t>hadow Price for Operating Reserves meeting a particular Operating Reserve requirement corresponding to each possible quantity of Resources that the ISO’s software may schedule to meet that requirement.  A single Operating Reserve Demand Curve will apply to</w:t>
      </w:r>
      <w:r>
        <w:rPr>
          <w:bCs/>
        </w:rPr>
        <w:t xml:space="preserve"> both the Day-Ahead Market and the Real-Time Market for each of the ISO’s </w:t>
      </w:r>
      <w:r>
        <w:rPr>
          <w:bCs/>
        </w:rPr>
        <w:t>twelve</w:t>
      </w:r>
      <w:r>
        <w:rPr>
          <w:bCs/>
        </w:rPr>
        <w:t xml:space="preserve"> </w:t>
      </w:r>
      <w:r>
        <w:rPr>
          <w:bCs/>
        </w:rPr>
        <w:t>Operating Reserve requirements.</w:t>
      </w:r>
    </w:p>
    <w:p w:rsidR="00C51100" w:rsidRDefault="007168AD" w:rsidP="00FE1767">
      <w:pPr>
        <w:pStyle w:val="Definition"/>
      </w:pPr>
      <w:r>
        <w:rPr>
          <w:b/>
        </w:rPr>
        <w:t>Operating Study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w:t>
      </w:r>
    </w:p>
    <w:p w:rsidR="00345EB5" w:rsidRDefault="007168AD" w:rsidP="00FE1767">
      <w:pPr>
        <w:pStyle w:val="Definition"/>
      </w:pPr>
      <w:r>
        <w:rPr>
          <w:b/>
        </w:rPr>
        <w:t xml:space="preserve">Operational Control:  </w:t>
      </w:r>
      <w:r>
        <w:t>Directing the operation of the Transmission Facilities Under ISO Operational Control to maintain these facilities in a reliable state, as defined by the Relia</w:t>
      </w:r>
      <w:r>
        <w:t>bility Rules.  The ISO shall approve operational decisions concerning these facilities, made by each Transmission Owner before the Transmission Owner implements those decisions.  In accordance with ISO Procedures, the ISO shall direct each Transmission Own</w:t>
      </w:r>
      <w:r>
        <w:t xml:space="preserve">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w:t>
      </w:r>
      <w:r>
        <w:t>ination of changes in transmission status for reliability, coordination with other Control Areas, voltage reductions and Load Shedding, except that each Transmission Owner continues to physically operate and maintain its facilities.</w:t>
      </w:r>
    </w:p>
    <w:p w:rsidR="00345EB5" w:rsidRDefault="007168AD" w:rsidP="00FE1767">
      <w:pPr>
        <w:pStyle w:val="Definition"/>
      </w:pPr>
      <w:r w:rsidRPr="008E5B36">
        <w:rPr>
          <w:b/>
          <w:bCs/>
        </w:rPr>
        <w:t>Optimal Power Flow (“OP</w:t>
      </w:r>
      <w:r w:rsidRPr="008E5B36">
        <w:rPr>
          <w:b/>
          <w:bCs/>
        </w:rPr>
        <w:t>F”):</w:t>
      </w:r>
      <w:r w:rsidRPr="008E5B36">
        <w:t xml:space="preserve"> The Power Flow analysis that is performed during the administration of the Centralized TCC Auction to determine the most efficient simultaneously feasible allocation of TCCs to bidders</w:t>
      </w:r>
      <w:r w:rsidRPr="008E5B36">
        <w:t>.</w:t>
      </w:r>
      <w:r w:rsidRPr="008E5B36">
        <w:t xml:space="preserve"> </w:t>
      </w:r>
    </w:p>
    <w:p w:rsidR="00345EB5" w:rsidRDefault="007168AD" w:rsidP="00FE1767">
      <w:pPr>
        <w:pStyle w:val="Definition"/>
      </w:pPr>
      <w:r>
        <w:rPr>
          <w:b/>
          <w:bCs/>
        </w:rPr>
        <w:t>Original Residual TCC:</w:t>
      </w:r>
      <w:r>
        <w:t xml:space="preserve"> A TCC converted from Residual Transmissio</w:t>
      </w:r>
      <w:r>
        <w:t>n Capacity estimated prior to the first Centralized TCC Auction and allocated among the Transmission Owners utilizing the Interface MW</w:t>
      </w:r>
      <w:r>
        <w:t>-</w:t>
      </w:r>
      <w:r>
        <w:t>Mile Methodology prior to the first Centralized TCC Auction.</w:t>
      </w:r>
    </w:p>
    <w:p w:rsidR="00345EB5" w:rsidRDefault="007168AD"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w:t>
      </w:r>
      <w:r w:rsidRPr="00FF4F1F">
        <w:rPr>
          <w:u w:val="single"/>
        </w:rPr>
        <w:t>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xml:space="preserve">, 81 </w:t>
      </w:r>
      <w:r>
        <w:lastRenderedPageBreak/>
        <w:t>FERC ¶ 61,248 (1997) (“Order No.</w:t>
      </w:r>
      <w:r>
        <w:t xml:space="preserve"> 888</w:t>
      </w:r>
      <w:r>
        <w:noBreakHyphen/>
        <w:t xml:space="preserve">B”) (Order </w:t>
      </w:r>
      <w:r w:rsidRPr="00FF4F1F">
        <w:rPr>
          <w:u w:val="single"/>
        </w:rPr>
        <w:t>on reh’g</w:t>
      </w:r>
      <w:r>
        <w:t xml:space="preserve"> 82 FERC ¶ 61,046 (1998) (“Order No. 888</w:t>
      </w:r>
      <w:r>
        <w:noBreakHyphen/>
        <w:t xml:space="preserve"> C”).</w:t>
      </w:r>
    </w:p>
    <w:p w:rsidR="00345EB5" w:rsidRDefault="007168AD"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issued by the Commission on</w:t>
      </w:r>
      <w:r>
        <w:t xml:space="preserve">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w:t>
      </w:r>
      <w:r>
        <w:t>1 FERC ¶ 61,253 (1997) (“Order No. 889</w:t>
      </w:r>
      <w:r>
        <w:noBreakHyphen/>
        <w:t xml:space="preserve">B”)). </w:t>
      </w:r>
    </w:p>
    <w:p w:rsidR="00345EB5" w:rsidRPr="002573A4" w:rsidRDefault="007168AD"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w:t>
      </w:r>
      <w:r w:rsidRPr="002573A4">
        <w:rPr>
          <w:snapToGrid/>
          <w:szCs w:val="24"/>
        </w:rPr>
        <w:t>SO’s security constrained economic commitment and/or dispatch.</w:t>
      </w:r>
    </w:p>
    <w:p w:rsidR="00CA4F49" w:rsidRPr="00CA4F49" w:rsidRDefault="007168AD"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8AD">
      <w:r>
        <w:separator/>
      </w:r>
    </w:p>
  </w:endnote>
  <w:endnote w:type="continuationSeparator" w:id="0">
    <w:p w:rsidR="00000000" w:rsidRDefault="0071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C" w:rsidRDefault="007168A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C" w:rsidRDefault="007168A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C" w:rsidRDefault="007168A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8AD">
      <w:r>
        <w:separator/>
      </w:r>
    </w:p>
  </w:footnote>
  <w:footnote w:type="continuationSeparator" w:id="0">
    <w:p w:rsidR="00000000" w:rsidRDefault="00716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C" w:rsidRDefault="007168A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C" w:rsidRDefault="007168A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C" w:rsidRDefault="007168A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6048636">
      <w:start w:val="1"/>
      <w:numFmt w:val="bullet"/>
      <w:pStyle w:val="Bulletpara"/>
      <w:lvlText w:val=""/>
      <w:lvlJc w:val="left"/>
      <w:pPr>
        <w:tabs>
          <w:tab w:val="num" w:pos="720"/>
        </w:tabs>
        <w:ind w:left="720" w:hanging="360"/>
      </w:pPr>
      <w:rPr>
        <w:rFonts w:ascii="Symbol" w:hAnsi="Symbol" w:hint="default"/>
      </w:rPr>
    </w:lvl>
    <w:lvl w:ilvl="1" w:tplc="250C86A0" w:tentative="1">
      <w:start w:val="1"/>
      <w:numFmt w:val="bullet"/>
      <w:lvlText w:val="o"/>
      <w:lvlJc w:val="left"/>
      <w:pPr>
        <w:tabs>
          <w:tab w:val="num" w:pos="1440"/>
        </w:tabs>
        <w:ind w:left="1440" w:hanging="360"/>
      </w:pPr>
      <w:rPr>
        <w:rFonts w:ascii="Courier New" w:hAnsi="Courier New" w:cs="Courier New" w:hint="default"/>
      </w:rPr>
    </w:lvl>
    <w:lvl w:ilvl="2" w:tplc="414E97F4" w:tentative="1">
      <w:start w:val="1"/>
      <w:numFmt w:val="bullet"/>
      <w:lvlText w:val=""/>
      <w:lvlJc w:val="left"/>
      <w:pPr>
        <w:tabs>
          <w:tab w:val="num" w:pos="2160"/>
        </w:tabs>
        <w:ind w:left="2160" w:hanging="360"/>
      </w:pPr>
      <w:rPr>
        <w:rFonts w:ascii="Wingdings" w:hAnsi="Wingdings" w:hint="default"/>
      </w:rPr>
    </w:lvl>
    <w:lvl w:ilvl="3" w:tplc="11449E92" w:tentative="1">
      <w:start w:val="1"/>
      <w:numFmt w:val="bullet"/>
      <w:lvlText w:val=""/>
      <w:lvlJc w:val="left"/>
      <w:pPr>
        <w:tabs>
          <w:tab w:val="num" w:pos="2880"/>
        </w:tabs>
        <w:ind w:left="2880" w:hanging="360"/>
      </w:pPr>
      <w:rPr>
        <w:rFonts w:ascii="Symbol" w:hAnsi="Symbol" w:hint="default"/>
      </w:rPr>
    </w:lvl>
    <w:lvl w:ilvl="4" w:tplc="C324B4A8" w:tentative="1">
      <w:start w:val="1"/>
      <w:numFmt w:val="bullet"/>
      <w:lvlText w:val="o"/>
      <w:lvlJc w:val="left"/>
      <w:pPr>
        <w:tabs>
          <w:tab w:val="num" w:pos="3600"/>
        </w:tabs>
        <w:ind w:left="3600" w:hanging="360"/>
      </w:pPr>
      <w:rPr>
        <w:rFonts w:ascii="Courier New" w:hAnsi="Courier New" w:cs="Courier New" w:hint="default"/>
      </w:rPr>
    </w:lvl>
    <w:lvl w:ilvl="5" w:tplc="198EA6FA" w:tentative="1">
      <w:start w:val="1"/>
      <w:numFmt w:val="bullet"/>
      <w:lvlText w:val=""/>
      <w:lvlJc w:val="left"/>
      <w:pPr>
        <w:tabs>
          <w:tab w:val="num" w:pos="4320"/>
        </w:tabs>
        <w:ind w:left="4320" w:hanging="360"/>
      </w:pPr>
      <w:rPr>
        <w:rFonts w:ascii="Wingdings" w:hAnsi="Wingdings" w:hint="default"/>
      </w:rPr>
    </w:lvl>
    <w:lvl w:ilvl="6" w:tplc="705AC764" w:tentative="1">
      <w:start w:val="1"/>
      <w:numFmt w:val="bullet"/>
      <w:lvlText w:val=""/>
      <w:lvlJc w:val="left"/>
      <w:pPr>
        <w:tabs>
          <w:tab w:val="num" w:pos="5040"/>
        </w:tabs>
        <w:ind w:left="5040" w:hanging="360"/>
      </w:pPr>
      <w:rPr>
        <w:rFonts w:ascii="Symbol" w:hAnsi="Symbol" w:hint="default"/>
      </w:rPr>
    </w:lvl>
    <w:lvl w:ilvl="7" w:tplc="E056C3EC" w:tentative="1">
      <w:start w:val="1"/>
      <w:numFmt w:val="bullet"/>
      <w:lvlText w:val="o"/>
      <w:lvlJc w:val="left"/>
      <w:pPr>
        <w:tabs>
          <w:tab w:val="num" w:pos="5760"/>
        </w:tabs>
        <w:ind w:left="5760" w:hanging="360"/>
      </w:pPr>
      <w:rPr>
        <w:rFonts w:ascii="Courier New" w:hAnsi="Courier New" w:cs="Courier New" w:hint="default"/>
      </w:rPr>
    </w:lvl>
    <w:lvl w:ilvl="8" w:tplc="B470A47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BC8E0CE">
      <w:start w:val="1"/>
      <w:numFmt w:val="bullet"/>
      <w:lvlText w:val="­"/>
      <w:lvlJc w:val="left"/>
      <w:pPr>
        <w:tabs>
          <w:tab w:val="num" w:pos="720"/>
        </w:tabs>
        <w:ind w:left="720" w:hanging="360"/>
      </w:pPr>
      <w:rPr>
        <w:rFonts w:ascii="Courier New" w:hAnsi="Courier New" w:hint="default"/>
      </w:rPr>
    </w:lvl>
    <w:lvl w:ilvl="1" w:tplc="BA481544" w:tentative="1">
      <w:start w:val="1"/>
      <w:numFmt w:val="bullet"/>
      <w:lvlText w:val="o"/>
      <w:lvlJc w:val="left"/>
      <w:pPr>
        <w:tabs>
          <w:tab w:val="num" w:pos="1440"/>
        </w:tabs>
        <w:ind w:left="1440" w:hanging="360"/>
      </w:pPr>
      <w:rPr>
        <w:rFonts w:ascii="Courier New" w:hAnsi="Courier New" w:cs="Courier New" w:hint="default"/>
      </w:rPr>
    </w:lvl>
    <w:lvl w:ilvl="2" w:tplc="3FEEF442" w:tentative="1">
      <w:start w:val="1"/>
      <w:numFmt w:val="bullet"/>
      <w:lvlText w:val=""/>
      <w:lvlJc w:val="left"/>
      <w:pPr>
        <w:tabs>
          <w:tab w:val="num" w:pos="2160"/>
        </w:tabs>
        <w:ind w:left="2160" w:hanging="360"/>
      </w:pPr>
      <w:rPr>
        <w:rFonts w:ascii="Wingdings" w:hAnsi="Wingdings" w:hint="default"/>
      </w:rPr>
    </w:lvl>
    <w:lvl w:ilvl="3" w:tplc="11DA4F76" w:tentative="1">
      <w:start w:val="1"/>
      <w:numFmt w:val="bullet"/>
      <w:lvlText w:val=""/>
      <w:lvlJc w:val="left"/>
      <w:pPr>
        <w:tabs>
          <w:tab w:val="num" w:pos="2880"/>
        </w:tabs>
        <w:ind w:left="2880" w:hanging="360"/>
      </w:pPr>
      <w:rPr>
        <w:rFonts w:ascii="Symbol" w:hAnsi="Symbol" w:hint="default"/>
      </w:rPr>
    </w:lvl>
    <w:lvl w:ilvl="4" w:tplc="F20AF106" w:tentative="1">
      <w:start w:val="1"/>
      <w:numFmt w:val="bullet"/>
      <w:lvlText w:val="o"/>
      <w:lvlJc w:val="left"/>
      <w:pPr>
        <w:tabs>
          <w:tab w:val="num" w:pos="3600"/>
        </w:tabs>
        <w:ind w:left="3600" w:hanging="360"/>
      </w:pPr>
      <w:rPr>
        <w:rFonts w:ascii="Courier New" w:hAnsi="Courier New" w:cs="Courier New" w:hint="default"/>
      </w:rPr>
    </w:lvl>
    <w:lvl w:ilvl="5" w:tplc="1562CF94" w:tentative="1">
      <w:start w:val="1"/>
      <w:numFmt w:val="bullet"/>
      <w:lvlText w:val=""/>
      <w:lvlJc w:val="left"/>
      <w:pPr>
        <w:tabs>
          <w:tab w:val="num" w:pos="4320"/>
        </w:tabs>
        <w:ind w:left="4320" w:hanging="360"/>
      </w:pPr>
      <w:rPr>
        <w:rFonts w:ascii="Wingdings" w:hAnsi="Wingdings" w:hint="default"/>
      </w:rPr>
    </w:lvl>
    <w:lvl w:ilvl="6" w:tplc="13A62194" w:tentative="1">
      <w:start w:val="1"/>
      <w:numFmt w:val="bullet"/>
      <w:lvlText w:val=""/>
      <w:lvlJc w:val="left"/>
      <w:pPr>
        <w:tabs>
          <w:tab w:val="num" w:pos="5040"/>
        </w:tabs>
        <w:ind w:left="5040" w:hanging="360"/>
      </w:pPr>
      <w:rPr>
        <w:rFonts w:ascii="Symbol" w:hAnsi="Symbol" w:hint="default"/>
      </w:rPr>
    </w:lvl>
    <w:lvl w:ilvl="7" w:tplc="8D2074F2" w:tentative="1">
      <w:start w:val="1"/>
      <w:numFmt w:val="bullet"/>
      <w:lvlText w:val="o"/>
      <w:lvlJc w:val="left"/>
      <w:pPr>
        <w:tabs>
          <w:tab w:val="num" w:pos="5760"/>
        </w:tabs>
        <w:ind w:left="5760" w:hanging="360"/>
      </w:pPr>
      <w:rPr>
        <w:rFonts w:ascii="Courier New" w:hAnsi="Courier New" w:cs="Courier New" w:hint="default"/>
      </w:rPr>
    </w:lvl>
    <w:lvl w:ilvl="8" w:tplc="D1009DC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E643092">
      <w:start w:val="1"/>
      <w:numFmt w:val="lowerRoman"/>
      <w:lvlText w:val="(%1)"/>
      <w:lvlJc w:val="left"/>
      <w:pPr>
        <w:tabs>
          <w:tab w:val="num" w:pos="2448"/>
        </w:tabs>
        <w:ind w:left="2448" w:hanging="648"/>
      </w:pPr>
      <w:rPr>
        <w:rFonts w:hint="default"/>
        <w:b w:val="0"/>
        <w:i w:val="0"/>
        <w:u w:val="none"/>
      </w:rPr>
    </w:lvl>
    <w:lvl w:ilvl="1" w:tplc="BE16D792" w:tentative="1">
      <w:start w:val="1"/>
      <w:numFmt w:val="lowerLetter"/>
      <w:lvlText w:val="%2."/>
      <w:lvlJc w:val="left"/>
      <w:pPr>
        <w:tabs>
          <w:tab w:val="num" w:pos="1440"/>
        </w:tabs>
        <w:ind w:left="1440" w:hanging="360"/>
      </w:pPr>
    </w:lvl>
    <w:lvl w:ilvl="2" w:tplc="80C43F04" w:tentative="1">
      <w:start w:val="1"/>
      <w:numFmt w:val="lowerRoman"/>
      <w:lvlText w:val="%3."/>
      <w:lvlJc w:val="right"/>
      <w:pPr>
        <w:tabs>
          <w:tab w:val="num" w:pos="2160"/>
        </w:tabs>
        <w:ind w:left="2160" w:hanging="180"/>
      </w:pPr>
    </w:lvl>
    <w:lvl w:ilvl="3" w:tplc="0972BC2E" w:tentative="1">
      <w:start w:val="1"/>
      <w:numFmt w:val="decimal"/>
      <w:lvlText w:val="%4."/>
      <w:lvlJc w:val="left"/>
      <w:pPr>
        <w:tabs>
          <w:tab w:val="num" w:pos="2880"/>
        </w:tabs>
        <w:ind w:left="2880" w:hanging="360"/>
      </w:pPr>
    </w:lvl>
    <w:lvl w:ilvl="4" w:tplc="9F3EB71E" w:tentative="1">
      <w:start w:val="1"/>
      <w:numFmt w:val="lowerLetter"/>
      <w:lvlText w:val="%5."/>
      <w:lvlJc w:val="left"/>
      <w:pPr>
        <w:tabs>
          <w:tab w:val="num" w:pos="3600"/>
        </w:tabs>
        <w:ind w:left="3600" w:hanging="360"/>
      </w:pPr>
    </w:lvl>
    <w:lvl w:ilvl="5" w:tplc="A508ADBA" w:tentative="1">
      <w:start w:val="1"/>
      <w:numFmt w:val="lowerRoman"/>
      <w:lvlText w:val="%6."/>
      <w:lvlJc w:val="right"/>
      <w:pPr>
        <w:tabs>
          <w:tab w:val="num" w:pos="4320"/>
        </w:tabs>
        <w:ind w:left="4320" w:hanging="180"/>
      </w:pPr>
    </w:lvl>
    <w:lvl w:ilvl="6" w:tplc="5D805BEE" w:tentative="1">
      <w:start w:val="1"/>
      <w:numFmt w:val="decimal"/>
      <w:lvlText w:val="%7."/>
      <w:lvlJc w:val="left"/>
      <w:pPr>
        <w:tabs>
          <w:tab w:val="num" w:pos="5040"/>
        </w:tabs>
        <w:ind w:left="5040" w:hanging="360"/>
      </w:pPr>
    </w:lvl>
    <w:lvl w:ilvl="7" w:tplc="1416F71C" w:tentative="1">
      <w:start w:val="1"/>
      <w:numFmt w:val="lowerLetter"/>
      <w:lvlText w:val="%8."/>
      <w:lvlJc w:val="left"/>
      <w:pPr>
        <w:tabs>
          <w:tab w:val="num" w:pos="5760"/>
        </w:tabs>
        <w:ind w:left="5760" w:hanging="360"/>
      </w:pPr>
    </w:lvl>
    <w:lvl w:ilvl="8" w:tplc="7834C3C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DB2F736">
      <w:start w:val="1"/>
      <w:numFmt w:val="bullet"/>
      <w:lvlText w:val=""/>
      <w:lvlJc w:val="left"/>
      <w:pPr>
        <w:tabs>
          <w:tab w:val="num" w:pos="5760"/>
        </w:tabs>
        <w:ind w:left="5760" w:hanging="360"/>
      </w:pPr>
      <w:rPr>
        <w:rFonts w:ascii="Symbol" w:hAnsi="Symbol" w:hint="default"/>
        <w:color w:val="auto"/>
        <w:u w:val="none"/>
      </w:rPr>
    </w:lvl>
    <w:lvl w:ilvl="1" w:tplc="9EDA81C4" w:tentative="1">
      <w:start w:val="1"/>
      <w:numFmt w:val="bullet"/>
      <w:lvlText w:val="o"/>
      <w:lvlJc w:val="left"/>
      <w:pPr>
        <w:tabs>
          <w:tab w:val="num" w:pos="3600"/>
        </w:tabs>
        <w:ind w:left="3600" w:hanging="360"/>
      </w:pPr>
      <w:rPr>
        <w:rFonts w:ascii="Courier New" w:hAnsi="Courier New" w:hint="default"/>
      </w:rPr>
    </w:lvl>
    <w:lvl w:ilvl="2" w:tplc="A00214CE" w:tentative="1">
      <w:start w:val="1"/>
      <w:numFmt w:val="bullet"/>
      <w:lvlText w:val=""/>
      <w:lvlJc w:val="left"/>
      <w:pPr>
        <w:tabs>
          <w:tab w:val="num" w:pos="4320"/>
        </w:tabs>
        <w:ind w:left="4320" w:hanging="360"/>
      </w:pPr>
      <w:rPr>
        <w:rFonts w:ascii="Wingdings" w:hAnsi="Wingdings" w:hint="default"/>
      </w:rPr>
    </w:lvl>
    <w:lvl w:ilvl="3" w:tplc="9A3CA080">
      <w:start w:val="1"/>
      <w:numFmt w:val="bullet"/>
      <w:lvlText w:val=""/>
      <w:lvlJc w:val="left"/>
      <w:pPr>
        <w:tabs>
          <w:tab w:val="num" w:pos="5040"/>
        </w:tabs>
        <w:ind w:left="5040" w:hanging="360"/>
      </w:pPr>
      <w:rPr>
        <w:rFonts w:ascii="Symbol" w:hAnsi="Symbol" w:hint="default"/>
      </w:rPr>
    </w:lvl>
    <w:lvl w:ilvl="4" w:tplc="003090D2" w:tentative="1">
      <w:start w:val="1"/>
      <w:numFmt w:val="bullet"/>
      <w:lvlText w:val="o"/>
      <w:lvlJc w:val="left"/>
      <w:pPr>
        <w:tabs>
          <w:tab w:val="num" w:pos="5760"/>
        </w:tabs>
        <w:ind w:left="5760" w:hanging="360"/>
      </w:pPr>
      <w:rPr>
        <w:rFonts w:ascii="Courier New" w:hAnsi="Courier New" w:hint="default"/>
      </w:rPr>
    </w:lvl>
    <w:lvl w:ilvl="5" w:tplc="7478B938" w:tentative="1">
      <w:start w:val="1"/>
      <w:numFmt w:val="bullet"/>
      <w:lvlText w:val=""/>
      <w:lvlJc w:val="left"/>
      <w:pPr>
        <w:tabs>
          <w:tab w:val="num" w:pos="6480"/>
        </w:tabs>
        <w:ind w:left="6480" w:hanging="360"/>
      </w:pPr>
      <w:rPr>
        <w:rFonts w:ascii="Wingdings" w:hAnsi="Wingdings" w:hint="default"/>
      </w:rPr>
    </w:lvl>
    <w:lvl w:ilvl="6" w:tplc="115AED4A" w:tentative="1">
      <w:start w:val="1"/>
      <w:numFmt w:val="bullet"/>
      <w:lvlText w:val=""/>
      <w:lvlJc w:val="left"/>
      <w:pPr>
        <w:tabs>
          <w:tab w:val="num" w:pos="7200"/>
        </w:tabs>
        <w:ind w:left="7200" w:hanging="360"/>
      </w:pPr>
      <w:rPr>
        <w:rFonts w:ascii="Symbol" w:hAnsi="Symbol" w:hint="default"/>
      </w:rPr>
    </w:lvl>
    <w:lvl w:ilvl="7" w:tplc="ADECDC1E" w:tentative="1">
      <w:start w:val="1"/>
      <w:numFmt w:val="bullet"/>
      <w:lvlText w:val="o"/>
      <w:lvlJc w:val="left"/>
      <w:pPr>
        <w:tabs>
          <w:tab w:val="num" w:pos="7920"/>
        </w:tabs>
        <w:ind w:left="7920" w:hanging="360"/>
      </w:pPr>
      <w:rPr>
        <w:rFonts w:ascii="Courier New" w:hAnsi="Courier New" w:hint="default"/>
      </w:rPr>
    </w:lvl>
    <w:lvl w:ilvl="8" w:tplc="EF36A8F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253C"/>
    <w:rsid w:val="0019253C"/>
    <w:rsid w:val="007168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