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91" w:rsidRDefault="00784392">
      <w:pPr>
        <w:pStyle w:val="Heading2"/>
      </w:pPr>
      <w:bookmarkStart w:id="0" w:name="_Toc261446136"/>
      <w:bookmarkStart w:id="1" w:name="_GoBack"/>
      <w:bookmarkEnd w:id="1"/>
      <w:r>
        <w:t>5.11</w:t>
      </w:r>
      <w:r>
        <w:tab/>
        <w:t>Requirements Applicable to LSEs</w:t>
      </w:r>
      <w:bookmarkEnd w:id="0"/>
    </w:p>
    <w:p w:rsidR="00545291" w:rsidRDefault="00784392">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545291" w:rsidRDefault="00784392">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545291" w:rsidRDefault="00784392">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545291" w:rsidRDefault="00784392">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545291" w:rsidRDefault="00784392">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545291" w:rsidRDefault="00784392">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545291" w:rsidRDefault="00784392">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545291" w:rsidRDefault="00784392">
      <w:pPr>
        <w:pStyle w:val="Heading3"/>
      </w:pPr>
      <w:bookmarkStart w:id="3" w:name="_Toc261446138"/>
      <w:r>
        <w:t>5.11.2</w:t>
      </w:r>
      <w:r>
        <w:tab/>
        <w:t>LSE Obligations</w:t>
      </w:r>
      <w:bookmarkEnd w:id="3"/>
    </w:p>
    <w:p w:rsidR="00545291" w:rsidRDefault="00784392">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545291" w:rsidRDefault="00784392">
      <w:pPr>
        <w:pStyle w:val="Bodypara"/>
      </w:pPr>
      <w:r>
        <w:t>All LSEs shall participate in the ICAP Spot Market Auction pursuant to Section 5.14.1 of this Tariff.</w:t>
      </w:r>
    </w:p>
    <w:p w:rsidR="00545291" w:rsidRDefault="00784392">
      <w:pPr>
        <w:pStyle w:val="Heading3"/>
      </w:pPr>
      <w:bookmarkStart w:id="4" w:name="_Toc261446139"/>
      <w:r>
        <w:t>5.11.3</w:t>
      </w:r>
      <w:r>
        <w:tab/>
        <w:t>Load</w:t>
      </w:r>
      <w:r>
        <w:noBreakHyphen/>
      </w:r>
      <w:r>
        <w:t>Shifting Adjustments</w:t>
      </w:r>
      <w:bookmarkEnd w:id="4"/>
    </w:p>
    <w:p w:rsidR="00545291" w:rsidRDefault="00784392">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545291" w:rsidRDefault="00784392">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545291" w:rsidRDefault="00784392">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545291" w:rsidRDefault="00784392">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545291" w:rsidRDefault="00784392">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545291" w:rsidRDefault="00784392">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545291" w:rsidRDefault="00784392">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 xml:space="preserve">t for each Locality shall equal the product of the Locational Minimum Installed Capacity Requirement for a given Locality (with or without the UDRs if there is a capability year adjustment election by a rights holder) and the ratio of (1) the total amount </w:t>
      </w:r>
      <w:r>
        <w:t>of Unforced Capacity that the specified Resources are qualified to provide (with or without the UDRs associated with dissimilar capability periods, as so elected by the rights holder) during each month in the Capability Period, as of the time the Locationa</w:t>
      </w:r>
      <w:r>
        <w:t>l Minimum Unforced Capacity Requirement is determined as specified in ISO Procedures, to (2) the sum of the DMNCs used to determine the Unforced Capacities of such Resources for such Capability Period (with or without the DMNCs associated with the UDRs, as</w:t>
      </w:r>
      <w:r>
        <w:t xml:space="preserve"> so elected by the rights holder).  The foregoing calculation shall be determined using the Resources in the given Locality in the most recent final version of the ISO’s annual Load and Capacity Data Report, with the addition of Resources commencing commer</w:t>
      </w:r>
      <w:r>
        <w:t>cial operation since completion of that report and the deletion of Resources with scheduled or planned retirement dates before or during such Capability Period.  Under the provisions of this Services Tariff and the ISO Procedures, each LSE will be obligate</w:t>
      </w:r>
      <w:r>
        <w:t>d to procure its LSE Unforced Capacity Obligation.  The LSE Unforced Capacity Obligation will be determined for each Obligation Procurement Period by the ICAP Spot Market Auction, in accordance with the ISO Procedures.</w:t>
      </w:r>
    </w:p>
    <w:p w:rsidR="00545291" w:rsidRDefault="00784392">
      <w:pPr>
        <w:pStyle w:val="Bodypara"/>
      </w:pPr>
      <w:r>
        <w:t>Qualified Resources will have the opp</w:t>
      </w:r>
      <w:r>
        <w:t xml:space="preserve">ortunity to supply amounts of Unforced Capacity to meet the LSE Unforced Capacity Obligation as established by the ICAP Spot Market Auction.  </w:t>
      </w:r>
    </w:p>
    <w:p w:rsidR="00545291" w:rsidRDefault="00784392">
      <w:pPr>
        <w:pStyle w:val="Bodypara"/>
      </w:pPr>
      <w:r>
        <w:t>To be counted towards the locational component of the LSE Unforced Capacity Obligation, Unforced Capacity owned b</w:t>
      </w:r>
      <w:r>
        <w:t xml:space="preserve">y the holder of UDRs or contractually combined with UDRs must be deliverable to the NYCA interface with the UDR transmission facility pursuant to NYISO requirements and consistent with the election of the holder of the rights to the UDRs set forth in this </w:t>
      </w:r>
      <w:r>
        <w:t>Section.</w:t>
      </w:r>
    </w:p>
    <w:p w:rsidR="00545291" w:rsidRDefault="00784392">
      <w:pPr>
        <w:pStyle w:val="Bodypara"/>
      </w:pPr>
      <w:r>
        <w:t>In addition, any Customer that purchases Unforced Capacity associated with any generation that is subject to capacity market mitigation measures in an ISO</w:t>
      </w:r>
      <w:r>
        <w:noBreakHyphen/>
        <w:t>administered auction may not resell that Unforced Capacity in a subsequent auction at a pric</w:t>
      </w:r>
      <w:r>
        <w:t>e greater than the annual mitigated price cap, as applied in accordance with the ISO Procedures in accordance with Sections 5.13.2, 5.13.3, and 5.14.1 of this Tariff.  The ISO shall inform Customers that purchase Unforced Capacity in an ISO</w:t>
      </w:r>
      <w:r>
        <w:noBreakHyphen/>
        <w:t>administered au</w:t>
      </w:r>
      <w:r>
        <w:t>ction of the amount of Unforced Capacity they have purchased that is subject to capacity market mitigation measures.</w:t>
      </w:r>
    </w:p>
    <w:p w:rsidR="00545291" w:rsidRDefault="00784392">
      <w:pPr>
        <w:pStyle w:val="Bodypara"/>
      </w:pPr>
      <w:r>
        <w:t xml:space="preserve">The ISO shall have the right to audit all executed Installed Capacity contracts and related documentation of arrangements by an LSE to use </w:t>
      </w:r>
      <w:r>
        <w:t>its own generation to meet its Locational Minimum Installed Capacity Requirement for an upcoming Obligation Procurement Period.</w:t>
      </w:r>
    </w:p>
    <w:p w:rsidR="00545291" w:rsidRDefault="00784392">
      <w:pPr>
        <w:pStyle w:val="Bodypara"/>
      </w:pPr>
    </w:p>
    <w:sectPr w:rsidR="00545291" w:rsidSect="005452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4392">
      <w:r>
        <w:separator/>
      </w:r>
    </w:p>
  </w:endnote>
  <w:endnote w:type="continuationSeparator" w:id="0">
    <w:p w:rsidR="00000000" w:rsidRDefault="0078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5A" w:rsidRDefault="0078439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5A" w:rsidRDefault="0078439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5A" w:rsidRDefault="0078439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4392">
      <w:r>
        <w:separator/>
      </w:r>
    </w:p>
  </w:footnote>
  <w:footnote w:type="continuationSeparator" w:id="0">
    <w:p w:rsidR="00000000" w:rsidRDefault="0078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5A" w:rsidRDefault="0078439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5A" w:rsidRDefault="007843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w:t>
    </w:r>
    <w:r>
      <w:rPr>
        <w:rFonts w:ascii="Arial" w:eastAsia="Arial" w:hAnsi="Arial" w:cs="Arial"/>
        <w:color w:val="000000"/>
        <w:sz w:val="16"/>
      </w:rPr>
      <w:t>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5A" w:rsidRDefault="0078439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6509CF0">
      <w:start w:val="1"/>
      <w:numFmt w:val="bullet"/>
      <w:pStyle w:val="Bulletpara"/>
      <w:lvlText w:val=""/>
      <w:lvlJc w:val="left"/>
      <w:pPr>
        <w:tabs>
          <w:tab w:val="num" w:pos="720"/>
        </w:tabs>
        <w:ind w:left="720" w:hanging="360"/>
      </w:pPr>
      <w:rPr>
        <w:rFonts w:ascii="Symbol" w:hAnsi="Symbol" w:hint="default"/>
      </w:rPr>
    </w:lvl>
    <w:lvl w:ilvl="1" w:tplc="1124122A" w:tentative="1">
      <w:start w:val="1"/>
      <w:numFmt w:val="bullet"/>
      <w:lvlText w:val="o"/>
      <w:lvlJc w:val="left"/>
      <w:pPr>
        <w:tabs>
          <w:tab w:val="num" w:pos="1440"/>
        </w:tabs>
        <w:ind w:left="1440" w:hanging="360"/>
      </w:pPr>
      <w:rPr>
        <w:rFonts w:ascii="Courier New" w:hAnsi="Courier New" w:hint="default"/>
      </w:rPr>
    </w:lvl>
    <w:lvl w:ilvl="2" w:tplc="49581E4E" w:tentative="1">
      <w:start w:val="1"/>
      <w:numFmt w:val="bullet"/>
      <w:lvlText w:val=""/>
      <w:lvlJc w:val="left"/>
      <w:pPr>
        <w:tabs>
          <w:tab w:val="num" w:pos="2160"/>
        </w:tabs>
        <w:ind w:left="2160" w:hanging="360"/>
      </w:pPr>
      <w:rPr>
        <w:rFonts w:ascii="Wingdings" w:hAnsi="Wingdings" w:hint="default"/>
      </w:rPr>
    </w:lvl>
    <w:lvl w:ilvl="3" w:tplc="D8F85522" w:tentative="1">
      <w:start w:val="1"/>
      <w:numFmt w:val="bullet"/>
      <w:lvlText w:val=""/>
      <w:lvlJc w:val="left"/>
      <w:pPr>
        <w:tabs>
          <w:tab w:val="num" w:pos="2880"/>
        </w:tabs>
        <w:ind w:left="2880" w:hanging="360"/>
      </w:pPr>
      <w:rPr>
        <w:rFonts w:ascii="Symbol" w:hAnsi="Symbol" w:hint="default"/>
      </w:rPr>
    </w:lvl>
    <w:lvl w:ilvl="4" w:tplc="6D445E3A" w:tentative="1">
      <w:start w:val="1"/>
      <w:numFmt w:val="bullet"/>
      <w:lvlText w:val="o"/>
      <w:lvlJc w:val="left"/>
      <w:pPr>
        <w:tabs>
          <w:tab w:val="num" w:pos="3600"/>
        </w:tabs>
        <w:ind w:left="3600" w:hanging="360"/>
      </w:pPr>
      <w:rPr>
        <w:rFonts w:ascii="Courier New" w:hAnsi="Courier New" w:hint="default"/>
      </w:rPr>
    </w:lvl>
    <w:lvl w:ilvl="5" w:tplc="2CEA9AE6" w:tentative="1">
      <w:start w:val="1"/>
      <w:numFmt w:val="bullet"/>
      <w:lvlText w:val=""/>
      <w:lvlJc w:val="left"/>
      <w:pPr>
        <w:tabs>
          <w:tab w:val="num" w:pos="4320"/>
        </w:tabs>
        <w:ind w:left="4320" w:hanging="360"/>
      </w:pPr>
      <w:rPr>
        <w:rFonts w:ascii="Wingdings" w:hAnsi="Wingdings" w:hint="default"/>
      </w:rPr>
    </w:lvl>
    <w:lvl w:ilvl="6" w:tplc="D2F83622" w:tentative="1">
      <w:start w:val="1"/>
      <w:numFmt w:val="bullet"/>
      <w:lvlText w:val=""/>
      <w:lvlJc w:val="left"/>
      <w:pPr>
        <w:tabs>
          <w:tab w:val="num" w:pos="5040"/>
        </w:tabs>
        <w:ind w:left="5040" w:hanging="360"/>
      </w:pPr>
      <w:rPr>
        <w:rFonts w:ascii="Symbol" w:hAnsi="Symbol" w:hint="default"/>
      </w:rPr>
    </w:lvl>
    <w:lvl w:ilvl="7" w:tplc="1C9AA61C" w:tentative="1">
      <w:start w:val="1"/>
      <w:numFmt w:val="bullet"/>
      <w:lvlText w:val="o"/>
      <w:lvlJc w:val="left"/>
      <w:pPr>
        <w:tabs>
          <w:tab w:val="num" w:pos="5760"/>
        </w:tabs>
        <w:ind w:left="5760" w:hanging="360"/>
      </w:pPr>
      <w:rPr>
        <w:rFonts w:ascii="Courier New" w:hAnsi="Courier New" w:hint="default"/>
      </w:rPr>
    </w:lvl>
    <w:lvl w:ilvl="8" w:tplc="273C8E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7A255A"/>
    <w:rsid w:val="00784392"/>
    <w:rsid w:val="007A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14483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-455373900</vt:i4>
  </property>
  <property fmtid="{D5CDD505-2E9C-101B-9397-08002B2CF9AE}" pid="7" name="_NewReviewCycle">
    <vt:lpwstr/>
  </property>
  <property fmtid="{D5CDD505-2E9C-101B-9397-08002B2CF9AE}" pid="8" name="_PreviousAdHocReviewCycleID">
    <vt:i4>209930261</vt:i4>
  </property>
  <property fmtid="{D5CDD505-2E9C-101B-9397-08002B2CF9AE}" pid="9" name="_ReviewingToolsShownOnce">
    <vt:lpwstr/>
  </property>
</Properties>
</file>