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CB7C7B" w:rsidP="002B1F4A">
      <w:pPr>
        <w:pStyle w:val="Heading2"/>
      </w:pPr>
      <w:bookmarkStart w:id="0" w:name="_Toc263346040"/>
      <w:bookmarkStart w:id="1" w:name="_GoBack"/>
      <w:bookmarkEnd w:id="1"/>
      <w:r>
        <w:t>20.</w:t>
      </w:r>
      <w:r w:rsidRPr="00192BDF">
        <w:t>3</w:t>
      </w:r>
      <w:r>
        <w:tab/>
        <w:t>Settlement of TCC Auctions</w:t>
      </w:r>
      <w:bookmarkEnd w:id="0"/>
    </w:p>
    <w:p w:rsidR="002B1F4A" w:rsidRDefault="00CB7C7B"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CB7C7B"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CB7C7B"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CB7C7B" w:rsidP="002B1F4A">
      <w:pPr>
        <w:pStyle w:val="Heading8"/>
        <w:rPr>
          <w:b w:val="0"/>
        </w:rPr>
      </w:pPr>
      <w:r w:rsidRPr="001E07D9">
        <w:t>Formula N-16</w:t>
      </w:r>
    </w:p>
    <w:p w:rsidR="005F7714" w:rsidRPr="00824DE1" w:rsidRDefault="00CB7C7B"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CB7C7B"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5464B4" w:rsidTr="002B1F4A">
        <w:trPr>
          <w:cantSplit/>
        </w:trPr>
        <w:tc>
          <w:tcPr>
            <w:tcW w:w="2430" w:type="dxa"/>
          </w:tcPr>
          <w:p w:rsidR="002B1F4A" w:rsidRDefault="00CB7C7B" w:rsidP="002B1F4A">
            <w:pPr>
              <w:keepNext/>
              <w:spacing w:after="120"/>
            </w:pPr>
            <w:r>
              <w:t>n</w:t>
            </w:r>
          </w:p>
        </w:tc>
        <w:tc>
          <w:tcPr>
            <w:tcW w:w="270" w:type="dxa"/>
          </w:tcPr>
          <w:p w:rsidR="002B1F4A" w:rsidRDefault="00CB7C7B" w:rsidP="002B1F4A">
            <w:pPr>
              <w:spacing w:after="120"/>
            </w:pPr>
            <w:r>
              <w:t>=</w:t>
            </w:r>
          </w:p>
        </w:tc>
        <w:tc>
          <w:tcPr>
            <w:tcW w:w="6870" w:type="dxa"/>
          </w:tcPr>
          <w:p w:rsidR="002B1F4A" w:rsidRDefault="00CB7C7B"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5464B4" w:rsidTr="002B1F4A">
        <w:trPr>
          <w:cantSplit/>
        </w:trPr>
        <w:tc>
          <w:tcPr>
            <w:tcW w:w="2430" w:type="dxa"/>
          </w:tcPr>
          <w:p w:rsidR="002B1F4A" w:rsidRPr="003169D9" w:rsidRDefault="00CB7C7B"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CB7C7B" w:rsidP="002B1F4A">
            <w:pPr>
              <w:spacing w:after="120"/>
            </w:pPr>
            <w:r w:rsidRPr="003169D9">
              <w:t>=</w:t>
            </w:r>
          </w:p>
        </w:tc>
        <w:tc>
          <w:tcPr>
            <w:tcW w:w="6870" w:type="dxa"/>
          </w:tcPr>
          <w:p w:rsidR="002B1F4A" w:rsidRPr="003169D9" w:rsidRDefault="00CB7C7B"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5464B4" w:rsidTr="002B1F4A">
        <w:trPr>
          <w:cantSplit/>
        </w:trPr>
        <w:tc>
          <w:tcPr>
            <w:tcW w:w="2430" w:type="dxa"/>
          </w:tcPr>
          <w:p w:rsidR="002B1F4A" w:rsidRPr="003169D9" w:rsidRDefault="00CB7C7B"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CB7C7B" w:rsidP="002B1F4A">
            <w:pPr>
              <w:spacing w:after="120"/>
            </w:pPr>
            <w:r w:rsidRPr="003169D9">
              <w:t>=</w:t>
            </w:r>
          </w:p>
        </w:tc>
        <w:tc>
          <w:tcPr>
            <w:tcW w:w="6870" w:type="dxa"/>
          </w:tcPr>
          <w:p w:rsidR="002B1F4A" w:rsidRPr="003169D9" w:rsidRDefault="00CB7C7B"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5464B4" w:rsidTr="002B1F4A">
        <w:trPr>
          <w:cantSplit/>
        </w:trPr>
        <w:tc>
          <w:tcPr>
            <w:tcW w:w="2430" w:type="dxa"/>
          </w:tcPr>
          <w:p w:rsidR="002B1F4A" w:rsidRPr="003169D9" w:rsidRDefault="00CB7C7B" w:rsidP="002B1F4A">
            <w:pPr>
              <w:spacing w:after="120"/>
            </w:pPr>
            <w:r w:rsidRPr="003169D9">
              <w:t>ETCNL</w:t>
            </w:r>
            <w:r w:rsidRPr="003169D9">
              <w:rPr>
                <w:vertAlign w:val="subscript"/>
              </w:rPr>
              <w:t>n</w:t>
            </w:r>
          </w:p>
        </w:tc>
        <w:tc>
          <w:tcPr>
            <w:tcW w:w="270" w:type="dxa"/>
          </w:tcPr>
          <w:p w:rsidR="002B1F4A" w:rsidRPr="003169D9" w:rsidRDefault="00CB7C7B" w:rsidP="002B1F4A">
            <w:pPr>
              <w:spacing w:after="120"/>
            </w:pPr>
            <w:r w:rsidRPr="003169D9">
              <w:t>=</w:t>
            </w:r>
          </w:p>
        </w:tc>
        <w:tc>
          <w:tcPr>
            <w:tcW w:w="6870" w:type="dxa"/>
          </w:tcPr>
          <w:p w:rsidR="002B1F4A" w:rsidRPr="00B91D22" w:rsidRDefault="00CB7C7B"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5464B4" w:rsidTr="002B1F4A">
        <w:trPr>
          <w:cantSplit/>
        </w:trPr>
        <w:tc>
          <w:tcPr>
            <w:tcW w:w="2430" w:type="dxa"/>
          </w:tcPr>
          <w:p w:rsidR="002B1F4A" w:rsidRPr="003169D9" w:rsidRDefault="00CB7C7B"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CB7C7B" w:rsidP="002B1F4A">
            <w:pPr>
              <w:spacing w:after="120"/>
            </w:pPr>
            <w:r w:rsidRPr="003169D9">
              <w:t>=</w:t>
            </w:r>
          </w:p>
        </w:tc>
        <w:tc>
          <w:tcPr>
            <w:tcW w:w="6870" w:type="dxa"/>
          </w:tcPr>
          <w:p w:rsidR="002B1F4A" w:rsidRPr="003169D9" w:rsidRDefault="00CB7C7B"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5464B4" w:rsidTr="002B1F4A">
        <w:trPr>
          <w:cantSplit/>
        </w:trPr>
        <w:tc>
          <w:tcPr>
            <w:tcW w:w="2430" w:type="dxa"/>
          </w:tcPr>
          <w:p w:rsidR="002B1F4A" w:rsidRPr="003169D9" w:rsidRDefault="00CB7C7B" w:rsidP="002B1F4A">
            <w:pPr>
              <w:spacing w:after="120"/>
            </w:pPr>
            <w:r w:rsidRPr="003169D9">
              <w:t>Original Residual TCCs</w:t>
            </w:r>
            <w:r w:rsidRPr="003169D9">
              <w:rPr>
                <w:vertAlign w:val="subscript"/>
              </w:rPr>
              <w:t>n</w:t>
            </w:r>
          </w:p>
        </w:tc>
        <w:tc>
          <w:tcPr>
            <w:tcW w:w="270" w:type="dxa"/>
          </w:tcPr>
          <w:p w:rsidR="002B1F4A" w:rsidRPr="003169D9" w:rsidRDefault="00CB7C7B" w:rsidP="002B1F4A">
            <w:pPr>
              <w:spacing w:after="120"/>
            </w:pPr>
            <w:r w:rsidRPr="003169D9">
              <w:t>=</w:t>
            </w:r>
          </w:p>
        </w:tc>
        <w:tc>
          <w:tcPr>
            <w:tcW w:w="6870" w:type="dxa"/>
          </w:tcPr>
          <w:p w:rsidR="002B1F4A" w:rsidRPr="003169D9" w:rsidRDefault="00CB7C7B"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5464B4" w:rsidTr="002B1F4A">
        <w:trPr>
          <w:cantSplit/>
        </w:trPr>
        <w:tc>
          <w:tcPr>
            <w:tcW w:w="2430" w:type="dxa"/>
          </w:tcPr>
          <w:p w:rsidR="002B1F4A" w:rsidRPr="001A0FD6" w:rsidRDefault="00CB7C7B"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CB7C7B" w:rsidP="002B1F4A">
            <w:pPr>
              <w:spacing w:after="120"/>
            </w:pPr>
            <w:r w:rsidRPr="003169D9">
              <w:t>=</w:t>
            </w:r>
          </w:p>
        </w:tc>
        <w:tc>
          <w:tcPr>
            <w:tcW w:w="6870" w:type="dxa"/>
          </w:tcPr>
          <w:p w:rsidR="002B1F4A" w:rsidRPr="003169D9" w:rsidRDefault="00CB7C7B"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CB7C7B" w:rsidP="002B1F4A">
      <w:pPr>
        <w:pStyle w:val="Header"/>
        <w:tabs>
          <w:tab w:val="left" w:pos="1440"/>
          <w:tab w:val="left" w:pos="6480"/>
        </w:tabs>
        <w:rPr>
          <w:sz w:val="20"/>
        </w:rPr>
      </w:pPr>
    </w:p>
    <w:p w:rsidR="002B1F4A" w:rsidRPr="00617B95" w:rsidRDefault="00CB7C7B"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CB7C7B"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CB7C7B"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p>
    <w:p w:rsidR="002B1F4A" w:rsidRDefault="00CB7C7B"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CB7C7B" w:rsidP="002B1F4A">
      <w:pPr>
        <w:pStyle w:val="Bodypara"/>
      </w:pPr>
      <w:r>
        <w:t>The ISO shall, in each round of a Centralized TCC Auction in which ETCNL is releas</w:t>
      </w:r>
      <w:r>
        <w:t>ed, pay the market clearing price determined in that round for TCCs that correspond to that ETCNL to the Transmission Owner that releases the ETCNL.</w:t>
      </w:r>
    </w:p>
    <w:p w:rsidR="002B1F4A" w:rsidRDefault="00CB7C7B" w:rsidP="002B1F4A">
      <w:pPr>
        <w:pStyle w:val="Bodypara"/>
      </w:pPr>
      <w:r>
        <w:t>If a Transmission Owner releases ETCNL for sale in a round of the Centralized TCC Auction, and the market-c</w:t>
      </w:r>
      <w:r>
        <w:t>learing price for those TCCs corresponding to that ETCNL in that round is negative, the value of those TCCs will not be included in the determination of payments to the Transmission Owners for ETCNL released into the Centralized TCC Auction.  If the market</w:t>
      </w:r>
      <w:r>
        <w:t xml:space="preserve">-clearing price is negative for TCCs corresponding to any ETCNL, the value will be set to zero for purposes of allocating auction revenues from the sale of ETCNL.  If the total value of the auction revenues available for payment to the Transmission Owners </w:t>
      </w:r>
      <w:r>
        <w:t>for ETCNL released into the Centralized TCC Auction is insufficient to fund payments at market-clearing prices, the total payments to each Transmission Owner for ETCNL will be reduced proportionately.  Notwithstanding any other provision in this Tariff, ET</w:t>
      </w:r>
      <w:r>
        <w:t>CNL that is offered in any Centralized TCC Auction and that is assigned a negative market clearing price or value shall not give rise to a payment obligation by the Transmission Owner that released it.</w:t>
      </w:r>
    </w:p>
    <w:p w:rsidR="002B1F4A" w:rsidRDefault="00CB7C7B" w:rsidP="002B1F4A">
      <w:pPr>
        <w:pStyle w:val="Heading3"/>
      </w:pPr>
      <w:bookmarkStart w:id="8" w:name="_Ref49719447"/>
      <w:bookmarkStart w:id="9" w:name="_Toc263346044"/>
      <w:r>
        <w:t>20.</w:t>
      </w:r>
      <w:r w:rsidRPr="00617B95">
        <w:t>3.4</w:t>
      </w:r>
      <w:r>
        <w:tab/>
        <w:t>Payments to Primary Holders Selling TCCs; Distr</w:t>
      </w:r>
      <w:r>
        <w:t xml:space="preserve">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CB7C7B" w:rsidP="002B1F4A">
      <w:pPr>
        <w:pStyle w:val="Bodypara"/>
      </w:pPr>
      <w:r>
        <w:t xml:space="preserve">The ISO shall distribute to </w:t>
      </w:r>
      <w:r w:rsidRPr="00617B95">
        <w:t xml:space="preserve">or collect from </w:t>
      </w:r>
      <w:r>
        <w:t>each Primary Holder of a TCC selling that TCC in the Centralized TCC Auction or Reconfiguration Auction t</w:t>
      </w:r>
      <w:r>
        <w:t>he market clearing price of that TCC in the round of the Centralized TCC Auction or in the Reconfiguration Auction in which that TCC was sold.</w:t>
      </w:r>
    </w:p>
    <w:p w:rsidR="002B1F4A" w:rsidRPr="00CC4E7D" w:rsidRDefault="00CB7C7B"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w:t>
      </w:r>
      <w:r w:rsidRPr="00CC4E7D">
        <w:t xml:space="preserve"> to the conditions specified within Attachments K and L, then the ISO shall distribute the revenues from the sale of the TCCs that correspond to the terminated Grandfathered TCCs in a round of a Centralized TCC Auction directly back to the Transmission Own</w:t>
      </w:r>
      <w:r w:rsidRPr="00CC4E7D">
        <w:t>er identified in Attachment L, until such time as the conditions specified within Attachments K and L are met.  Upon such time that the conditions within Attachments K and L are met, the ISO shall allocate the revenues from the sale of the TCCs that corres</w:t>
      </w:r>
      <w:r w:rsidRPr="00CC4E7D">
        <w:t>pond to terminated Grandfathered TCCs in the Centralized TCC Auction as Net Auction Revenues in accordance with Section </w:t>
      </w:r>
      <w:r>
        <w:t>20.</w:t>
      </w:r>
      <w:r w:rsidRPr="00CC4E7D">
        <w:t>3.7 of this Attachment.</w:t>
      </w:r>
    </w:p>
    <w:p w:rsidR="002B1F4A" w:rsidRDefault="00CB7C7B"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10"/>
    </w:p>
    <w:p w:rsidR="002B1F4A" w:rsidRPr="00B91D22" w:rsidRDefault="00CB7C7B" w:rsidP="002B1F4A">
      <w:pPr>
        <w:pStyle w:val="Bodypara"/>
      </w:pPr>
      <w:r w:rsidRPr="00B91D22">
        <w:t>Revenues associated with Original Resid</w:t>
      </w:r>
      <w:r w:rsidRPr="00B91D22">
        <w:t>ual TCCs shall be distributed directly to each Primary Holder for the duration of the LBMP Transition Period.  The Primary Holder of such an Original Residual TCC shall be paid the market clearing price of the Original Residual TCC in the round of the Sub-</w:t>
      </w:r>
      <w:r w:rsidRPr="00B91D22">
        <w:t>Auction in which that Original Residual TCC was sold.</w:t>
      </w:r>
    </w:p>
    <w:p w:rsidR="002B1F4A" w:rsidRDefault="00CB7C7B" w:rsidP="002B1F4A">
      <w:pPr>
        <w:pStyle w:val="Bodypara"/>
      </w:pPr>
      <w:r>
        <w:t>If a Transmission Owner releases an Original Residual TCC for sale in a round of the Centralized TCC Auction, and the market-clearing price for those TCCs in that round is negative, the value of those T</w:t>
      </w:r>
      <w:r>
        <w:t>CCs will not be included in the determination of payments to the Transmission Owners for Original Residual TCCs released into the Centralized TCC Auction.  If the market-clearing price is negative for any Original Residual TCC, the value will be set to zer</w:t>
      </w:r>
      <w:r>
        <w:t xml:space="preserve">o for purposes of allocating auction revenues from the sale of Residual TCCs.  If the total value of the auction revenues available for payment to the Transmission Owners for Original Residual TCCs released into the Centralized TCC Auction is insufficient </w:t>
      </w:r>
      <w:r>
        <w:t>to fund payments at market-clearing prices, the total payments to each Transmission Owner for Original Residual TCCs will be reduced proportionately.  This proportionate reduction would include a reduction in payments reflecting a proportionate reduction i</w:t>
      </w:r>
      <w:r>
        <w:t>n the auction value of Original Residual TCCs sold in a Direct Sale.  Notwithstanding any other provision in this Tariff, Original Residual TCCs that are offered in any Centralized TCC Auction and that are assigned a negative market clearing price or value</w:t>
      </w:r>
      <w:r>
        <w:t xml:space="preserve"> shall not give rise to a payment obligation by the Transmission Owner that released them.</w:t>
      </w:r>
    </w:p>
    <w:p w:rsidR="002B1F4A" w:rsidRPr="00C56C49" w:rsidRDefault="00CB7C7B"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CB7C7B" w:rsidP="002B1F4A">
      <w:pPr>
        <w:pStyle w:val="Bodypara"/>
      </w:pPr>
      <w:r w:rsidRPr="00A86D98">
        <w:t xml:space="preserve">The ISO shall charge O/R-t-S Auction Revenue Shortfall Charges and U/D </w:t>
      </w:r>
      <w:r w:rsidRPr="00A86D98">
        <w:t xml:space="preserve">Auction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calculate the Auction Constraint Residual for each constraint for each rou</w:t>
      </w:r>
      <w:r w:rsidRPr="00A86D98">
        <w:t xml:space="preserve">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w:t>
      </w:r>
      <w:r w:rsidRPr="00A86D98">
        <w:t>t that is U/D Auction Constraint Residual, as specified in Section </w:t>
      </w:r>
      <w:r>
        <w:t>20.</w:t>
      </w:r>
      <w:r w:rsidRPr="00A86D98">
        <w:t>3.6.1.  The ISO shall use the O/R-t-S Auction Constraint Residual to allocate O/R-t-S Auction Revenue Shortfall Charges and O/R-t-S Auction Revenue Surplus Payments to Transmission Owner</w:t>
      </w:r>
      <w:r w:rsidRPr="00A86D98">
        <w:t>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Auction Constraint Residual to allocate U/D Auction Revenue Shortfall Charges and U/D Auction </w:t>
      </w:r>
      <w:r w:rsidRPr="00A86D98">
        <w:t>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CB7C7B" w:rsidP="002B1F4A">
      <w:pPr>
        <w:pStyle w:val="Bodypara"/>
      </w:pPr>
      <w:r w:rsidRPr="00B91D22">
        <w:t>The ISO shall not calculate an Auction Constraint Residual, O/R-t-S Auction Co</w:t>
      </w:r>
      <w:r w:rsidRPr="00B91D22">
        <w:t>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CB7C7B"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w:t>
      </w:r>
      <w:r w:rsidRPr="00A86D98">
        <w:t>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CB7C7B"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w:t>
      </w:r>
      <w:r w:rsidRPr="002A7CCA">
        <w:t>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CB7C7B" w:rsidP="00DF40F1">
      <w:pPr>
        <w:pStyle w:val="Heading8"/>
      </w:pPr>
      <w:bookmarkStart w:id="39" w:name="_Ref115557793"/>
      <w:r w:rsidRPr="001E07D9">
        <w:rPr>
          <w:bCs/>
        </w:rPr>
        <w:t>Formula N-17</w:t>
      </w:r>
    </w:p>
    <w:p w:rsidR="00DF40F1" w:rsidRPr="00824DE1" w:rsidRDefault="00CB7C7B"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m:t>
                          </m:r>
                          <m:r>
                            <w:rPr>
                              <w:rFonts w:ascii="Cambria Math" w:hAnsi="Cambria Math"/>
                              <w:sz w:val="22"/>
                            </w:rPr>
                            <m:t>c</m:t>
                          </m:r>
                          <m:r>
                            <w:rPr>
                              <w:rFonts w:ascii="Cambria Math" w:hAnsi="Cambria Math"/>
                              <w:sz w:val="22"/>
                            </w:rPr>
                            <m:t>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CB7C7B" w:rsidP="00DF40F1"/>
    <w:bookmarkEnd w:id="39"/>
    <w:p w:rsidR="002B1F4A" w:rsidRPr="00A86D98" w:rsidRDefault="00CB7C7B" w:rsidP="002B1F4A">
      <w:pPr>
        <w:keepNext/>
        <w:spacing w:after="120"/>
      </w:pPr>
      <w:r w:rsidRPr="00A86D98">
        <w:t>Where,</w:t>
      </w:r>
    </w:p>
    <w:p w:rsidR="002B1F4A" w:rsidRPr="00A86D98" w:rsidRDefault="00CB7C7B"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CB7C7B"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CB7C7B"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CB7C7B"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CB7C7B"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CB7C7B"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CB7C7B"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CB7C7B"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CB7C7B"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CB7C7B"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CB7C7B" w:rsidP="002B1F4A">
      <w:pPr>
        <w:tabs>
          <w:tab w:val="left" w:pos="1440"/>
          <w:tab w:val="left" w:pos="6480"/>
          <w:tab w:val="right" w:pos="9360"/>
        </w:tabs>
      </w:pPr>
    </w:p>
    <w:p w:rsidR="002B1F4A" w:rsidRPr="002A7CCA" w:rsidRDefault="00CB7C7B"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CB7C7B"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CB7C7B" w:rsidP="00235762">
      <w:pPr>
        <w:pStyle w:val="Heading8"/>
      </w:pPr>
      <w:bookmarkStart w:id="40" w:name="_Ref115557835"/>
      <w:r w:rsidRPr="0080228A">
        <w:rPr>
          <w:bCs/>
        </w:rPr>
        <w:t>Formula N-18</w:t>
      </w:r>
    </w:p>
    <w:p w:rsidR="00235762" w:rsidRPr="00235762" w:rsidRDefault="00CB7C7B"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m:t>
              </m:r>
              <m:r>
                <w:rPr>
                  <w:rFonts w:ascii="Cambria Math" w:hAnsi="Cambria Math"/>
                  <w:sz w:val="22"/>
                </w:rPr>
                <m:t>d</m:t>
              </m:r>
              <m:r>
                <w:rPr>
                  <w:rFonts w:ascii="Cambria Math" w:hAnsi="Cambria Math"/>
                  <w:sz w:val="22"/>
                </w:rPr>
                <m:t>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CB7C7B" w:rsidP="00235762"/>
    <w:bookmarkEnd w:id="40"/>
    <w:p w:rsidR="002B1F4A" w:rsidRPr="00B213AE" w:rsidRDefault="00CB7C7B" w:rsidP="002B1F4A">
      <w:pPr>
        <w:pStyle w:val="Bodypara"/>
      </w:pPr>
      <w:r w:rsidRPr="00B213AE">
        <w:t>Where,</w:t>
      </w:r>
    </w:p>
    <w:p w:rsidR="002B1F4A" w:rsidRPr="00B213AE" w:rsidRDefault="00CB7C7B"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CB7C7B"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 xml:space="preserve">Power Flow in the last round of </w:t>
      </w:r>
      <w:r w:rsidRPr="002A7CCA">
        <w:t>that Centralized TCC Auction; or</w:t>
      </w:r>
    </w:p>
    <w:p w:rsidR="002B1F4A" w:rsidRPr="002A7CCA" w:rsidRDefault="00CB7C7B"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xml:space="preserve">, on </w:t>
      </w:r>
      <w:r w:rsidRPr="002A7CCA">
        <w:t>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CB7C7B"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w:t>
      </w:r>
      <w:r w:rsidRPr="00B213AE">
        <w:t>ed using this Formula N-18, ACR</w:t>
      </w:r>
      <w:r w:rsidRPr="00B213AE">
        <w:rPr>
          <w:vertAlign w:val="subscript"/>
        </w:rPr>
        <w:t>a,n</w:t>
      </w:r>
      <w:r w:rsidRPr="00B213AE">
        <w:t xml:space="preserve"> shall be set equal to zero.</w:t>
      </w:r>
    </w:p>
    <w:p w:rsidR="002B1F4A" w:rsidRPr="00B409ED" w:rsidRDefault="00CB7C7B"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w:t>
      </w:r>
      <w:r w:rsidRPr="00B409ED">
        <w:t xml:space="preserve">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The amount of each O/R-t-S Auction Constraint</w:t>
      </w:r>
      <w:r w:rsidRPr="002A7CCA">
        <w:t xml:space="preserve">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CB7C7B" w:rsidP="009F59E9">
      <w:pPr>
        <w:pStyle w:val="Heading8"/>
      </w:pPr>
      <w:bookmarkStart w:id="41" w:name="_Ref115558029"/>
      <w:r w:rsidRPr="0080228A">
        <w:rPr>
          <w:bCs/>
        </w:rPr>
        <w:t>Formula N-19</w:t>
      </w:r>
    </w:p>
    <w:p w:rsidR="005C43A2" w:rsidRPr="009F59E9" w:rsidRDefault="00CB7C7B"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CB7C7B" w:rsidP="002B1F4A">
      <w:pPr>
        <w:pStyle w:val="Bodypara"/>
      </w:pPr>
      <w:r w:rsidRPr="00B409ED">
        <w:t>Where:</w:t>
      </w:r>
    </w:p>
    <w:p w:rsidR="002B1F4A" w:rsidRPr="00B409ED" w:rsidRDefault="00CB7C7B"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w:t>
      </w:r>
      <w:r w:rsidRPr="00B409ED">
        <w:t>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CB7C7B"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CB7C7B"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w:t>
      </w:r>
      <w:r w:rsidRPr="00B409ED">
        <w:t xml:space="preserve">iguration Auction </w:t>
      </w:r>
      <w:r w:rsidRPr="00B409ED">
        <w:rPr>
          <w:i/>
          <w:iCs/>
        </w:rPr>
        <w:t>n</w:t>
      </w:r>
    </w:p>
    <w:p w:rsidR="002B1F4A" w:rsidRPr="00B409ED" w:rsidRDefault="00CB7C7B"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CB7C7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w:t>
      </w:r>
      <w:r w:rsidRPr="00B409ED">
        <w:t xml:space="preserve">ch of the other variables are as defined in Formula N-17. </w:t>
      </w:r>
    </w:p>
    <w:p w:rsidR="002B1F4A" w:rsidRDefault="00CB7C7B" w:rsidP="002B1F4A">
      <w:pPr>
        <w:pStyle w:val="Heading8"/>
        <w:spacing w:after="120"/>
        <w:rPr>
          <w:bCs/>
        </w:rPr>
      </w:pPr>
      <w:bookmarkStart w:id="42" w:name="_Ref115557973"/>
      <w:r w:rsidRPr="0080228A">
        <w:rPr>
          <w:bCs/>
        </w:rPr>
        <w:t>Formula N-20</w:t>
      </w:r>
    </w:p>
    <w:p w:rsidR="009F59E9" w:rsidRDefault="00CB7C7B"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m:t>
                          </m:r>
                          <m:r>
                            <w:rPr>
                              <w:rFonts w:ascii="Cambria Math" w:hAnsi="Cambria Math"/>
                              <w:sz w:val="20"/>
                            </w:rPr>
                            <m:t>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CB7C7B" w:rsidP="009F59E9"/>
    <w:bookmarkEnd w:id="42"/>
    <w:p w:rsidR="002B1F4A" w:rsidRDefault="00CB7C7B" w:rsidP="002B1F4A">
      <w:pPr>
        <w:spacing w:after="120"/>
      </w:pPr>
      <w:r w:rsidRPr="00B409ED">
        <w:t>Where,</w:t>
      </w:r>
    </w:p>
    <w:p w:rsidR="002B1F4A" w:rsidRPr="00B409ED" w:rsidRDefault="00CB7C7B"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Reconfiguration Auction </w:t>
      </w:r>
      <w:r w:rsidRPr="00B409ED">
        <w:rPr>
          <w:i/>
          <w:iCs/>
        </w:rPr>
        <w:t>n</w:t>
      </w:r>
      <w:r w:rsidRPr="00B409ED">
        <w:t>, as the case may be, for constraint</w:t>
      </w:r>
      <w:r w:rsidRPr="00B409ED">
        <w:rPr>
          <w:i/>
        </w:rPr>
        <w:t xml:space="preserve"> a</w:t>
      </w:r>
    </w:p>
    <w:p w:rsidR="002B1F4A" w:rsidRPr="00B409ED" w:rsidRDefault="00CB7C7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CB7C7B"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CB7C7B"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CB7C7B"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CB7C7B"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CB7C7B" w:rsidP="002B1F4A">
      <w:pPr>
        <w:pStyle w:val="Heading4"/>
        <w:rPr>
          <w:i/>
        </w:rPr>
      </w:pPr>
      <w:bookmarkStart w:id="87" w:name="_Toc263346050"/>
      <w:r>
        <w:t>20.3.6.2.1.1</w:t>
      </w:r>
      <w:r w:rsidRPr="00B409ED">
        <w:tab/>
        <w:t>Definition of Qualifying Auction Outage</w:t>
      </w:r>
      <w:bookmarkEnd w:id="87"/>
    </w:p>
    <w:p w:rsidR="002B1F4A" w:rsidRPr="00B409ED" w:rsidRDefault="00CB7C7B"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CB7C7B"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CB7C7B"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CB7C7B"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CB7C7B" w:rsidP="002B1F4A">
      <w:pPr>
        <w:pStyle w:val="romannumeralpara"/>
      </w:pPr>
      <w:r w:rsidRPr="00B409ED">
        <w:t>(ii)</w:t>
      </w:r>
      <w:r w:rsidRPr="00B409ED">
        <w:tab/>
        <w:t>the fa</w:t>
      </w:r>
      <w:r w:rsidRPr="00B409ED">
        <w:t xml:space="preserve">cility exists but is not modeled as in-service for Reconfiguration Auction </w:t>
      </w:r>
      <w:r w:rsidRPr="00B409ED">
        <w:rPr>
          <w:i/>
          <w:iCs/>
        </w:rPr>
        <w:t>n</w:t>
      </w:r>
      <w:r w:rsidRPr="00B409ED">
        <w:t>;</w:t>
      </w:r>
    </w:p>
    <w:p w:rsidR="002B1F4A" w:rsidRPr="004330ED" w:rsidRDefault="00CB7C7B"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w:t>
      </w:r>
      <w:r w:rsidRPr="004330ED">
        <w:t xml:space="preserve">tion </w:t>
      </w:r>
      <w:r w:rsidRPr="004330ED">
        <w:rPr>
          <w:i/>
          <w:iCs/>
        </w:rPr>
        <w:t>n</w:t>
      </w:r>
      <w:r w:rsidRPr="004330ED">
        <w:t>; or</w:t>
      </w:r>
    </w:p>
    <w:p w:rsidR="002B1F4A" w:rsidRPr="004330ED" w:rsidRDefault="00CB7C7B"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CB7C7B"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CB7C7B" w:rsidP="002B1F4A">
      <w:pPr>
        <w:pStyle w:val="romannumeralpara"/>
      </w:pPr>
      <w:r w:rsidRPr="00B409ED">
        <w:t>(ii)</w:t>
      </w:r>
      <w:r w:rsidRPr="00B409ED">
        <w:tab/>
        <w:t>the facility was not Normally Out-of-Service Equipment at</w:t>
      </w:r>
      <w:r w:rsidRPr="00B409ED">
        <w:t xml:space="preserve">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CB7C7B"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w:t>
      </w:r>
      <w:r w:rsidRPr="00B409ED">
        <w:t>ollowing requirements:</w:t>
      </w:r>
    </w:p>
    <w:p w:rsidR="002B1F4A" w:rsidRPr="00B409ED" w:rsidRDefault="00CB7C7B"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CB7C7B" w:rsidP="002B1F4A">
      <w:pPr>
        <w:pStyle w:val="romannumeralpara"/>
      </w:pPr>
      <w:r w:rsidRPr="00B409ED">
        <w:t>(ii)</w:t>
      </w:r>
      <w:r w:rsidRPr="00B409ED">
        <w:tab/>
        <w:t xml:space="preserve">the facility existed but was not modeled as in-service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(including the IS</w:t>
      </w:r>
      <w:r w:rsidRPr="00B409ED">
        <w:t xml:space="preserve">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w:t>
      </w:r>
      <w:r w:rsidRPr="00B409ED">
        <w:t xml:space="preserve">ding to Reconfiguration Auction </w:t>
      </w:r>
      <w:r w:rsidRPr="00B409ED">
        <w:rPr>
          <w:i/>
          <w:iCs/>
        </w:rPr>
        <w:t>n</w:t>
      </w:r>
      <w:r w:rsidRPr="00B409ED">
        <w:t>;</w:t>
      </w:r>
    </w:p>
    <w:p w:rsidR="002B1F4A" w:rsidRPr="00B409ED" w:rsidRDefault="00CB7C7B"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CB7C7B" w:rsidP="002B1F4A">
      <w:pPr>
        <w:pStyle w:val="Heading4"/>
      </w:pPr>
      <w:bookmarkStart w:id="88" w:name="_Toc263346051"/>
      <w:r>
        <w:t>20.3.6.2.1.2</w:t>
      </w:r>
      <w:r w:rsidRPr="00B409ED">
        <w:tab/>
        <w:t>Definition of Qualifyi</w:t>
      </w:r>
      <w:r w:rsidRPr="00B409ED">
        <w:t>ng Auction Return-to-Service</w:t>
      </w:r>
      <w:bookmarkEnd w:id="88"/>
    </w:p>
    <w:p w:rsidR="002B1F4A" w:rsidRPr="00B409ED" w:rsidRDefault="00CB7C7B"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xml:space="preserve">” shall refer to a </w:t>
      </w:r>
      <w:r w:rsidRPr="00B409ED">
        <w:t>single Qualifying Auction Return-to-Service.</w:t>
      </w:r>
    </w:p>
    <w:p w:rsidR="002B1F4A" w:rsidRPr="00B409ED" w:rsidRDefault="00CB7C7B"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CB7C7B" w:rsidP="002B1F4A">
      <w:pPr>
        <w:pStyle w:val="romannumeralpara"/>
      </w:pPr>
      <w:r w:rsidRPr="00B409ED">
        <w:t>(i)</w:t>
      </w:r>
      <w:r w:rsidRPr="00B409ED">
        <w:tab/>
        <w:t>th</w:t>
      </w:r>
      <w:r w:rsidRPr="004330ED">
        <w:t xml:space="preserve">e facility existed but </w:t>
      </w:r>
      <w:r w:rsidRPr="004330ED">
        <w:t>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CB7C7B"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CB7C7B" w:rsidP="002B1F4A">
      <w:pPr>
        <w:pStyle w:val="romannumeralpara"/>
      </w:pPr>
      <w:r w:rsidRPr="00B409ED">
        <w:t>(iii)</w:t>
      </w:r>
      <w:r w:rsidRPr="00B409ED">
        <w:tab/>
        <w:t xml:space="preserve">the facility was </w:t>
      </w:r>
      <w:r w:rsidRPr="00B409ED">
        <w:t>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CB7C7B" w:rsidP="002B1F4A">
      <w:pPr>
        <w:pStyle w:val="Bodypara"/>
      </w:pPr>
      <w:r w:rsidRPr="004330ED">
        <w:t>Notwithstanding any other provision of this Attachment N, a transmission facility returning t</w:t>
      </w:r>
      <w:r w:rsidRPr="004330ED">
        <w:t xml:space="preserve">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CB7C7B"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CB7C7B"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CB7C7B" w:rsidP="002B1F4A">
      <w:pPr>
        <w:pStyle w:val="romannumeralpara"/>
      </w:pPr>
      <w:r w:rsidRPr="00B409ED">
        <w:t>(ii)</w:t>
      </w:r>
      <w:r w:rsidRPr="00B409ED">
        <w:tab/>
        <w:t>t</w:t>
      </w:r>
      <w:r w:rsidRPr="00B409ED">
        <w: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w:t>
      </w:r>
      <w:r w:rsidRPr="00B409ED">
        <w:t xml:space="preserve">ion </w:t>
      </w:r>
      <w:r>
        <w:t>20.</w:t>
      </w:r>
      <w:r w:rsidRPr="00B409ED">
        <w:t xml:space="preserve">3.6.4 to a Transmission Owner (including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rPr>
          <w:color w:val="000000"/>
        </w:rPr>
        <w:t>-</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CB7C7B"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w:t>
      </w:r>
      <w:r w:rsidRPr="00B409ED">
        <w:t xml:space="preserve">onfiguration Auction </w:t>
      </w:r>
      <w:r w:rsidRPr="00B409ED">
        <w:rPr>
          <w:i/>
          <w:iCs/>
        </w:rPr>
        <w:t>n</w:t>
      </w:r>
      <w:r w:rsidRPr="00B409ED">
        <w:t>.</w:t>
      </w:r>
    </w:p>
    <w:p w:rsidR="002B1F4A" w:rsidRPr="00001253" w:rsidRDefault="00CB7C7B"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CB7C7B" w:rsidP="002B1F4A">
      <w:pPr>
        <w:pStyle w:val="Bodypara"/>
        <w:rPr>
          <w:iCs/>
        </w:rPr>
      </w:pPr>
      <w:r w:rsidRPr="00001253">
        <w:t xml:space="preserve">This Section </w:t>
      </w:r>
      <w:r w:rsidRPr="004330ED">
        <w:t>20.3.6.2.2 describes the allocation of an O/R-t-S Au</w:t>
      </w:r>
      <w:r w:rsidRPr="004330ED">
        <w:t>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CB7C7B"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CB7C7B"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CB7C7B"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CB7C7B" w:rsidP="002B1F4A">
      <w:pPr>
        <w:pStyle w:val="Bodypara"/>
      </w:pPr>
      <w:r w:rsidRPr="00783437">
        <w:t>If more than one Transmission Owner is responsibl</w:t>
      </w:r>
      <w:r w:rsidRPr="00783437">
        <w:t xml:space="preserve">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w:t>
      </w:r>
      <w:r w:rsidRPr="004330ED">
        <w:t xml:space="preserve">rge or O/R-t-S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w:t>
      </w:r>
      <w:r w:rsidRPr="004330ED">
        <w:t>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w:t>
      </w:r>
      <w:r w:rsidRPr="004330ED">
        <w:t xml:space="preserve"> applying Formula N-21, and then applying either Formula N-22 or Formula N-23, as specified herein, to assess O/R-t-S Auction Revenue Shortfall Charges and O/R-t-S Auction Revenue Surplus Payments.</w:t>
      </w:r>
    </w:p>
    <w:p w:rsidR="002B1F4A" w:rsidRDefault="00CB7C7B" w:rsidP="002B1F4A">
      <w:pPr>
        <w:pStyle w:val="Heading8"/>
        <w:rPr>
          <w:bCs/>
        </w:rPr>
      </w:pPr>
      <w:bookmarkStart w:id="132" w:name="_Ref115559873"/>
      <w:r w:rsidRPr="0080228A">
        <w:rPr>
          <w:bCs/>
        </w:rPr>
        <w:t>Formula N-21</w:t>
      </w:r>
    </w:p>
    <w:p w:rsidR="00701E24" w:rsidRPr="00824DE1" w:rsidRDefault="00CB7C7B"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CB7C7B" w:rsidP="008A4905"/>
    <w:bookmarkEnd w:id="132"/>
    <w:p w:rsidR="002B1F4A" w:rsidRDefault="00CB7C7B" w:rsidP="002B1F4A">
      <w:pPr>
        <w:pStyle w:val="Bodypara"/>
      </w:pPr>
      <w:r w:rsidRPr="00785711">
        <w:t>Where,</w:t>
      </w:r>
    </w:p>
    <w:p w:rsidR="002B1F4A" w:rsidRPr="004330ED" w:rsidRDefault="00CB7C7B"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CB7C7B"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CB7C7B"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CB7C7B" w:rsidP="002B1F4A">
      <w:pPr>
        <w:pStyle w:val="Header"/>
        <w:tabs>
          <w:tab w:val="left" w:pos="1440"/>
          <w:tab w:val="left" w:pos="6480"/>
        </w:tabs>
        <w:rPr>
          <w:sz w:val="20"/>
        </w:rPr>
      </w:pPr>
    </w:p>
    <w:p w:rsidR="002B1F4A" w:rsidRDefault="00CB7C7B"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CB7C7B"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CB7C7B" w:rsidP="002B1F4A">
      <w:pPr>
        <w:tabs>
          <w:tab w:val="left" w:pos="960"/>
        </w:tabs>
        <w:snapToGrid w:val="0"/>
        <w:spacing w:after="120"/>
        <w:ind w:left="1440"/>
      </w:pPr>
      <w:r w:rsidRPr="00DC2A86">
        <w:t>Where,</w:t>
      </w:r>
    </w:p>
    <w:p w:rsidR="002B1F4A" w:rsidRPr="00DC2A86" w:rsidRDefault="00CB7C7B"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CB7C7B"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CB7C7B"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w:t>
      </w:r>
      <w:r w:rsidRPr="00DC2A86">
        <w:t>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w:t>
      </w:r>
      <w:r w:rsidRPr="004330ED">
        <w:t xml:space="preserve">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CB7C7B"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CB7C7B"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w:t>
      </w:r>
      <w:r w:rsidRPr="00DC2A86">
        <w:t xml:space="preserv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w:t>
      </w:r>
      <w:r w:rsidRPr="004330ED">
        <w:rPr>
          <w:i/>
          <w:iCs/>
        </w:rPr>
        <w:t>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w:t>
      </w:r>
      <w:r w:rsidRPr="004330ED">
        <w:t xml:space="preserve"> angle</w:t>
      </w:r>
      <w:r w:rsidRPr="00DC2A86">
        <w:t xml:space="preserve"> regulator schedule and related variables to model the transmission facility as free flowing), but in each case with the Transmission System model modified so as to, as the case may be, either (i) model as out-of-service Actual Qualifying Auction Out</w:t>
      </w:r>
      <w:r w:rsidRPr="00DC2A86">
        <w:t xml:space="preserve">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CB7C7B"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w:t>
      </w:r>
      <w:r w:rsidRPr="00DC2A86">
        <w:t>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w:t>
      </w:r>
      <w:r w:rsidRPr="004330ED">
        <w: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w:t>
      </w:r>
      <w:r w:rsidRPr="00DC2A86">
        <w:t>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CB7C7B"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w:t>
      </w:r>
      <w:r w:rsidRPr="004330ED">
        <w:t xml:space="preserve">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CB7C7B"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CB7C7B"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CB7C7B" w:rsidP="002B1F4A">
      <w:pPr>
        <w:pStyle w:val="Bodypara"/>
      </w:pPr>
      <w:r w:rsidRPr="004330ED">
        <w:t>After c</w:t>
      </w:r>
      <w:r w:rsidRPr="004330ED">
        <w:t>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w:t>
      </w:r>
      <w:r w:rsidRPr="004330ED">
        <w:t>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w:t>
      </w:r>
      <w:r w:rsidRPr="00DC2A86">
        <w:t>yments pursuant to Formula N-22 or Formula N-23, as specified below.</w:t>
      </w:r>
    </w:p>
    <w:p w:rsidR="002B1F4A" w:rsidRPr="00DC2A86" w:rsidRDefault="00CB7C7B" w:rsidP="002B1F4A">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 xml:space="preserve">month </w:t>
      </w:r>
      <w:r w:rsidRPr="004330ED">
        <w:t>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w:t>
      </w:r>
    </w:p>
    <w:p w:rsidR="002B1F4A" w:rsidRPr="00DC2A86" w:rsidRDefault="00CB7C7B" w:rsidP="002B1F4A">
      <w:pPr>
        <w:spacing w:line="480" w:lineRule="auto"/>
      </w:pPr>
      <w:r w:rsidRPr="00DC2A86">
        <w:t>prior paragraph) is greater than the absolute value of the O/R-t-S Auction Const</w:t>
      </w:r>
      <w:r w:rsidRPr="00DC2A86">
        <w: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w:t>
      </w:r>
      <w:r w:rsidRPr="004330ED">
        <w:t>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 xml:space="preserve">and Qualifying Auction </w:t>
      </w:r>
      <w:r w:rsidRPr="004330ED">
        <w:rPr>
          <w:iCs/>
        </w:rPr>
        <w:t>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 xml:space="preserve">as described in the prior paragraph) is less than or </w:t>
      </w:r>
      <w:r w:rsidRPr="004330ED">
        <w:t>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w:t>
      </w:r>
      <w:r w:rsidRPr="004330ED">
        <w:t>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2B1F4A" w:rsidRDefault="00CB7C7B" w:rsidP="002B1F4A">
      <w:pPr>
        <w:pStyle w:val="Heading8"/>
        <w:rPr>
          <w:bCs/>
        </w:rPr>
      </w:pPr>
      <w:bookmarkStart w:id="133" w:name="_Ref115559876"/>
      <w:r>
        <w:rPr>
          <w:rFonts w:asciiTheme="majorHAnsi" w:hAnsiTheme="majorHAnsi"/>
          <w:noProof/>
          <w:snapToGrid/>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noProof/>
          <w:snapToGrid/>
        </w:rPr>
        <w:pict>
          <v:shape id="_x0000_s1026" type="#_x0000_t85" style="position:absolute;left:0;text-align:left;margin-left:366.8pt;margin-top:27.15pt;width:5.6pt;height:65.2pt;flip:x;z-index:251659264"/>
        </w:pict>
      </w:r>
      <w:r w:rsidRPr="0080228A">
        <w:rPr>
          <w:bCs/>
        </w:rPr>
        <w:t>Formula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5464B4" w:rsidTr="00784A57">
        <w:tc>
          <w:tcPr>
            <w:tcW w:w="1915" w:type="dxa"/>
            <w:vMerge w:val="restart"/>
            <w:tcBorders>
              <w:right w:val="nil"/>
            </w:tcBorders>
            <w:vAlign w:val="center"/>
          </w:tcPr>
          <w:p w:rsidR="00701E24" w:rsidRPr="00701E24" w:rsidRDefault="00CB7C7B"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CB7C7B" w:rsidP="00701E24">
            <w:pPr>
              <w:rPr>
                <w:rFonts w:asciiTheme="majorHAnsi" w:hAnsiTheme="majorHAnsi"/>
                <w:sz w:val="20"/>
              </w:rPr>
            </w:pPr>
          </w:p>
        </w:tc>
        <w:tc>
          <w:tcPr>
            <w:tcW w:w="5220" w:type="dxa"/>
            <w:tcBorders>
              <w:left w:val="nil"/>
              <w:right w:val="nil"/>
            </w:tcBorders>
          </w:tcPr>
          <w:p w:rsidR="00701E24" w:rsidRPr="00701E24" w:rsidRDefault="00CB7C7B"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CB7C7B" w:rsidP="00701E24">
            <w:pPr>
              <w:rPr>
                <w:rFonts w:asciiTheme="majorHAnsi" w:hAnsiTheme="majorHAnsi"/>
                <w:sz w:val="20"/>
              </w:rPr>
            </w:pPr>
          </w:p>
        </w:tc>
        <w:tc>
          <w:tcPr>
            <w:tcW w:w="1916" w:type="dxa"/>
            <w:vMerge w:val="restart"/>
            <w:tcBorders>
              <w:left w:val="nil"/>
            </w:tcBorders>
            <w:vAlign w:val="center"/>
          </w:tcPr>
          <w:p w:rsidR="00701E24" w:rsidRPr="00701E24" w:rsidRDefault="00CB7C7B"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5464B4" w:rsidTr="00784A57">
        <w:tc>
          <w:tcPr>
            <w:tcW w:w="1915" w:type="dxa"/>
            <w:vMerge/>
            <w:tcBorders>
              <w:right w:val="nil"/>
            </w:tcBorders>
          </w:tcPr>
          <w:p w:rsidR="00701E24" w:rsidRPr="00701E24" w:rsidRDefault="00CB7C7B"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CB7C7B" w:rsidP="00701E24">
            <w:pPr>
              <w:rPr>
                <w:rFonts w:asciiTheme="majorHAnsi" w:hAnsiTheme="majorHAnsi"/>
                <w:sz w:val="20"/>
              </w:rPr>
            </w:pPr>
          </w:p>
        </w:tc>
        <w:tc>
          <w:tcPr>
            <w:tcW w:w="5220" w:type="dxa"/>
            <w:tcBorders>
              <w:left w:val="nil"/>
              <w:right w:val="nil"/>
            </w:tcBorders>
          </w:tcPr>
          <w:p w:rsidR="00701E24" w:rsidRPr="00701E24" w:rsidRDefault="00CB7C7B"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CB7C7B" w:rsidP="00701E24">
            <w:pPr>
              <w:rPr>
                <w:rFonts w:asciiTheme="majorHAnsi" w:hAnsiTheme="majorHAnsi"/>
                <w:sz w:val="20"/>
              </w:rPr>
            </w:pPr>
          </w:p>
        </w:tc>
        <w:tc>
          <w:tcPr>
            <w:tcW w:w="1916" w:type="dxa"/>
            <w:vMerge/>
            <w:tcBorders>
              <w:left w:val="nil"/>
            </w:tcBorders>
          </w:tcPr>
          <w:p w:rsidR="00701E24" w:rsidRPr="00701E24" w:rsidRDefault="00CB7C7B" w:rsidP="00701E24">
            <w:pPr>
              <w:rPr>
                <w:rFonts w:asciiTheme="majorHAnsi" w:hAnsiTheme="majorHAnsi"/>
                <w:sz w:val="20"/>
              </w:rPr>
            </w:pPr>
          </w:p>
        </w:tc>
      </w:tr>
    </w:tbl>
    <w:p w:rsidR="00701E24" w:rsidRPr="00701E24" w:rsidRDefault="00CB7C7B" w:rsidP="00701E24"/>
    <w:bookmarkEnd w:id="133"/>
    <w:p w:rsidR="002B1F4A" w:rsidRDefault="00CB7C7B" w:rsidP="002B1F4A">
      <w:pPr>
        <w:pStyle w:val="Bodypara"/>
      </w:pPr>
      <w:r w:rsidRPr="00DC2A86">
        <w:t>Where,</w:t>
      </w:r>
    </w:p>
    <w:p w:rsidR="002B1F4A" w:rsidRPr="004330ED" w:rsidRDefault="00CB7C7B"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w:t>
      </w:r>
      <w:r w:rsidRPr="004330ED">
        <w:t>Payment, as specified in (a) and (b) below:</w:t>
      </w:r>
    </w:p>
    <w:p w:rsidR="002B1F4A" w:rsidRPr="00DC2A86" w:rsidRDefault="00CB7C7B"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w:t>
      </w:r>
      <w:r w:rsidRPr="004330ED">
        <w:t xml:space="preserve">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CB7C7B"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CB7C7B"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w:t>
      </w:r>
      <w:r w:rsidRPr="004330ED">
        <w:t xml:space="preserve">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CB7C7B" w:rsidP="002B1F4A">
      <w:pPr>
        <w:pStyle w:val="Bodypara"/>
        <w:ind w:firstLine="0"/>
      </w:pPr>
      <w:r w:rsidRPr="00DC2A86">
        <w:t>and the variable O/R-t-S ACR</w:t>
      </w:r>
      <w:r w:rsidRPr="00DC2A86">
        <w:rPr>
          <w:vertAlign w:val="subscript"/>
        </w:rPr>
        <w:t>a,</w:t>
      </w:r>
      <w:r w:rsidRPr="00DC2A86">
        <w:rPr>
          <w:vertAlign w:val="subscript"/>
        </w:rPr>
        <w:t>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CB7C7B" w:rsidP="002B1F4A">
      <w:pPr>
        <w:pStyle w:val="Heading8"/>
        <w:rPr>
          <w:bCs/>
        </w:rPr>
      </w:pPr>
      <w:bookmarkStart w:id="134" w:name="_Ref115559878"/>
      <w:r w:rsidRPr="0080228A">
        <w:rPr>
          <w:bCs/>
        </w:rPr>
        <w:t>Formula N-23</w:t>
      </w:r>
    </w:p>
    <w:p w:rsidR="00D663D4" w:rsidRPr="00D663D4" w:rsidRDefault="00CB7C7B"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m:t>
                  </m:r>
                  <m:r>
                    <w:rPr>
                      <w:rFonts w:ascii="Cambria Math" w:hAnsi="Cambria Math"/>
                    </w:rPr>
                    <m:t>n</m:t>
                  </m:r>
                  <m:r>
                    <w:rPr>
                      <w:rFonts w:ascii="Cambria Math" w:hAnsi="Cambria Math"/>
                    </w:rPr>
                    <m:t>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CB7C7B" w:rsidP="002B1F4A">
      <w:pPr>
        <w:pStyle w:val="Bodypara"/>
        <w:keepNext/>
      </w:pPr>
    </w:p>
    <w:p w:rsidR="002B1F4A" w:rsidRPr="00DC2A86" w:rsidRDefault="00CB7C7B" w:rsidP="002B1F4A">
      <w:pPr>
        <w:pStyle w:val="Bodypara"/>
        <w:keepNext/>
      </w:pPr>
      <w:r w:rsidRPr="00DC2A86">
        <w:t>Where,</w:t>
      </w:r>
    </w:p>
    <w:p w:rsidR="002B1F4A" w:rsidRPr="00DC2A86" w:rsidRDefault="00CB7C7B"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CB7C7B"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CB7C7B" w:rsidP="002B1F4A">
      <w:pPr>
        <w:pStyle w:val="Bodypara"/>
      </w:pPr>
      <w:r w:rsidRPr="00DC2A86">
        <w:t>The ISO shall use U/D Auction Constraint Residuals to allocate U/D Auction Revenue Shortfall Charges and U/D Auction</w:t>
      </w:r>
      <w:r w:rsidRPr="00DC2A86">
        <w:t xml:space="preserve"> Revenue Surplus Payments, as the case may be, among Transmission Owners pursuant to this Section </w:t>
      </w:r>
      <w:r>
        <w:t>20.</w:t>
      </w:r>
      <w:r w:rsidRPr="00DC2A86">
        <w:t xml:space="preserve">3.6.3.  Each U/D Auction Revenue Shortfall </w:t>
      </w:r>
    </w:p>
    <w:p w:rsidR="002B1F4A" w:rsidRPr="00DC2A86" w:rsidRDefault="00CB7C7B"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CB7C7B"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CB7C7B"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w:t>
      </w:r>
      <w:r w:rsidRPr="00BB0CC4">
        <w:t>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w:t>
      </w:r>
      <w:r w:rsidRPr="00DC2A86">
        <w:t xml:space="preserve">g shall be allocated a U/D Auction Revenue Shortfall Charge or a U/D Auction Revenue Surplus Payment, as the case may be, pursuant to Section </w:t>
      </w:r>
      <w:r>
        <w:t>20.</w:t>
      </w:r>
      <w:r w:rsidRPr="00DC2A86">
        <w:t>3.6.3.2.</w:t>
      </w:r>
    </w:p>
    <w:p w:rsidR="002B1F4A" w:rsidRPr="00DC2A86" w:rsidRDefault="00CB7C7B" w:rsidP="002B1F4A">
      <w:pPr>
        <w:pStyle w:val="Heading4"/>
      </w:pPr>
      <w:bookmarkStart w:id="183" w:name="_Toc263346056"/>
      <w:r>
        <w:t>20.3.6.3.1.1</w:t>
      </w:r>
      <w:r w:rsidRPr="00DC2A86">
        <w:tab/>
        <w:t>Definition of Qualifying Auction Derating</w:t>
      </w:r>
      <w:bookmarkEnd w:id="183"/>
    </w:p>
    <w:p w:rsidR="002B1F4A" w:rsidRPr="00BB0CC4" w:rsidRDefault="00CB7C7B" w:rsidP="002B1F4A">
      <w:pPr>
        <w:pStyle w:val="Bodypara"/>
      </w:pPr>
      <w:r w:rsidRPr="00BB0CC4">
        <w:t>A “</w:t>
      </w:r>
      <w:r w:rsidRPr="00BB0CC4">
        <w:rPr>
          <w:b/>
          <w:bCs/>
        </w:rPr>
        <w:t>Qualifying Auction Derating</w:t>
      </w:r>
      <w:r w:rsidRPr="00BB0CC4">
        <w:t>” (which term sha</w:t>
      </w:r>
      <w:r w:rsidRPr="00BB0CC4">
        <w:t xml:space="preserve">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xml:space="preserve">” shall refer to a </w:t>
      </w:r>
      <w:r w:rsidRPr="00BB0CC4">
        <w:t>single Qualifying Auction Derating.</w:t>
      </w:r>
    </w:p>
    <w:p w:rsidR="002B1F4A" w:rsidRPr="00DC2A86" w:rsidRDefault="00CB7C7B"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Reconfiguration Auction </w:t>
      </w:r>
      <w:r w:rsidRPr="00DC2A86">
        <w:rPr>
          <w:i/>
          <w:iCs/>
        </w:rPr>
        <w:t>n</w:t>
      </w:r>
      <w:r w:rsidRPr="00DC2A86">
        <w:t xml:space="preserve"> meets each of the following requirements:</w:t>
      </w:r>
    </w:p>
    <w:p w:rsidR="002B1F4A" w:rsidRPr="00DC2A86" w:rsidRDefault="00CB7C7B"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CB7C7B"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CB7C7B"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w:t>
      </w:r>
      <w:r w:rsidRPr="00DC2A86">
        <w:t xml:space="preserve"> </w:t>
      </w:r>
      <w:r w:rsidRPr="00DC2A86">
        <w:rPr>
          <w:i/>
          <w:iCs/>
        </w:rPr>
        <w:t>o</w:t>
      </w:r>
      <w:r w:rsidRPr="00DC2A86">
        <w:t xml:space="preserve"> for Reconfiguration Auction </w:t>
      </w:r>
      <w:r w:rsidRPr="00DC2A86">
        <w:rPr>
          <w:i/>
          <w:iCs/>
        </w:rPr>
        <w:t>n</w:t>
      </w:r>
      <w:r w:rsidRPr="00DC2A86">
        <w:t>;</w:t>
      </w:r>
    </w:p>
    <w:p w:rsidR="002B1F4A" w:rsidRPr="00DC2A86" w:rsidRDefault="00CB7C7B"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w:t>
      </w:r>
      <w:r w:rsidRPr="00DC2A86">
        <w:t xml:space="preserve">ring the month corresponding to Reconfiguration Auction </w:t>
      </w:r>
      <w:r w:rsidRPr="00DC2A86">
        <w:rPr>
          <w:i/>
          <w:iCs/>
        </w:rPr>
        <w:t>n</w:t>
      </w:r>
      <w:r w:rsidRPr="00DC2A86">
        <w:t>;</w:t>
      </w:r>
    </w:p>
    <w:p w:rsidR="002B1F4A" w:rsidRPr="00DC2A86" w:rsidRDefault="00CB7C7B"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 and</w:t>
      </w:r>
    </w:p>
    <w:p w:rsidR="002B1F4A" w:rsidRPr="00DC2A86" w:rsidRDefault="00CB7C7B" w:rsidP="002B1F4A">
      <w:pPr>
        <w:pStyle w:val="romannumeralpara"/>
      </w:pPr>
      <w:r w:rsidRPr="00DC2A86">
        <w:t>(v)</w:t>
      </w:r>
      <w:r w:rsidRPr="00DC2A86">
        <w:tab/>
        <w:t>the constraint was binding in Reconfiguration Auctio</w:t>
      </w:r>
      <w:r w:rsidRPr="00DC2A86">
        <w:t xml:space="preserve">n </w:t>
      </w:r>
      <w:r w:rsidRPr="00DC2A86">
        <w:rPr>
          <w:i/>
          <w:iCs/>
        </w:rPr>
        <w:t>n</w:t>
      </w:r>
      <w:r w:rsidRPr="00DC2A86">
        <w:t>.</w:t>
      </w:r>
    </w:p>
    <w:p w:rsidR="002B1F4A" w:rsidRPr="00BB0CC4" w:rsidRDefault="00CB7C7B"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CB7C7B"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CB7C7B" w:rsidP="002B1F4A">
      <w:pPr>
        <w:pStyle w:val="romannumeralpara"/>
      </w:pPr>
      <w:r w:rsidRPr="00BB0CC4">
        <w:t>(ii)</w:t>
      </w:r>
      <w:r w:rsidRPr="00BB0CC4">
        <w:tab/>
      </w:r>
      <w:r w:rsidRPr="00BB0CC4">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CB7C7B" w:rsidP="002B1F4A">
      <w:pPr>
        <w:pStyle w:val="romannumeralpara"/>
      </w:pPr>
      <w:r w:rsidRPr="00BB0CC4">
        <w:t>(iii)</w:t>
      </w:r>
      <w:r w:rsidRPr="00BB0CC4">
        <w:tab/>
        <w:t>this lower rating is included in the Centralized TCC Auction Interface Uprate/Derate Tab</w:t>
      </w:r>
      <w:r w:rsidRPr="00BB0CC4">
        <w:t xml:space="preserve">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CB7C7B"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CB7C7B"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xml:space="preserve">) shall be defined as a change in the </w:t>
      </w:r>
      <w:r w:rsidRPr="00DC2A86">
        <w:t>rating of a constraint that, for a given constraint</w:t>
      </w:r>
      <w:r w:rsidRPr="00DC2A86">
        <w:rPr>
          <w:i/>
        </w:rPr>
        <w:t xml:space="preserve"> a</w:t>
      </w:r>
      <w:r w:rsidRPr="00DC2A86">
        <w:t xml:space="preserve"> and a given Reconfiguration Auction </w:t>
      </w:r>
      <w:r w:rsidRPr="00DC2A86">
        <w:rPr>
          <w:i/>
          <w:iCs/>
        </w:rPr>
        <w:t>n</w:t>
      </w:r>
      <w:r w:rsidRPr="00DC2A86">
        <w:t xml:space="preserve"> meets each of the following requirements:</w:t>
      </w:r>
    </w:p>
    <w:p w:rsidR="002B1F4A" w:rsidRPr="00DC2A86" w:rsidRDefault="00CB7C7B"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w:t>
      </w:r>
      <w:r w:rsidRPr="00DC2A86">
        <w:t xml:space="preserve"> modeled as in-service in Reconfiguration Auction </w:t>
      </w:r>
      <w:r w:rsidRPr="00DC2A86">
        <w:rPr>
          <w:i/>
          <w:iCs/>
        </w:rPr>
        <w:t>n</w:t>
      </w:r>
      <w:r w:rsidRPr="00DC2A86">
        <w:t>;</w:t>
      </w:r>
    </w:p>
    <w:p w:rsidR="002B1F4A" w:rsidRPr="00DC2A86" w:rsidRDefault="00CB7C7B"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CB7C7B" w:rsidP="002B1F4A">
      <w:pPr>
        <w:pStyle w:val="romannumeralpara"/>
      </w:pPr>
      <w:r w:rsidRPr="00DC2A86">
        <w:t>(iii)</w:t>
      </w:r>
      <w:r w:rsidRPr="00DC2A86">
        <w:tab/>
        <w:t>this lower rating re</w:t>
      </w:r>
      <w:r w:rsidRPr="00DC2A86">
        <w:t xml:space="preserv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w:t>
      </w:r>
      <w:r w:rsidRPr="00BB0CC4">
        <w:t xml:space="preserve"> a Transmission Owner pursuant to Section 20.3.6.4) other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CB7C7B" w:rsidP="002B1F4A">
      <w:pPr>
        <w:pStyle w:val="romannumeralpara"/>
      </w:pPr>
      <w:r w:rsidRPr="00DC2A86">
        <w:t>(iv)</w:t>
      </w:r>
      <w:r w:rsidRPr="00DC2A86">
        <w:tab/>
        <w:t xml:space="preserve">this lower rating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CB7C7B"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CB7C7B" w:rsidP="002B1F4A">
      <w:pPr>
        <w:pStyle w:val="Heading4"/>
      </w:pPr>
      <w:bookmarkStart w:id="184" w:name="_Toc263346057"/>
      <w:r>
        <w:t>20.3.6.3.1.2</w:t>
      </w:r>
      <w:r w:rsidRPr="00DC2A86">
        <w:tab/>
        <w:t>Definition of Qualifying Auction Uprating</w:t>
      </w:r>
      <w:bookmarkEnd w:id="184"/>
    </w:p>
    <w:p w:rsidR="002B1F4A" w:rsidRPr="00DC2A86" w:rsidRDefault="00CB7C7B" w:rsidP="002B1F4A">
      <w:pPr>
        <w:pStyle w:val="Bodypara"/>
      </w:pPr>
      <w:r w:rsidRPr="00DC2A86">
        <w:t>A “</w:t>
      </w:r>
      <w:r w:rsidRPr="00DC2A86">
        <w:rPr>
          <w:b/>
          <w:bCs/>
        </w:rPr>
        <w:t>Qualifying Auction U</w:t>
      </w:r>
      <w:r w:rsidRPr="00DC2A86">
        <w:rPr>
          <w:b/>
          <w:bCs/>
        </w:rPr>
        <w:t>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CB7C7B" w:rsidP="002B1F4A">
      <w:pPr>
        <w:pStyle w:val="Bodypara"/>
      </w:pPr>
      <w:r w:rsidRPr="00DC2A86">
        <w:t>An “</w:t>
      </w:r>
      <w:r w:rsidRPr="00DC2A86">
        <w:rPr>
          <w:b/>
          <w:bCs/>
        </w:rPr>
        <w:t>Actual Qualifying Auction Uprating</w:t>
      </w:r>
      <w:r w:rsidRPr="00DC2A86">
        <w:t>” sha</w:t>
      </w:r>
      <w:r w:rsidRPr="00DC2A86">
        <w:t xml:space="preserve">ll be defined as a change in the rating of a constraint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CB7C7B"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w:t>
      </w:r>
      <w:r w:rsidRPr="00DC2A86">
        <w:t xml:space="preserve">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CB7C7B"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w:t>
      </w:r>
      <w:r w:rsidRPr="00DC2A86">
        <w:t xml:space="preserve">ce </w:t>
      </w:r>
      <w:r w:rsidRPr="00DC2A86">
        <w:rPr>
          <w:i/>
          <w:iCs/>
        </w:rPr>
        <w:t>o</w:t>
      </w:r>
      <w:r w:rsidRPr="00DC2A86">
        <w:t xml:space="preserve"> for Reconfiguration Auction </w:t>
      </w:r>
      <w:r w:rsidRPr="00DC2A86">
        <w:rPr>
          <w:i/>
          <w:iCs/>
        </w:rPr>
        <w:t>n</w:t>
      </w:r>
      <w:r w:rsidRPr="00DC2A86">
        <w:t xml:space="preserve"> was not modeled in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CB7C7B" w:rsidP="002B1F4A">
      <w:pPr>
        <w:pStyle w:val="romannumeralpara"/>
      </w:pPr>
      <w:r w:rsidRPr="00DC2A86">
        <w:t>(iii)</w:t>
      </w:r>
      <w:r w:rsidRPr="00DC2A86">
        <w:tab/>
        <w:t xml:space="preserve">this higher rating is included in the Reconfiguration Auction Interface Uprate/Derate </w:t>
      </w:r>
      <w:r w:rsidRPr="00DC2A86">
        <w:t xml:space="preserve">Table in effect for Reconfiguration Auction </w:t>
      </w:r>
      <w:r w:rsidRPr="00DC2A86">
        <w:rPr>
          <w:i/>
          <w:iCs/>
        </w:rPr>
        <w:t>n</w:t>
      </w:r>
      <w:r w:rsidRPr="00DC2A86">
        <w:t>; and</w:t>
      </w:r>
    </w:p>
    <w:p w:rsidR="002B1F4A" w:rsidRPr="00DC2A86" w:rsidRDefault="00CB7C7B"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CB7C7B"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RDefault="00CB7C7B" w:rsidP="002B1F4A">
      <w:pPr>
        <w:pStyle w:val="Bodypara"/>
      </w:pPr>
      <w:r w:rsidRPr="00DC2A86">
        <w:t>A “</w:t>
      </w:r>
      <w:r w:rsidRPr="00DC2A86">
        <w:rPr>
          <w:b/>
          <w:bCs/>
        </w:rPr>
        <w:t>Deemed Qualifying Auction Uprating</w:t>
      </w:r>
      <w:r w:rsidRPr="00DC2A86">
        <w:t>” shall be defined as a change in the rating of a</w:t>
      </w:r>
      <w:r w:rsidRPr="00DC2A86">
        <w:t xml:space="preserve"> constraint that, for a given </w:t>
      </w:r>
      <w:r w:rsidRPr="00C56C49">
        <w:t>constraint</w:t>
      </w:r>
      <w:r w:rsidRPr="00DC2A86">
        <w:rPr>
          <w:i/>
        </w:rPr>
        <w:t xml:space="preserve"> a</w:t>
      </w:r>
      <w:r w:rsidRPr="00DC2A86">
        <w:t xml:space="preserve"> and Reconfiguration Auction </w:t>
      </w:r>
      <w:r w:rsidRPr="00DC2A86">
        <w:rPr>
          <w:i/>
          <w:iCs/>
        </w:rPr>
        <w:t>n</w:t>
      </w:r>
      <w:r w:rsidRPr="00DC2A86">
        <w:t xml:space="preserve">, as the case may be, meets each of the following requirements:  </w:t>
      </w:r>
    </w:p>
    <w:p w:rsidR="002B1F4A" w:rsidRPr="00DC2A86" w:rsidRDefault="00CB7C7B"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w:t>
      </w:r>
      <w:r w:rsidRPr="00DC2A86">
        <w:t xml:space="preserve">ere modeled as in-service in Reconfiguration Auction </w:t>
      </w:r>
      <w:r w:rsidRPr="00DC2A86">
        <w:rPr>
          <w:i/>
          <w:iCs/>
        </w:rPr>
        <w:t>n</w:t>
      </w:r>
      <w:r w:rsidRPr="00DC2A86">
        <w:t>;</w:t>
      </w:r>
    </w:p>
    <w:p w:rsidR="002B1F4A" w:rsidRPr="00DC2A86" w:rsidRDefault="00CB7C7B"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CB7C7B" w:rsidP="002B1F4A">
      <w:pPr>
        <w:pStyle w:val="romannumeralpara"/>
      </w:pPr>
      <w:r w:rsidRPr="00DC2A86">
        <w:t>(iii)</w:t>
      </w:r>
      <w:r w:rsidRPr="00DC2A86">
        <w:tab/>
      </w:r>
      <w:r w:rsidRPr="00DC2A86">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w:t>
      </w:r>
      <w:r w:rsidRPr="00DC2A86">
        <w:t xml:space="preserve">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3.6.4 to a Transmission Owner (including the ISO whe</w:t>
      </w:r>
      <w:r w:rsidRPr="00DC2A86">
        <w:t xml:space="preserve">n it is deemed a Transmission Owner pursuant to Section </w:t>
      </w:r>
      <w:r>
        <w:t>20.</w:t>
      </w:r>
      <w:r w:rsidRPr="00DC2A86">
        <w:t xml:space="preserve">3.6.4) other than the Transmission Owner responsible for the lower rating in the last auction held for TCCs valid for hour </w:t>
      </w:r>
      <w:r w:rsidRPr="00DC2A86">
        <w:rPr>
          <w:i/>
          <w:iCs/>
        </w:rPr>
        <w:t>h</w:t>
      </w:r>
      <w:r w:rsidRPr="00DC2A86">
        <w:t>;</w:t>
      </w:r>
    </w:p>
    <w:p w:rsidR="002B1F4A" w:rsidRPr="00DC2A86" w:rsidRDefault="00CB7C7B"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w:t>
      </w:r>
      <w:r w:rsidRPr="00DC2A86">
        <w:t xml:space="preserve">Reconfiguration Auction Interface Uprate/Derate Table in effect for Reconfiguration Auction </w:t>
      </w:r>
      <w:r w:rsidRPr="00DC2A86">
        <w:rPr>
          <w:i/>
          <w:iCs/>
        </w:rPr>
        <w:t>n</w:t>
      </w:r>
      <w:r w:rsidRPr="00DC2A86">
        <w:t>; and</w:t>
      </w:r>
    </w:p>
    <w:p w:rsidR="002B1F4A" w:rsidRPr="00DC2A86" w:rsidRDefault="00CB7C7B"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CB7C7B"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CB7C7B" w:rsidP="002B1F4A">
      <w:pPr>
        <w:pStyle w:val="Bodypara"/>
      </w:pPr>
      <w:r w:rsidRPr="00DC2A86">
        <w:t xml:space="preserve">This Section </w:t>
      </w:r>
      <w:r>
        <w:t>20.</w:t>
      </w:r>
      <w:r w:rsidRPr="00DC2A86">
        <w:t xml:space="preserve">3.6.3.2 describes the </w:t>
      </w:r>
      <w:r w:rsidRPr="00DC2A86">
        <w:t>allocation of U/D Auction Constraint Residuals to Qualifying Auction Deratings and Qualifying Auction Upratings.</w:t>
      </w:r>
    </w:p>
    <w:p w:rsidR="002B1F4A" w:rsidRPr="00DC2A86" w:rsidRDefault="00CB7C7B"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w:t>
      </w:r>
      <w:r w:rsidRPr="00DC2A86">
        <w:t>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determining the net total impact on the constrain</w:t>
      </w:r>
      <w:r w:rsidRPr="00BB0CC4">
        <w:t xml:space="preserve">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w:t>
      </w:r>
      <w:r w:rsidRPr="00DC2A86">
        <w:t>then applying either Formula N-25 or Formula N-26, as specified herein, to assess U/D Auction Revenue Shortfall Charges and U/D Auction Revenue Surplus Payments.</w:t>
      </w:r>
    </w:p>
    <w:p w:rsidR="002B1F4A" w:rsidRDefault="00CB7C7B" w:rsidP="002B1F4A">
      <w:pPr>
        <w:pStyle w:val="Heading8"/>
        <w:spacing w:after="120"/>
        <w:rPr>
          <w:bCs/>
        </w:rPr>
      </w:pPr>
      <w:bookmarkStart w:id="212" w:name="_Ref115561669"/>
      <w:r w:rsidRPr="00F25E55">
        <w:rPr>
          <w:bCs/>
        </w:rPr>
        <w:t>Formula N-24</w:t>
      </w:r>
    </w:p>
    <w:p w:rsidR="007252F2" w:rsidRPr="007252F2" w:rsidRDefault="00CB7C7B"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m:t>
                      </m:r>
                      <m:r>
                        <w:rPr>
                          <w:rFonts w:ascii="Cambria Math" w:hAnsi="Cambria Math"/>
                          <w:sz w:val="22"/>
                        </w:rPr>
                        <m:t>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CB7C7B" w:rsidP="003E4A46">
      <w:pPr>
        <w:pStyle w:val="Bodypara"/>
        <w:spacing w:line="360" w:lineRule="auto"/>
      </w:pPr>
    </w:p>
    <w:p w:rsidR="002B1F4A" w:rsidRPr="00DC2A86" w:rsidRDefault="00CB7C7B" w:rsidP="002B1F4A">
      <w:pPr>
        <w:pStyle w:val="Bodypara"/>
      </w:pPr>
      <w:r w:rsidRPr="00DC2A86">
        <w:t>Where,</w:t>
      </w:r>
    </w:p>
    <w:bookmarkEnd w:id="185"/>
    <w:p w:rsidR="002B1F4A" w:rsidRPr="00DC2A86" w:rsidRDefault="00CB7C7B"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w:t>
      </w:r>
      <w:r w:rsidRPr="00BB0CC4">
        <w:t>ph immediately following this</w:t>
      </w:r>
      <w:r w:rsidRPr="00DC2A86">
        <w:t xml:space="preserve"> Formula N-24</w:t>
      </w:r>
    </w:p>
    <w:p w:rsidR="002B1F4A" w:rsidRPr="00DC2A86" w:rsidRDefault="00CB7C7B"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CB7C7B"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w:t>
      </w:r>
      <w:r w:rsidRPr="00DC2A86">
        <w:t xml:space="preserve">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w:t>
      </w:r>
      <w:r w:rsidRPr="00BB0CC4">
        <w:t>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and which in</w:t>
      </w:r>
      <w:r w:rsidRPr="00BB0CC4">
        <w:t xml:space="preserve">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CB7C7B"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w:t>
      </w:r>
      <w:r w:rsidRPr="00BB0CC4">
        <w:t>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w:t>
      </w:r>
      <w:r w:rsidRPr="00BB0CC4">
        <w:t>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w:t>
      </w:r>
      <w:r w:rsidRPr="00BB0CC4">
        <w:t xml:space="preserve">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CB7C7B"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CB7C7B"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CB7C7B"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CB7C7B"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w:t>
      </w:r>
      <w:r w:rsidRPr="00BB0CC4">
        <w:t>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w:t>
      </w:r>
      <w:r w:rsidRPr="00DC2A86">
        <w:t>*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CB7C7B"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Reconfiguration </w:t>
      </w:r>
      <w:r w:rsidRPr="00BB0CC4">
        <w:t xml:space="preserve">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w:t>
      </w:r>
      <w:r w:rsidRPr="00BB0CC4">
        <w: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w:t>
      </w:r>
      <w:r w:rsidRPr="00BB0CC4">
        <w:rPr>
          <w:color w:val="000000"/>
        </w:rPr>
        <w:t>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w:t>
      </w:r>
      <w:r w:rsidRPr="007A1B03">
        <w:t>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w:t>
      </w:r>
      <w:r w:rsidRPr="007A1B03">
        <w:t>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CB7C7B" w:rsidP="002B1F4A">
      <w:pPr>
        <w:pStyle w:val="Heading8"/>
        <w:rPr>
          <w:bCs/>
        </w:rPr>
      </w:pPr>
      <w:bookmarkStart w:id="213" w:name="_Ref115561699"/>
      <w:r>
        <w:rPr>
          <w:noProof/>
          <w:snapToGrid/>
        </w:rPr>
        <w:pict>
          <v:shape id="_x0000_s1027" type="#_x0000_t85" style="position:absolute;left:0;text-align:left;margin-left:353.25pt;margin-top:27.2pt;width:3.55pt;height:66.4pt;flip:x;z-index:251661312"/>
        </w:pict>
      </w:r>
      <w:r>
        <w:rPr>
          <w:noProof/>
          <w:snapToGrid/>
          <w:sz w:val="20"/>
        </w:rPr>
        <w:pict>
          <v:shape id="_x0000_s1028" type="#_x0000_t85" style="position:absolute;left:0;text-align:left;margin-left:104pt;margin-top:27.2pt;width:4.35pt;height:66.4pt;z-index:251660288"/>
        </w:pic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5464B4" w:rsidTr="00CF394E">
        <w:tc>
          <w:tcPr>
            <w:tcW w:w="2088" w:type="dxa"/>
            <w:vMerge w:val="restart"/>
            <w:vAlign w:val="center"/>
          </w:tcPr>
          <w:p w:rsidR="00325E6B" w:rsidRPr="002D0726" w:rsidRDefault="00CB7C7B"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CB7C7B" w:rsidP="00325E6B">
            <w:pPr>
              <w:jc w:val="center"/>
              <w:rPr>
                <w:sz w:val="20"/>
              </w:rPr>
            </w:pPr>
          </w:p>
        </w:tc>
        <w:tc>
          <w:tcPr>
            <w:tcW w:w="4770" w:type="dxa"/>
          </w:tcPr>
          <w:p w:rsidR="00325E6B" w:rsidRPr="002D0726" w:rsidRDefault="00CB7C7B"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CB7C7B" w:rsidP="00325E6B">
            <w:pPr>
              <w:jc w:val="center"/>
              <w:rPr>
                <w:sz w:val="20"/>
              </w:rPr>
            </w:pPr>
          </w:p>
        </w:tc>
        <w:tc>
          <w:tcPr>
            <w:tcW w:w="1350" w:type="dxa"/>
            <w:vMerge w:val="restart"/>
            <w:vAlign w:val="center"/>
          </w:tcPr>
          <w:p w:rsidR="00325E6B" w:rsidRPr="002D0726" w:rsidRDefault="00CB7C7B"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5464B4" w:rsidTr="00CF394E">
        <w:tc>
          <w:tcPr>
            <w:tcW w:w="2088" w:type="dxa"/>
            <w:vMerge/>
          </w:tcPr>
          <w:p w:rsidR="00325E6B" w:rsidRPr="002D0726" w:rsidRDefault="00CB7C7B" w:rsidP="00325E6B">
            <w:pPr>
              <w:rPr>
                <w:sz w:val="20"/>
              </w:rPr>
            </w:pPr>
          </w:p>
        </w:tc>
        <w:tc>
          <w:tcPr>
            <w:tcW w:w="270" w:type="dxa"/>
            <w:vMerge/>
          </w:tcPr>
          <w:p w:rsidR="00325E6B" w:rsidRPr="002D0726" w:rsidRDefault="00CB7C7B" w:rsidP="00325E6B">
            <w:pPr>
              <w:rPr>
                <w:sz w:val="20"/>
              </w:rPr>
            </w:pPr>
          </w:p>
        </w:tc>
        <w:tc>
          <w:tcPr>
            <w:tcW w:w="4770" w:type="dxa"/>
          </w:tcPr>
          <w:p w:rsidR="00325E6B" w:rsidRPr="002D0726" w:rsidRDefault="00CB7C7B"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CB7C7B" w:rsidP="00325E6B">
            <w:pPr>
              <w:jc w:val="center"/>
              <w:rPr>
                <w:sz w:val="20"/>
              </w:rPr>
            </w:pPr>
          </w:p>
        </w:tc>
        <w:tc>
          <w:tcPr>
            <w:tcW w:w="1350" w:type="dxa"/>
            <w:vMerge/>
            <w:vAlign w:val="center"/>
          </w:tcPr>
          <w:p w:rsidR="00325E6B" w:rsidRPr="002D0726" w:rsidRDefault="00CB7C7B" w:rsidP="00325E6B">
            <w:pPr>
              <w:jc w:val="center"/>
              <w:rPr>
                <w:sz w:val="20"/>
              </w:rPr>
            </w:pPr>
          </w:p>
        </w:tc>
      </w:tr>
    </w:tbl>
    <w:p w:rsidR="00325E6B" w:rsidRDefault="00CB7C7B" w:rsidP="00325E6B"/>
    <w:p w:rsidR="00325E6B" w:rsidRPr="00325E6B" w:rsidRDefault="00CB7C7B" w:rsidP="00325E6B"/>
    <w:bookmarkEnd w:id="213"/>
    <w:p w:rsidR="002B1F4A" w:rsidRPr="007A1B03" w:rsidRDefault="00CB7C7B" w:rsidP="002B1F4A">
      <w:pPr>
        <w:pStyle w:val="Bodypara"/>
      </w:pPr>
      <w:r w:rsidRPr="007A1B03">
        <w:t>Where,</w:t>
      </w:r>
    </w:p>
    <w:p w:rsidR="002B1F4A" w:rsidRDefault="00CB7C7B"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CB7C7B"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CB7C7B"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CB7C7B"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w:t>
      </w:r>
      <w:r w:rsidRPr="007A1B03">
        <w:t xml:space="preserve">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CB7C7B"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w:t>
      </w:r>
      <w:r w:rsidRPr="007A1B03">
        <w:t>set forth in Formula N-24.</w:t>
      </w:r>
    </w:p>
    <w:p w:rsidR="002B1F4A" w:rsidRDefault="00CB7C7B" w:rsidP="002B1F4A">
      <w:pPr>
        <w:pStyle w:val="Heading8"/>
        <w:rPr>
          <w:bCs/>
        </w:rPr>
      </w:pPr>
      <w:bookmarkStart w:id="214" w:name="_Ref115561702"/>
      <w:r w:rsidRPr="00F25E55">
        <w:rPr>
          <w:bCs/>
        </w:rPr>
        <w:t>Formula N-26</w:t>
      </w:r>
    </w:p>
    <w:p w:rsidR="003B02E8" w:rsidRPr="003B02E8" w:rsidRDefault="00CB7C7B"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CB7C7B" w:rsidP="002B1F4A">
      <w:pPr>
        <w:keepNext/>
        <w:spacing w:after="120"/>
      </w:pPr>
      <w:r w:rsidRPr="007A1B03">
        <w:t>Where,</w:t>
      </w:r>
    </w:p>
    <w:p w:rsidR="002B1F4A" w:rsidRPr="007A1B03" w:rsidRDefault="00CB7C7B"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w:t>
      </w:r>
      <w:r w:rsidRPr="007A1B03">
        <w:t>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CB7C7B"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CB7C7B"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CB7C7B"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w:t>
      </w:r>
      <w:r w:rsidRPr="007A1B03">
        <w:t xml:space="preserve">Owner shall for purposes of this Section </w:t>
      </w:r>
      <w:r>
        <w:t>20.</w:t>
      </w:r>
      <w:r w:rsidRPr="007A1B03">
        <w:t>3.6 be deemed responsible for an Auction Status Change to the extent that the Transmission Owner has caused the Auction Status Change by changing the in-service or out-of-service status of its transmission facili</w:t>
      </w:r>
      <w:r w:rsidRPr="007A1B03">
        <w:t xml:space="preserve">ty; </w:t>
      </w:r>
      <w:r w:rsidRPr="007A1B03">
        <w:rPr>
          <w:i/>
          <w:iCs/>
        </w:rPr>
        <w:t>provided, however</w:t>
      </w:r>
      <w:r w:rsidRPr="007A1B03">
        <w:t>, that where an Auction Status Change results from a change to the in-service or out-of-service status of a transmission facility owned by more than one Transmission Owner, responsibility for such Auction Status Change shall be assigne</w:t>
      </w:r>
      <w:r w:rsidRPr="007A1B03">
        <w:t xml:space="preserve">d to each owning Transmission Owner based on the percentage of the transmission facility that is owned by the Transmission Owner (as determined in accordance with Section </w:t>
      </w:r>
      <w:r>
        <w:t>20.</w:t>
      </w:r>
      <w:r w:rsidRPr="007A1B03">
        <w:t>3.6.6.3) during the hour for which the DAM Status Change occurred.  For the sake o</w:t>
      </w:r>
      <w:r w:rsidRPr="007A1B03">
        <w:t xml:space="preserve">f clarity, a Transmission Owner may, by changing the in-service or out-of-service status of its </w:t>
      </w:r>
      <w:r w:rsidRPr="00C56C49">
        <w:t>transmission</w:t>
      </w:r>
      <w:r w:rsidRPr="007A1B03">
        <w:t xml:space="preserve"> facility, cause an Auction Status Change of another transmission facility if the Transmission Owner’s change in the in-service or out-of-service st</w:t>
      </w:r>
      <w:r w:rsidRPr="007A1B03">
        <w:t>atus of its transmission facility causes (directly or as a result of Good Utility Practice) a change in the in-service or out-of-service status of the other transmission facility.</w:t>
      </w:r>
    </w:p>
    <w:p w:rsidR="002B1F4A" w:rsidRPr="007A1B03" w:rsidRDefault="00CB7C7B" w:rsidP="002B1F4A">
      <w:pPr>
        <w:pStyle w:val="Bodypara"/>
      </w:pPr>
      <w:r w:rsidRPr="007A1B03">
        <w:t>The Transmission Owner that owns a transmission facility that qualifies as a</w:t>
      </w:r>
      <w:r w:rsidRPr="007A1B03">
        <w:t xml:space="preserve">n Auction Status Change shall be </w:t>
      </w:r>
      <w:r w:rsidRPr="00C56C49">
        <w:t>deemed</w:t>
      </w:r>
      <w:r w:rsidRPr="007A1B03">
        <w:t xml:space="preserve"> to have caused the Auction Status Change of that transmission facility unless (i) the Transmission Owner that owns the facility informs the ISO that another Transmission Owner caused the Auction Status Change or that</w:t>
      </w:r>
      <w:r w:rsidRPr="007A1B03">
        <w:t xml:space="preserve"> responsibility is to be shared among Transmission Owners in accordance with Sections </w:t>
      </w:r>
      <w:r>
        <w:t>20.</w:t>
      </w:r>
      <w:r w:rsidRPr="007A1B03">
        <w:t xml:space="preserve">3.6.4.2 or </w:t>
      </w:r>
      <w:r>
        <w:t>20.</w:t>
      </w:r>
      <w:r w:rsidRPr="007A1B03">
        <w:t>3.6.4.3, and no party disputes such claim; (ii) in case of a dispute over the assignment of responsibility, the ISO determines a Transmission Owner other</w:t>
      </w:r>
      <w:r w:rsidRPr="007A1B03">
        <w:t xml:space="preserve"> than the owner of the transmission facility caused the</w:t>
      </w:r>
    </w:p>
    <w:p w:rsidR="002B1F4A" w:rsidRPr="007A1B03" w:rsidRDefault="00CB7C7B" w:rsidP="002B1F4A">
      <w:pPr>
        <w:spacing w:line="480" w:lineRule="auto"/>
      </w:pPr>
      <w:r w:rsidRPr="007A1B03">
        <w:t xml:space="preserve">Auction Status Change 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CB7C7B"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Shared Re</w:t>
      </w:r>
      <w:r w:rsidRPr="007A1B03">
        <w:t>sponsibility For Outages, Returns-to-Service, and Ratings Changes Directed by the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CB7C7B" w:rsidP="002B1F4A">
      <w:pPr>
        <w:pStyle w:val="Bodypara"/>
      </w:pPr>
      <w:r w:rsidRPr="007A1B03">
        <w:t>A Transmission Owner shall not be responsible for any Auction Status Change that</w:t>
      </w:r>
      <w:r w:rsidRPr="00CD4577">
        <w:rPr>
          <w:u w:val="double"/>
        </w:rPr>
        <w:t xml:space="preserve"> </w:t>
      </w:r>
      <w:r w:rsidRPr="007A1B03">
        <w:t>qualifies as an ISO-Directed Auc</w:t>
      </w:r>
      <w:r w:rsidRPr="007A1B03">
        <w:t>tion Status Change or Deemed ISO-Directed Auction Status Change.  Instead, the ISO shall allocate any revenue impacts resulting from an Auction Status Change that qualifies as an ISO-Directed Auction Status Change or Deemed ISO-Directed Auction Status Chan</w:t>
      </w:r>
      <w:r w:rsidRPr="007A1B03">
        <w:t xml:space="preserve">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w:t>
      </w:r>
      <w:r w:rsidRPr="007A1B03">
        <w:t xml:space="preserve">, and any Auction Status Change 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w:t>
      </w:r>
      <w:r w:rsidRPr="007A1B03">
        <w:rPr>
          <w:i/>
          <w:iCs/>
        </w:rPr>
        <w:t>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3.6.4.2 shall ultimately be all</w:t>
      </w:r>
      <w:r w:rsidRPr="007A1B03">
        <w:t xml:space="preserve">ocated to the Transmission Owners as Net Auction Revenues pursuant to Section </w:t>
      </w:r>
      <w:r>
        <w:t>20.</w:t>
      </w:r>
      <w:r w:rsidRPr="007A1B03">
        <w:t>3.7.</w:t>
      </w:r>
    </w:p>
    <w:p w:rsidR="002B1F4A" w:rsidRPr="007A1B03" w:rsidRDefault="00CB7C7B" w:rsidP="002B1F4A">
      <w:pPr>
        <w:pStyle w:val="Bodypara"/>
      </w:pPr>
      <w:r w:rsidRPr="007A1B03">
        <w:t>Responsibility for a Qualifying Auction Return-to-Service or Qualifying Auction Uprating that is directed by the ISO but does not qualify as a Deemed ISO-Directed Auction</w:t>
      </w:r>
      <w:r w:rsidRPr="007A1B03">
        <w:t xml:space="preserve"> Status Change shall be assigned to the Transmission Owner that was responsible for the Qualifying Auction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w:t>
      </w:r>
      <w:r w:rsidRPr="007A1B03">
        <w:t>ion Auction.</w:t>
      </w:r>
    </w:p>
    <w:p w:rsidR="002B1F4A" w:rsidRPr="007A1B03" w:rsidRDefault="00CB7C7B" w:rsidP="002B1F4A">
      <w:pPr>
        <w:pStyle w:val="Bodypara"/>
      </w:pPr>
      <w:r w:rsidRPr="007A1B03">
        <w:t>The ISO shall not direct that a transmission facility be modeled as in-service or out-of-service for purposes of a Reconfiguration Auction without the unanimous consent of the Transmission Owner(s), if any, that will be allocated a resulting O</w:t>
      </w:r>
      <w:r w:rsidRPr="007A1B03">
        <w:t>/R-t-S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RDefault="00CB7C7B"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CB7C7B"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To do so, the ISO shall be treated as a Tran</w:t>
      </w:r>
      <w:r w:rsidRPr="007A1B03">
        <w:t xml:space="preserve">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w:t>
      </w:r>
      <w:r w:rsidRPr="007A1B03">
        <w:t xml:space="preserve">nue Shortfall Charge, U/D Auction Revenue Shortfall Charge, O/R-t-S Auction Revenue Surplus Payment, or U/D Auction Revenue Surplus Payment allocable to the ISO pursuant to this Section </w:t>
      </w:r>
      <w:r>
        <w:t>20.</w:t>
      </w:r>
      <w:r w:rsidRPr="007A1B03">
        <w:t>3.6.4.3 shall ultimately be allocated to the Transmission Owners as</w:t>
      </w:r>
      <w:r w:rsidRPr="007A1B03">
        <w:t xml:space="preserve"> Net Auction Revenues pursuant to Section </w:t>
      </w:r>
      <w:r>
        <w:t>20.</w:t>
      </w:r>
      <w:r w:rsidRPr="007A1B03">
        <w:t>3.7.</w:t>
      </w:r>
    </w:p>
    <w:p w:rsidR="002B1F4A" w:rsidRPr="007A1B03" w:rsidRDefault="00CB7C7B"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CB7C7B"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w:t>
      </w:r>
      <w:r w:rsidRPr="007A1B03">
        <w:t>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CB7C7B"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for Tra</w:t>
      </w:r>
      <w:r w:rsidRPr="007A1B03">
        <w:t xml:space="preserve">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w:t>
      </w:r>
      <w:r w:rsidRPr="007A1B03">
        <w:t xml:space="preserve">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w:t>
      </w:r>
      <w:r w:rsidRPr="007A1B03">
        <w:t>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w:t>
      </w:r>
      <w:r w:rsidRPr="007A1B03">
        <w:t xml:space="preserve">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w:t>
      </w:r>
      <w:r w:rsidRPr="007A1B03">
        <w:t xml:space="preserve"> Status Change described in Section </w:t>
      </w:r>
      <w:r>
        <w:t>20.</w:t>
      </w:r>
      <w:r w:rsidRPr="007A1B03">
        <w:t xml:space="preserve">3.6.4.2 or external events described in Section </w:t>
      </w:r>
      <w:r>
        <w:t>20.</w:t>
      </w:r>
      <w:r w:rsidRPr="007A1B03">
        <w:t>3.6.4.3.</w:t>
      </w:r>
    </w:p>
    <w:p w:rsidR="002B1F4A" w:rsidRDefault="00CB7C7B" w:rsidP="002B1F4A">
      <w:pPr>
        <w:pStyle w:val="Heading8"/>
        <w:rPr>
          <w:bCs/>
        </w:rPr>
      </w:pPr>
      <w:bookmarkStart w:id="344" w:name="_Ref115556745"/>
      <w:r w:rsidRPr="00F25E55">
        <w:rPr>
          <w:bCs/>
        </w:rPr>
        <w:t>Formula N-27</w:t>
      </w:r>
    </w:p>
    <w:p w:rsidR="00664F4E" w:rsidRPr="009327B0" w:rsidRDefault="00CB7C7B"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3E4A46" w:rsidRDefault="00CB7C7B" w:rsidP="002B1F4A">
      <w:pPr>
        <w:keepNext/>
        <w:spacing w:after="120"/>
      </w:pPr>
    </w:p>
    <w:p w:rsidR="002B1F4A" w:rsidRPr="007A1B03" w:rsidRDefault="00CB7C7B" w:rsidP="002B1F4A">
      <w:pPr>
        <w:keepNext/>
        <w:spacing w:after="120"/>
      </w:pPr>
      <w:r w:rsidRPr="007A1B03">
        <w:t>Where,</w:t>
      </w:r>
    </w:p>
    <w:p w:rsidR="002B1F4A" w:rsidRPr="000A2402" w:rsidRDefault="00CB7C7B"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p>
    <w:p w:rsidR="002B1F4A" w:rsidRPr="000A2402" w:rsidRDefault="00CB7C7B"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w:t>
      </w:r>
      <w:r w:rsidRPr="000A2402">
        <w:t xml:space="preserve">n </w:t>
      </w:r>
      <w:r w:rsidRPr="000A2402">
        <w:rPr>
          <w:i/>
          <w:iCs/>
        </w:rPr>
        <w:t>n,</w:t>
      </w:r>
      <w:r w:rsidRPr="000A2402">
        <w:t xml:space="preserve"> calculated pursuant to Section 20.3.6.2</w:t>
      </w:r>
    </w:p>
    <w:p w:rsidR="002B1F4A" w:rsidRPr="000A2402" w:rsidRDefault="00CB7C7B"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w:t>
      </w:r>
      <w:r w:rsidRPr="000A2402">
        <w:t>ion 20.3.6.3</w:t>
      </w:r>
    </w:p>
    <w:p w:rsidR="002B1F4A" w:rsidRPr="000A2402" w:rsidRDefault="00CB7C7B"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CB7C7B" w:rsidP="002B1F4A">
      <w:pPr>
        <w:tabs>
          <w:tab w:val="left" w:pos="1680"/>
        </w:tabs>
        <w:snapToGrid w:val="0"/>
        <w:spacing w:after="240"/>
        <w:ind w:left="1915" w:hanging="1915"/>
      </w:pPr>
      <w:r w:rsidRPr="000A2402">
        <w:t>U/D ARSP</w:t>
      </w:r>
      <w:r w:rsidRPr="000A2402">
        <w:rPr>
          <w:vertAlign w:val="subscript"/>
        </w:rPr>
        <w:t>a,t,</w:t>
      </w:r>
      <w:r w:rsidRPr="000A2402">
        <w:rPr>
          <w:vertAlign w:val="subscript"/>
        </w:rPr>
        <w: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CB7C7B"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 xml:space="preserve">Zeroing Out of Charges and </w:t>
      </w:r>
      <w:r w:rsidRPr="007A1B03">
        <w:t>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CB7C7B" w:rsidP="002B1F4A">
      <w:pPr>
        <w:pStyle w:val="Bodypara"/>
      </w:pPr>
      <w:r w:rsidRPr="007A1B03">
        <w:t>Notwithstanding any other provision of this Attachment N, the ISO shall set equal to zero any O/R-t-S Auction Revenue Shortfall Charge, U/D Auction Revenue Shortfall Charge, O/R-t-S Auction Revenue Surplus Payment, o</w:t>
      </w:r>
      <w:r w:rsidRPr="007A1B03">
        <w:t>r U/D Auction Revenue Surplus Payment allocated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CB7C7B" w:rsidP="002B1F4A">
      <w:pPr>
        <w:pStyle w:val="romannumeralpara"/>
      </w:pPr>
      <w:r w:rsidRPr="007A1B03">
        <w:t>(i)</w:t>
      </w:r>
      <w:r w:rsidRPr="007A1B03">
        <w:tab/>
        <w:t>data necessary to compute such a charge or payment, as specified in the formulas set forth in Sect</w:t>
      </w:r>
      <w:r w:rsidRPr="007A1B03">
        <w:t xml:space="preserve">ion </w:t>
      </w:r>
      <w:r>
        <w:t>20.</w:t>
      </w:r>
      <w:r w:rsidRPr="007A1B03">
        <w:t>3.6, is not known by the ISO and cannot be computed by the ISO (in interpreting this clause, equipment failure shall not preclude computation by the ISO unless necessary data is irretrievably lost); or</w:t>
      </w:r>
    </w:p>
    <w:p w:rsidR="002B1F4A" w:rsidRPr="007A1B03" w:rsidRDefault="00CB7C7B" w:rsidP="002B1F4A">
      <w:pPr>
        <w:pStyle w:val="romannumeralpara"/>
      </w:pPr>
      <w:r w:rsidRPr="007A1B03">
        <w:t>(ii)</w:t>
      </w:r>
      <w:r w:rsidRPr="007A1B03">
        <w:tab/>
        <w:t xml:space="preserve">both (a) the charge or payment is clearly </w:t>
      </w:r>
      <w:r w:rsidRPr="007A1B03">
        <w:t>and materially inconsistent with cost causation principles; and (b) this inconsistency is the result of factors not taken into account in the formulas used to calculate the charge or payment;</w:t>
      </w:r>
    </w:p>
    <w:p w:rsidR="002B1F4A" w:rsidRPr="007A1B03" w:rsidRDefault="00CB7C7B" w:rsidP="002B1F4A">
      <w:pPr>
        <w:pStyle w:val="Bodypara"/>
        <w:ind w:firstLine="0"/>
      </w:pPr>
      <w:r w:rsidRPr="007A1B03">
        <w:rPr>
          <w:i/>
          <w:iCs/>
        </w:rPr>
        <w:t>provided, however</w:t>
      </w:r>
      <w:r w:rsidRPr="007A1B03">
        <w:t>, if the amount of charges or payments set equa</w:t>
      </w:r>
      <w:r w:rsidRPr="007A1B03">
        <w:t>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w:t>
      </w:r>
      <w:r w:rsidRPr="007A1B03">
        <w:t>ers of the identified problem and will work with the Transmission Owners to determine if an alternative allocation method is needed and whether it will apply to all months for which the intended formula does not work.  Alternate methods would be subject to</w:t>
      </w:r>
      <w:r w:rsidRPr="007A1B03">
        <w:t xml:space="preserve"> market participant review and subsequent filing with FERC, as appropriate.</w:t>
      </w:r>
    </w:p>
    <w:p w:rsidR="002B1F4A" w:rsidRPr="007A1B03" w:rsidRDefault="00CB7C7B"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w:t>
      </w:r>
      <w:r w:rsidRPr="007A1B03">
        <w:t xml:space="preserve"> O/R-t-S Auction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w:t>
      </w:r>
      <w:r w:rsidRPr="007A1B03">
        <w:t xml:space="preserve">r U/D Auction Revenue Surplus Payment is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CB7C7B"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CB7C7B"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w:t>
      </w:r>
      <w:r w:rsidRPr="007A1B03">
        <w:t>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CB7C7B"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w:t>
      </w:r>
      <w:r w:rsidRPr="007A1B03">
        <w:t>nformation available to the ISO) of all transmission facility outages and returns-to-service on interface transfer limits for the period for which TCCs are to be sold in the Reconfiguration Auction.</w:t>
      </w:r>
    </w:p>
    <w:p w:rsidR="002B1F4A" w:rsidRPr="007A1B03" w:rsidRDefault="00CB7C7B" w:rsidP="002B1F4A">
      <w:pPr>
        <w:pStyle w:val="Bodypara"/>
      </w:pPr>
      <w:r w:rsidRPr="007A1B03">
        <w:t>Prior to each Centralized TCC Auction, the ISO shall post</w:t>
      </w:r>
      <w:r w:rsidRPr="007A1B03">
        <w:t xml:space="preserve"> on its website the Centralized TCC Auction Interface Uprate/Derate Table, which table shall specify the expected impact (at the time of the Centralized TCC Auction based on all information available to the ISO) of all transmission facility outages and ret</w:t>
      </w:r>
      <w:r w:rsidRPr="007A1B03">
        <w:t xml:space="preserve">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CB7C7B"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CB7C7B" w:rsidP="002B1F4A">
      <w:pPr>
        <w:pStyle w:val="Bodypara"/>
        <w:rPr>
          <w:rFonts w:eastAsia="Arial Unicode MS"/>
        </w:rPr>
      </w:pPr>
      <w:r w:rsidRPr="007A1B03">
        <w:t>The ISO shall maintain on its website a list of No</w:t>
      </w:r>
      <w:r w:rsidRPr="007A1B03">
        <w:t>rmally Out-of-Service Equipment and update such list prior to each Reconfiguration Auction and each Centralized TCC Auction.</w:t>
      </w:r>
    </w:p>
    <w:p w:rsidR="002B1F4A" w:rsidRPr="007A1B03" w:rsidRDefault="00CB7C7B"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CB7C7B"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change i</w:t>
      </w:r>
      <w:r w:rsidRPr="007A1B03">
        <w:t>n the ownership of a transmission facility.  The ISO shall allocate responsibility for Auction Status Changes based on the transmission facility ownership information available to it at the time of initial settlement.</w:t>
      </w:r>
    </w:p>
    <w:p w:rsidR="002B1F4A" w:rsidRPr="007A1B03" w:rsidRDefault="00CB7C7B"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w:t>
      </w:r>
      <w:r w:rsidRPr="007A1B03">
        <w:t>ue to Transmission Owners</w:t>
      </w:r>
      <w:bookmarkEnd w:id="482"/>
    </w:p>
    <w:p w:rsidR="002B1F4A" w:rsidRPr="007A1B03" w:rsidRDefault="00CB7C7B" w:rsidP="002B1F4A">
      <w:pPr>
        <w:pStyle w:val="Bodypara"/>
      </w:pPr>
      <w:r w:rsidRPr="007A1B03">
        <w:t xml:space="preserve">In Centralized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w:t>
      </w:r>
      <w:r w:rsidRPr="007A1B03">
        <w:t xml:space="preserve">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negative Net Auction Revenue for the Reconfiguration Auct</w:t>
      </w:r>
      <w:r w:rsidRPr="007A1B03">
        <w:t>ion.</w:t>
      </w:r>
    </w:p>
    <w:p w:rsidR="002B1F4A" w:rsidRPr="007A1B03" w:rsidRDefault="00CB7C7B"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 xml:space="preserve">Reconfiguration Auction </w:t>
      </w:r>
      <w:r w:rsidRPr="007A1B03">
        <w:rPr>
          <w:i/>
        </w:rPr>
        <w:t>n</w:t>
      </w:r>
      <w:r w:rsidRPr="007A1B03">
        <w:t xml:space="preserve"> is calculated pursuant to Formula N-28.</w:t>
      </w:r>
    </w:p>
    <w:p w:rsidR="002B1F4A" w:rsidRDefault="00CB7C7B" w:rsidP="002B1F4A">
      <w:pPr>
        <w:pStyle w:val="Heading8"/>
        <w:rPr>
          <w:rFonts w:eastAsia="Arial Unicode MS"/>
        </w:rPr>
      </w:pPr>
      <w:r w:rsidRPr="00F25E55">
        <w:rPr>
          <w:rFonts w:eastAsia="Arial Unicode MS"/>
        </w:rPr>
        <w:t>Formula N-2</w:t>
      </w:r>
      <w:r w:rsidRPr="00DA2560">
        <w:rPr>
          <w:rFonts w:eastAsia="Arial Unicode M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5464B4" w:rsidTr="006E10F2">
        <w:trPr>
          <w:jc w:val="center"/>
        </w:trPr>
        <w:tc>
          <w:tcPr>
            <w:tcW w:w="1008" w:type="dxa"/>
            <w:vMerge w:val="restart"/>
            <w:vAlign w:val="center"/>
          </w:tcPr>
          <w:p w:rsidR="0056159D" w:rsidRDefault="00CB7C7B"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CB7C7B"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5464B4" w:rsidTr="006E10F2">
        <w:trPr>
          <w:jc w:val="center"/>
        </w:trPr>
        <w:tc>
          <w:tcPr>
            <w:tcW w:w="1008" w:type="dxa"/>
            <w:vMerge/>
          </w:tcPr>
          <w:p w:rsidR="0056159D" w:rsidRDefault="00CB7C7B" w:rsidP="0056159D">
            <w:pPr>
              <w:rPr>
                <w:rFonts w:eastAsia="Arial Unicode MS"/>
              </w:rPr>
            </w:pPr>
          </w:p>
        </w:tc>
        <w:tc>
          <w:tcPr>
            <w:tcW w:w="5886" w:type="dxa"/>
          </w:tcPr>
          <w:p w:rsidR="0056159D" w:rsidRDefault="00CB7C7B"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CB7C7B" w:rsidP="0056159D">
      <w:pPr>
        <w:rPr>
          <w:rFonts w:eastAsia="Arial Unicode MS"/>
        </w:rPr>
      </w:pPr>
    </w:p>
    <w:p w:rsidR="006E10F2" w:rsidRDefault="00CB7C7B">
      <w:pPr>
        <w:widowControl/>
      </w:pPr>
      <w:r>
        <w:br w:type="page"/>
      </w:r>
    </w:p>
    <w:p w:rsidR="002B1F4A" w:rsidRPr="00981957" w:rsidRDefault="00CB7C7B" w:rsidP="002B1F4A">
      <w:pPr>
        <w:pStyle w:val="Bodypara"/>
      </w:pPr>
      <w:r w:rsidRPr="00981957">
        <w:t>Where,</w:t>
      </w:r>
    </w:p>
    <w:p w:rsidR="002B1F4A" w:rsidRDefault="00CB7C7B" w:rsidP="002B1F4A">
      <w:pPr>
        <w:tabs>
          <w:tab w:val="left" w:pos="1560"/>
        </w:tabs>
        <w:spacing w:after="240"/>
        <w:ind w:left="1570" w:hanging="965"/>
      </w:pPr>
      <w:r w:rsidRPr="007A1B03">
        <w:t>FFB</w:t>
      </w:r>
      <w:r w:rsidRPr="007A1B03">
        <w:rPr>
          <w:vertAlign w:val="subscript"/>
        </w:rPr>
        <w:t xml:space="preserve">t,n </w:t>
      </w:r>
      <w:r w:rsidRPr="007A1B03">
        <w:t>=</w:t>
      </w:r>
      <w:r w:rsidRPr="007A1B03">
        <w:tab/>
      </w:r>
      <w:r w:rsidRPr="007A1B03">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CB7C7B">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modeled in the Transmission System model for round </w:t>
      </w:r>
      <w:r w:rsidRPr="007A1B03">
        <w:rPr>
          <w:i/>
        </w:rPr>
        <w:t xml:space="preserve">n </w:t>
      </w:r>
      <w:r w:rsidRPr="007A1B03">
        <w:t>or</w:t>
      </w:r>
      <w:r w:rsidRPr="007A1B03">
        <w:t xml:space="preserve"> for Reconfiguration Auction </w:t>
      </w:r>
      <w:r w:rsidRPr="007A1B03">
        <w:rPr>
          <w:i/>
        </w:rPr>
        <w:t>n</w:t>
      </w:r>
      <w:r w:rsidRPr="007A1B03">
        <w:rPr>
          <w:iCs/>
        </w:rPr>
        <w:t>, as the case may be</w:t>
      </w:r>
    </w:p>
    <w:p w:rsidR="002B1F4A" w:rsidRPr="007A1B03" w:rsidRDefault="00CB7C7B">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CB7C7B">
      <w:pPr>
        <w:tabs>
          <w:tab w:val="left" w:pos="1560"/>
        </w:tabs>
        <w:spacing w:after="120"/>
        <w:ind w:left="1560" w:hanging="960"/>
      </w:pPr>
      <w:r w:rsidRPr="007A1B03">
        <w:t>l =</w:t>
      </w:r>
      <w:r w:rsidRPr="007A1B03">
        <w:tab/>
      </w:r>
      <w:r w:rsidRPr="007A1B03">
        <w:t xml:space="preserve">A transmission facility from bus </w:t>
      </w:r>
      <w:r w:rsidRPr="007A1B03">
        <w:rPr>
          <w:i/>
        </w:rPr>
        <w:t>x</w:t>
      </w:r>
      <w:r w:rsidRPr="007A1B03">
        <w:t xml:space="preserve"> to bus </w:t>
      </w:r>
      <w:r w:rsidRPr="007A1B03">
        <w:rPr>
          <w:i/>
        </w:rPr>
        <w:t>y</w:t>
      </w:r>
    </w:p>
    <w:p w:rsidR="002B1F4A" w:rsidRDefault="00CB7C7B">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 t</w:t>
      </w:r>
      <w:r>
        <w:rPr>
          <w:iCs/>
        </w:rPr>
        <w:t>hose pre-existing TCCs and Grandfathered Rights represented as fixed injections and withdrawals in that auction).</w:t>
      </w:r>
    </w:p>
    <w:p w:rsidR="002B1F4A" w:rsidRDefault="00CB7C7B">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w:t>
      </w:r>
      <w:r>
        <w:t xml:space="preserve">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sold </w:t>
      </w:r>
      <w:r>
        <w:t>in prior Centralized TCC Auctions or through a Direct Sale</w:t>
      </w:r>
    </w:p>
    <w:p w:rsidR="002B1F4A" w:rsidRDefault="00CB7C7B">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CB7C7B">
      <w:pPr>
        <w:tabs>
          <w:tab w:val="left" w:pos="1560"/>
        </w:tabs>
        <w:spacing w:after="120"/>
        <w:ind w:left="1560" w:hanging="960"/>
        <w:rPr>
          <w:iCs/>
        </w:rPr>
      </w:pPr>
      <w:r>
        <w:t>Price</w:t>
      </w:r>
      <w:r>
        <w:rPr>
          <w:vertAlign w:val="subscript"/>
        </w:rPr>
        <w:t xml:space="preserve">x,l </w:t>
      </w:r>
      <w:r>
        <w:t>=</w:t>
      </w:r>
      <w:r>
        <w:tab/>
        <w:t>The market clearin</w:t>
      </w:r>
      <w:r>
        <w:t xml:space="preserve">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CB7C7B">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2B1F4A" w:rsidRPr="007A1B03" w:rsidRDefault="00CB7C7B">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CB7C7B" w:rsidP="002B1F4A">
      <w:pPr>
        <w:pStyle w:val="Bodypara"/>
      </w:pPr>
      <w:r w:rsidRPr="007A1B03">
        <w:rPr>
          <w:i/>
          <w:iCs/>
        </w:rPr>
        <w:t>Calculation of Negative Net Auction Revenue Coefficient.</w:t>
      </w:r>
      <w:r w:rsidRPr="007A1B03">
        <w:t xml:space="preserve"> </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2B1F4A" w:rsidRDefault="00CB7C7B" w:rsidP="002B1F4A">
      <w:pPr>
        <w:pStyle w:val="Heading8"/>
        <w:rPr>
          <w:b w:val="0"/>
        </w:rPr>
      </w:pPr>
      <w:r w:rsidRPr="007A1B03">
        <w:t>Formula N-29</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688"/>
        <w:gridCol w:w="6774"/>
      </w:tblGrid>
      <w:tr w:rsidR="005464B4" w:rsidTr="003D2F75">
        <w:trPr>
          <w:trHeight w:val="276"/>
          <w:jc w:val="center"/>
        </w:trPr>
        <w:tc>
          <w:tcPr>
            <w:tcW w:w="1688" w:type="dxa"/>
            <w:vMerge w:val="restart"/>
            <w:vAlign w:val="center"/>
          </w:tcPr>
          <w:p w:rsidR="006E10F2" w:rsidRPr="003D2F75" w:rsidRDefault="00CB7C7B" w:rsidP="006E10F2">
            <w:pPr>
              <w:jc w:val="center"/>
              <w:rPr>
                <w:sz w:val="20"/>
              </w:rPr>
            </w:pPr>
            <m:oMathPara>
              <m:oMath>
                <m:sSub>
                  <m:sSubPr>
                    <m:ctrlPr>
                      <w:rPr>
                        <w:rFonts w:ascii="Cambria Math" w:hAnsi="Cambria Math"/>
                        <w:i/>
                        <w:sz w:val="20"/>
                      </w:rPr>
                    </m:ctrlPr>
                  </m:sSubPr>
                  <m:e>
                    <m:r>
                      <w:rPr>
                        <w:rFonts w:ascii="Cambria Math" w:hAnsi="Cambria Math"/>
                        <w:sz w:val="20"/>
                      </w:rPr>
                      <m:t>NNAR</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6774" w:type="dxa"/>
          </w:tcPr>
          <w:p w:rsidR="006E10F2" w:rsidRPr="003D2F75" w:rsidRDefault="00CB7C7B" w:rsidP="006E10F2">
            <w:pPr>
              <w:rPr>
                <w:sz w:val="20"/>
              </w:rPr>
            </w:pPr>
            <m:oMathPara>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m:t>
                        </m:r>
                        <m:r>
                          <w:rPr>
                            <w:rFonts w:ascii="Cambria Math" w:hAnsi="Cambria Math"/>
                            <w:sz w:val="20"/>
                          </w:rPr>
                          <m:t xml:space="preserve"> </m:t>
                        </m:r>
                        <m:r>
                          <w:rPr>
                            <w:rFonts w:ascii="Cambria Math" w:hAnsi="Cambria Math"/>
                            <w:sz w:val="20"/>
                          </w:rPr>
                          <m:t>Residual</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m:t>
                        </m:r>
                        <m:r>
                          <w:rPr>
                            <w:rFonts w:ascii="Cambria Math" w:hAnsi="Cambria Math"/>
                            <w:sz w:val="20"/>
                          </w:rPr>
                          <m:t>&amp;</m:t>
                        </m:r>
                        <m:r>
                          <w:rPr>
                            <w:rFonts w:ascii="Cambria Math" w:hAnsi="Cambria Math"/>
                            <w:sz w:val="20"/>
                          </w:rPr>
                          <m:t>GFT</m:t>
                        </m:r>
                        <m:r>
                          <w:rPr>
                            <w:rFonts w:ascii="Cambria Math" w:hAnsi="Cambria Math"/>
                            <w:sz w:val="20"/>
                          </w:rPr>
                          <m:t>C</m:t>
                        </m:r>
                        <m:r>
                          <w:rPr>
                            <w:rFonts w:ascii="Cambria Math" w:hAnsi="Cambria Math"/>
                            <w:sz w:val="20"/>
                          </w:rPr>
                          <m:t>C</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e>
                </m:d>
              </m:oMath>
            </m:oMathPara>
          </w:p>
        </w:tc>
      </w:tr>
      <w:tr w:rsidR="005464B4" w:rsidTr="003D2F75">
        <w:trPr>
          <w:trHeight w:val="144"/>
          <w:jc w:val="center"/>
        </w:trPr>
        <w:tc>
          <w:tcPr>
            <w:tcW w:w="1688" w:type="dxa"/>
            <w:vMerge/>
          </w:tcPr>
          <w:p w:rsidR="006E10F2" w:rsidRPr="003D2F75" w:rsidRDefault="00CB7C7B" w:rsidP="006E10F2">
            <w:pPr>
              <w:rPr>
                <w:sz w:val="20"/>
              </w:rPr>
            </w:pPr>
          </w:p>
        </w:tc>
        <w:tc>
          <w:tcPr>
            <w:tcW w:w="6774" w:type="dxa"/>
          </w:tcPr>
          <w:p w:rsidR="006E10F2" w:rsidRPr="003D2F75" w:rsidRDefault="00CB7C7B" w:rsidP="006E10F2">
            <w:pPr>
              <w:rPr>
                <w:sz w:val="20"/>
              </w:rPr>
            </w:pPr>
            <m:oMathPara>
              <m:oMath>
                <m:nary>
                  <m:naryPr>
                    <m:chr m:val="∑"/>
                    <m:limLoc m:val="undOvr"/>
                    <m:supHide m:val="1"/>
                    <m:ctrlPr>
                      <w:rPr>
                        <w:rFonts w:ascii="Cambria Math" w:hAnsi="Cambria Math"/>
                        <w:i/>
                        <w:sz w:val="20"/>
                      </w:rPr>
                    </m:ctrlPr>
                  </m:naryPr>
                  <m:sub>
                    <m:r>
                      <w:rPr>
                        <w:rFonts w:ascii="Cambria Math" w:hAnsi="Cambria Math"/>
                        <w:sz w:val="20"/>
                      </w:rPr>
                      <m:t>q</m:t>
                    </m:r>
                    <m:r>
                      <w:rPr>
                        <w:rFonts w:ascii="Cambria Math" w:hAnsi="Cambria Math"/>
                        <w:sz w:val="20"/>
                      </w:rPr>
                      <m:t>∈</m:t>
                    </m:r>
                    <m:r>
                      <w:rPr>
                        <w:rFonts w:ascii="Cambria Math" w:hAnsi="Cambria Math"/>
                        <w:sz w:val="20"/>
                      </w:rPr>
                      <m:t>T</m:t>
                    </m: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m:t>
                            </m:r>
                            <m:r>
                              <w:rPr>
                                <w:rFonts w:ascii="Cambria Math" w:hAnsi="Cambria Math"/>
                                <w:sz w:val="20"/>
                              </w:rPr>
                              <m:t xml:space="preserve"> </m:t>
                            </m:r>
                            <m:r>
                              <w:rPr>
                                <w:rFonts w:ascii="Cambria Math" w:hAnsi="Cambria Math"/>
                                <w:sz w:val="20"/>
                              </w:rPr>
                              <m:t>Residual</m:t>
                            </m:r>
                          </m:e>
                          <m:sub>
                            <m:r>
                              <w:rPr>
                                <w:rFonts w:ascii="Cambria Math" w:hAnsi="Cambria Math"/>
                                <w:sz w:val="20"/>
                              </w:rPr>
                              <m:t>q</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q</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q</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m:t>
                            </m:r>
                            <m:r>
                              <w:rPr>
                                <w:rFonts w:ascii="Cambria Math" w:hAnsi="Cambria Math"/>
                                <w:sz w:val="20"/>
                              </w:rPr>
                              <m:t>&amp;</m:t>
                            </m:r>
                            <m:r>
                              <w:rPr>
                                <w:rFonts w:ascii="Cambria Math" w:hAnsi="Cambria Math"/>
                                <w:sz w:val="20"/>
                              </w:rPr>
                              <m:t>GFTCC</m:t>
                            </m:r>
                          </m:e>
                          <m:sub>
                            <m:r>
                              <w:rPr>
                                <w:rFonts w:ascii="Cambria Math" w:hAnsi="Cambria Math"/>
                                <w:sz w:val="20"/>
                              </w:rPr>
                              <m:t>q</m:t>
                            </m:r>
                            <m:r>
                              <w:rPr>
                                <w:rFonts w:ascii="Cambria Math" w:hAnsi="Cambria Math"/>
                                <w:sz w:val="20"/>
                              </w:rPr>
                              <m:t xml:space="preserve">, </m:t>
                            </m:r>
                            <m:r>
                              <w:rPr>
                                <w:rFonts w:ascii="Cambria Math" w:hAnsi="Cambria Math"/>
                                <w:sz w:val="20"/>
                              </w:rPr>
                              <m:t>n</m:t>
                            </m:r>
                          </m:sub>
                        </m:sSub>
                      </m:e>
                    </m:d>
                  </m:e>
                </m:nary>
              </m:oMath>
            </m:oMathPara>
          </w:p>
        </w:tc>
      </w:tr>
    </w:tbl>
    <w:p w:rsidR="006E10F2" w:rsidRDefault="00CB7C7B" w:rsidP="006E10F2"/>
    <w:p w:rsidR="002B1F4A" w:rsidRPr="007A1B03" w:rsidRDefault="00CB7C7B" w:rsidP="002B1F4A">
      <w:pPr>
        <w:pStyle w:val="Bodypara"/>
      </w:pPr>
      <w:r w:rsidRPr="007A1B03">
        <w:t>Where,</w:t>
      </w:r>
    </w:p>
    <w:tbl>
      <w:tblPr>
        <w:tblW w:w="9720" w:type="dxa"/>
        <w:tblInd w:w="-12" w:type="dxa"/>
        <w:tblLayout w:type="fixed"/>
        <w:tblLook w:val="0000" w:firstRow="0" w:lastRow="0" w:firstColumn="0" w:lastColumn="0" w:noHBand="0" w:noVBand="0"/>
      </w:tblPr>
      <w:tblGrid>
        <w:gridCol w:w="1320"/>
        <w:gridCol w:w="240"/>
        <w:gridCol w:w="8160"/>
      </w:tblGrid>
      <w:tr w:rsidR="005464B4" w:rsidTr="002B1F4A">
        <w:tc>
          <w:tcPr>
            <w:tcW w:w="1320" w:type="dxa"/>
          </w:tcPr>
          <w:p w:rsidR="002B1F4A" w:rsidRPr="00C56C49" w:rsidRDefault="00CB7C7B"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40" w:type="dxa"/>
          </w:tcPr>
          <w:p w:rsidR="002B1F4A" w:rsidRPr="00C56C49" w:rsidRDefault="00CB7C7B" w:rsidP="002B1F4A">
            <w:pPr>
              <w:keepNext/>
              <w:spacing w:after="120"/>
              <w:ind w:left="-108"/>
              <w:rPr>
                <w:rFonts w:eastAsia="Arial Unicode MS"/>
              </w:rPr>
            </w:pPr>
            <w:bookmarkStart w:id="484" w:name="_DV_C49"/>
            <w:r w:rsidRPr="00C56C49">
              <w:rPr>
                <w:rFonts w:eastAsia="Arial Unicode MS"/>
                <w:bCs/>
              </w:rPr>
              <w:t>=</w:t>
            </w:r>
            <w:bookmarkEnd w:id="484"/>
          </w:p>
        </w:tc>
        <w:tc>
          <w:tcPr>
            <w:tcW w:w="8160" w:type="dxa"/>
          </w:tcPr>
          <w:p w:rsidR="002B1F4A" w:rsidRPr="00C56C49" w:rsidRDefault="00CB7C7B"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5"/>
          </w:p>
        </w:tc>
      </w:tr>
      <w:tr w:rsidR="005464B4" w:rsidTr="002B1F4A">
        <w:tc>
          <w:tcPr>
            <w:tcW w:w="1320" w:type="dxa"/>
          </w:tcPr>
          <w:p w:rsidR="002B1F4A" w:rsidRPr="00C56C49" w:rsidRDefault="00CB7C7B"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40" w:type="dxa"/>
          </w:tcPr>
          <w:p w:rsidR="002B1F4A" w:rsidRPr="00C56C49" w:rsidRDefault="00CB7C7B" w:rsidP="002B1F4A">
            <w:pPr>
              <w:keepNext/>
              <w:spacing w:after="120"/>
              <w:ind w:left="-108"/>
              <w:rPr>
                <w:rFonts w:eastAsia="Arial Unicode MS"/>
              </w:rPr>
            </w:pPr>
            <w:bookmarkStart w:id="487" w:name="_DV_C52"/>
            <w:r w:rsidRPr="00C56C49">
              <w:rPr>
                <w:rFonts w:eastAsia="Arial Unicode MS"/>
                <w:bCs/>
              </w:rPr>
              <w:t>=</w:t>
            </w:r>
            <w:bookmarkEnd w:id="487"/>
          </w:p>
        </w:tc>
        <w:tc>
          <w:tcPr>
            <w:tcW w:w="8160" w:type="dxa"/>
          </w:tcPr>
          <w:p w:rsidR="002B1F4A" w:rsidRPr="000A2402" w:rsidRDefault="00CB7C7B" w:rsidP="002B1F4A">
            <w:pPr>
              <w:spacing w:after="120"/>
              <w:ind w:left="-78"/>
              <w:rPr>
                <w:rFonts w:eastAsia="Arial Unicode MS"/>
              </w:rPr>
            </w:pPr>
            <w:bookmarkStart w:id="488"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w:t>
            </w:r>
            <w:r w:rsidRPr="000A2402">
              <w:rPr>
                <w:rFonts w:eastAsia="Arial Unicode MS"/>
                <w:bCs/>
              </w:rPr>
              <w:t xml:space="preserve">ue imputed to the Direct Sale of these Original Residual TCCs shall be one-sixth of the average market 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 held for TCCs valid during the month corresponding to Reconfi</w:t>
            </w:r>
            <w:r w:rsidRPr="000A2402">
              <w:rPr>
                <w:rFonts w:eastAsia="Arial Unicode MS"/>
                <w:bCs/>
              </w:rPr>
              <w:t xml:space="preserve">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w:t>
            </w:r>
            <w:r w:rsidRPr="000A2402">
              <w:rPr>
                <w:rFonts w:eastAsia="Arial Unicode MS"/>
                <w:bCs/>
              </w:rPr>
              <w:t xml:space="preserve">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w:t>
            </w:r>
            <w:r w:rsidRPr="000A2402">
              <w:rPr>
                <w:rFonts w:eastAsia="Arial Unicode MS"/>
                <w:bCs/>
              </w:rPr>
              <w:t xml:space="preserve">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5464B4" w:rsidTr="002B1F4A">
        <w:tc>
          <w:tcPr>
            <w:tcW w:w="1320" w:type="dxa"/>
          </w:tcPr>
          <w:p w:rsidR="002B1F4A" w:rsidRPr="00C56C49" w:rsidRDefault="00CB7C7B"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40" w:type="dxa"/>
          </w:tcPr>
          <w:p w:rsidR="002B1F4A" w:rsidRPr="00C56C49" w:rsidRDefault="00CB7C7B" w:rsidP="002B1F4A">
            <w:pPr>
              <w:keepNext/>
              <w:spacing w:after="120"/>
              <w:ind w:left="-108"/>
              <w:rPr>
                <w:rFonts w:eastAsia="Arial Unicode MS"/>
              </w:rPr>
            </w:pPr>
            <w:bookmarkStart w:id="490" w:name="_DV_C55"/>
            <w:r w:rsidRPr="00C56C49">
              <w:rPr>
                <w:rFonts w:eastAsia="Arial Unicode MS"/>
                <w:bCs/>
              </w:rPr>
              <w:t>=</w:t>
            </w:r>
            <w:bookmarkEnd w:id="490"/>
          </w:p>
        </w:tc>
        <w:tc>
          <w:tcPr>
            <w:tcW w:w="8160" w:type="dxa"/>
          </w:tcPr>
          <w:p w:rsidR="002B1F4A" w:rsidRPr="00C56C49" w:rsidRDefault="00CB7C7B" w:rsidP="002B1F4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sum of the one-month portion of the revenues the Transmission Owner has received as payment for the Direct Sale of ETCNL or for its ETCNL released in the Centralized TCC Au</w:t>
            </w:r>
            <w:r w:rsidRPr="000A2402">
              <w:rPr>
                <w:rFonts w:eastAsia="Arial Unicode MS"/>
                <w:bCs/>
              </w:rPr>
              <w:t xml:space="preserve">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xml:space="preserve">.  Each one-month portion of the revenue for ETCNL released in such Centralized TCC Auction shall be calculated by dividing the revenue received in a Centralized </w:t>
            </w:r>
            <w:r w:rsidRPr="000A2402">
              <w:rPr>
                <w:rFonts w:eastAsia="Arial Unicode MS"/>
                <w:bCs/>
              </w:rPr>
              <w:t xml:space="preserve">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2" w:name="_DV_C58"/>
            <w:bookmarkEnd w:id="491"/>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 held for</w:t>
            </w:r>
            <w:r w:rsidRPr="000A2402">
              <w:rPr>
                <w:rFonts w:eastAsia="Arial Unicode MS"/>
                <w:bCs/>
              </w:rPr>
              <w:t xml:space="preserve"> TCCs valid during the month corresponding to Reconfiguration Auction </w:t>
            </w:r>
            <w:r w:rsidRPr="000A2402">
              <w:rPr>
                <w:rFonts w:eastAsia="Arial Unicode MS"/>
                <w:bCs/>
                <w:i/>
                <w:iCs/>
              </w:rPr>
              <w:t>n</w:t>
            </w:r>
            <w:bookmarkEnd w:id="492"/>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in rounds of the 6-month Sub-Auction shall incorporate only </w:t>
            </w:r>
            <w:r w:rsidRPr="000A2402">
              <w:rPr>
                <w:bCs/>
              </w:rPr>
              <w:t>Stage 1 six</w:t>
            </w:r>
            <w:r w:rsidRPr="000A2402">
              <w:rPr>
                <w:bCs/>
              </w:rPr>
              <w:t xml:space="preserve"> month rounds.</w:t>
            </w:r>
          </w:p>
        </w:tc>
      </w:tr>
      <w:tr w:rsidR="005464B4" w:rsidTr="002B1F4A">
        <w:tc>
          <w:tcPr>
            <w:tcW w:w="1320" w:type="dxa"/>
          </w:tcPr>
          <w:p w:rsidR="002B1F4A" w:rsidRPr="00C56C49" w:rsidRDefault="00CB7C7B"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40" w:type="dxa"/>
          </w:tcPr>
          <w:p w:rsidR="002B1F4A" w:rsidRPr="00C56C49" w:rsidRDefault="00CB7C7B" w:rsidP="002B1F4A">
            <w:pPr>
              <w:keepNext/>
              <w:spacing w:after="120"/>
              <w:ind w:left="-108"/>
              <w:rPr>
                <w:rFonts w:eastAsia="Arial Unicode MS"/>
              </w:rPr>
            </w:pPr>
            <w:bookmarkStart w:id="494" w:name="_DV_C60"/>
            <w:r w:rsidRPr="00C56C49">
              <w:rPr>
                <w:rFonts w:eastAsia="Arial Unicode MS"/>
                <w:bCs/>
              </w:rPr>
              <w:t>=</w:t>
            </w:r>
            <w:bookmarkEnd w:id="494"/>
          </w:p>
        </w:tc>
        <w:tc>
          <w:tcPr>
            <w:tcW w:w="8160" w:type="dxa"/>
          </w:tcPr>
          <w:p w:rsidR="002B1F4A" w:rsidRPr="00C56C49" w:rsidRDefault="00CB7C7B" w:rsidP="002B1F4A">
            <w:pPr>
              <w:spacing w:after="120"/>
              <w:ind w:left="-78"/>
              <w:rPr>
                <w:rFonts w:eastAsia="Arial Unicode MS"/>
                <w:iCs/>
              </w:rPr>
            </w:pPr>
            <w:bookmarkStart w:id="495"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and Reconfiguration Auctions held for TCCs valid for the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w:t>
            </w:r>
            <w:r w:rsidRPr="000A2402">
              <w:rPr>
                <w:rFonts w:eastAsia="Arial Unicode MS"/>
                <w:bCs/>
              </w:rPr>
              <w:t xml:space="preserve">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pursuant to a different methodology, the amount of s</w:t>
            </w:r>
            <w:r w:rsidRPr="000A2402">
              <w:rPr>
                <w:rFonts w:eastAsia="Arial Unicode MS"/>
                <w:bCs/>
              </w:rPr>
              <w:t xml:space="preserve">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w:t>
            </w:r>
            <w:r w:rsidRPr="000A2402">
              <w:rPr>
                <w:rFonts w:eastAsia="Arial Unicode MS"/>
                <w:bCs/>
              </w:rPr>
              <w:t xml:space="preserve">venue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w:t>
            </w:r>
            <w:r w:rsidRPr="000A2402">
              <w:rPr>
                <w:rFonts w:eastAsia="Arial Unicode MS"/>
                <w:bCs/>
              </w:rPr>
              <w:t xml:space="preserve">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5"/>
            <w:r w:rsidRPr="000A2402">
              <w:rPr>
                <w:rFonts w:eastAsia="Arial Unicode MS"/>
                <w:bCs/>
                <w:iCs/>
              </w:rPr>
              <w:t xml:space="preserve">.  For Centralized TCC Auctions conducted before May 1, 2010, the calculation of (ii) shall incorporate only Stage 1 </w:t>
            </w:r>
            <w:r w:rsidRPr="000A2402">
              <w:rPr>
                <w:rFonts w:eastAsia="Arial Unicode MS"/>
                <w:bCs/>
                <w:iCs/>
              </w:rPr>
              <w:t>six month rounds.</w:t>
            </w:r>
          </w:p>
        </w:tc>
      </w:tr>
      <w:tr w:rsidR="005464B4" w:rsidTr="002B1F4A">
        <w:tc>
          <w:tcPr>
            <w:tcW w:w="1320" w:type="dxa"/>
          </w:tcPr>
          <w:p w:rsidR="002B1F4A" w:rsidRPr="00C56C49" w:rsidRDefault="00CB7C7B" w:rsidP="002B1F4A">
            <w:pPr>
              <w:spacing w:after="120"/>
              <w:rPr>
                <w:rFonts w:eastAsia="Arial Unicode MS"/>
                <w:vertAlign w:val="subscript"/>
              </w:rPr>
            </w:pPr>
            <w:bookmarkStart w:id="496" w:name="_DV_C62"/>
            <w:r w:rsidRPr="00C56C49">
              <w:rPr>
                <w:rFonts w:eastAsia="Arial Unicode MS"/>
                <w:bCs/>
              </w:rPr>
              <w:t>GFR&amp; GFTCC</w:t>
            </w:r>
            <w:r w:rsidRPr="00C56C49">
              <w:rPr>
                <w:rFonts w:eastAsia="Arial Unicode MS"/>
                <w:bCs/>
                <w:vertAlign w:val="subscript"/>
              </w:rPr>
              <w:t>q,n</w:t>
            </w:r>
            <w:bookmarkEnd w:id="496"/>
          </w:p>
        </w:tc>
        <w:tc>
          <w:tcPr>
            <w:tcW w:w="240" w:type="dxa"/>
          </w:tcPr>
          <w:p w:rsidR="002B1F4A" w:rsidRPr="00C56C49" w:rsidRDefault="00CB7C7B" w:rsidP="002B1F4A">
            <w:pPr>
              <w:keepNext/>
              <w:spacing w:after="120"/>
              <w:ind w:left="-108"/>
              <w:rPr>
                <w:rFonts w:eastAsia="Arial Unicode MS"/>
              </w:rPr>
            </w:pPr>
            <w:bookmarkStart w:id="497" w:name="_DV_C63"/>
            <w:r w:rsidRPr="00C56C49">
              <w:rPr>
                <w:rFonts w:eastAsia="Arial Unicode MS"/>
                <w:bCs/>
              </w:rPr>
              <w:t>=</w:t>
            </w:r>
            <w:bookmarkEnd w:id="497"/>
          </w:p>
        </w:tc>
        <w:tc>
          <w:tcPr>
            <w:tcW w:w="8160" w:type="dxa"/>
          </w:tcPr>
          <w:p w:rsidR="002B1F4A" w:rsidRPr="00C56C49" w:rsidRDefault="00CB7C7B" w:rsidP="002B1F4A">
            <w:pPr>
              <w:spacing w:after="120"/>
              <w:ind w:left="-78"/>
              <w:rPr>
                <w:rFonts w:eastAsia="Arial Unicode MS"/>
                <w:i/>
                <w:iCs/>
              </w:rPr>
            </w:pPr>
            <w:bookmarkStart w:id="498" w:name="_DV_C64"/>
            <w:r w:rsidRPr="00C56C49">
              <w:rPr>
                <w:rFonts w:eastAsia="Arial Unicode MS"/>
                <w:bCs/>
              </w:rPr>
              <w:t xml:space="preserve">The one-month portion of the imputed value of Grandfathered 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w:t>
            </w:r>
            <w:r w:rsidRPr="00C56C49">
              <w:rPr>
                <w:rFonts w:eastAsia="Arial Unicode MS"/>
                <w:bCs/>
              </w:rPr>
              <w:t xml:space="preserve"> provided that the Transmission Owner is the selling </w:t>
            </w:r>
            <w:r w:rsidRPr="000A2402">
              <w:rPr>
                <w:rFonts w:eastAsia="Arial Unicode MS"/>
                <w:bCs/>
              </w:rPr>
              <w:t xml:space="preserve">party and the Existing Transmission Agreement related to each Grandfathered TCC and Grandfathered Right remains valid in the month corresponding to Reconfiguration Auction </w:t>
            </w:r>
            <w:r w:rsidRPr="000A2402">
              <w:rPr>
                <w:rFonts w:eastAsia="Arial Unicode MS"/>
                <w:bCs/>
                <w:i/>
                <w:iCs/>
              </w:rPr>
              <w:t>n</w:t>
            </w:r>
            <w:bookmarkEnd w:id="498"/>
            <w:r w:rsidRPr="000A2402">
              <w:rPr>
                <w:rFonts w:eastAsia="Arial Unicode MS"/>
                <w:bCs/>
                <w:i/>
                <w:iCs/>
              </w:rPr>
              <w:t>.</w:t>
            </w:r>
            <w:r w:rsidRPr="000A2402">
              <w:rPr>
                <w:rStyle w:val="BodyparaChar"/>
                <w:bCs/>
              </w:rPr>
              <w:t xml:space="preserve"> For </w:t>
            </w:r>
            <w:r w:rsidRPr="000A2402">
              <w:rPr>
                <w:bCs/>
              </w:rPr>
              <w:t>Centralized TCC Auctions</w:t>
            </w:r>
            <w:r w:rsidRPr="000A2402">
              <w:rPr>
                <w:bCs/>
              </w:rPr>
              <w:t xml:space="preserve"> conducted before May 1, 2010, the calculation of </w:t>
            </w:r>
            <w:r w:rsidRPr="000A2402">
              <w:t xml:space="preserve">the average market clearing price in rounds of the 6-month Sub-Auction shall incorporate </w:t>
            </w:r>
            <w:r w:rsidRPr="000A2402">
              <w:rPr>
                <w:bCs/>
              </w:rPr>
              <w:t>Stage 1 six month</w:t>
            </w:r>
            <w:r w:rsidRPr="00C56C49">
              <w:rPr>
                <w:bCs/>
              </w:rPr>
              <w:t xml:space="preserve"> rounds.</w:t>
            </w:r>
          </w:p>
        </w:tc>
      </w:tr>
      <w:tr w:rsidR="005464B4" w:rsidTr="002B1F4A">
        <w:tc>
          <w:tcPr>
            <w:tcW w:w="1320" w:type="dxa"/>
          </w:tcPr>
          <w:p w:rsidR="002B1F4A" w:rsidRPr="00C56C49" w:rsidRDefault="00CB7C7B" w:rsidP="002B1F4A">
            <w:pPr>
              <w:spacing w:after="120"/>
              <w:rPr>
                <w:rFonts w:eastAsia="Arial Unicode MS"/>
                <w:lang w:val="fr-FR"/>
              </w:rPr>
            </w:pPr>
            <w:bookmarkStart w:id="499" w:name="_DV_C65"/>
            <w:r w:rsidRPr="00C56C49">
              <w:rPr>
                <w:rFonts w:eastAsia="Arial Unicode MS"/>
                <w:bCs/>
                <w:lang w:val="fr-FR"/>
              </w:rPr>
              <w:t>t</w:t>
            </w:r>
            <w:bookmarkEnd w:id="499"/>
          </w:p>
        </w:tc>
        <w:tc>
          <w:tcPr>
            <w:tcW w:w="240" w:type="dxa"/>
          </w:tcPr>
          <w:p w:rsidR="002B1F4A" w:rsidRPr="00C56C49" w:rsidRDefault="00CB7C7B"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8160" w:type="dxa"/>
          </w:tcPr>
          <w:p w:rsidR="002B1F4A" w:rsidRPr="00C56C49" w:rsidRDefault="00CB7C7B"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5464B4" w:rsidTr="002B1F4A">
        <w:tc>
          <w:tcPr>
            <w:tcW w:w="1320" w:type="dxa"/>
          </w:tcPr>
          <w:p w:rsidR="002B1F4A" w:rsidRPr="00C56C49" w:rsidRDefault="00CB7C7B" w:rsidP="002B1F4A">
            <w:pPr>
              <w:spacing w:after="120"/>
              <w:rPr>
                <w:rFonts w:eastAsia="Arial Unicode MS"/>
              </w:rPr>
            </w:pPr>
            <w:bookmarkStart w:id="502" w:name="_DV_C68"/>
            <w:r w:rsidRPr="00C56C49">
              <w:rPr>
                <w:rFonts w:eastAsia="Arial Unicode MS"/>
                <w:bCs/>
              </w:rPr>
              <w:t>T</w:t>
            </w:r>
            <w:bookmarkEnd w:id="502"/>
          </w:p>
        </w:tc>
        <w:tc>
          <w:tcPr>
            <w:tcW w:w="240" w:type="dxa"/>
          </w:tcPr>
          <w:p w:rsidR="002B1F4A" w:rsidRPr="00C56C49" w:rsidRDefault="00CB7C7B" w:rsidP="002B1F4A">
            <w:pPr>
              <w:keepNext/>
              <w:spacing w:after="120"/>
              <w:ind w:left="-108"/>
              <w:rPr>
                <w:rFonts w:eastAsia="Arial Unicode MS"/>
              </w:rPr>
            </w:pPr>
            <w:bookmarkStart w:id="503" w:name="_DV_C69"/>
            <w:r w:rsidRPr="00C56C49">
              <w:rPr>
                <w:rFonts w:eastAsia="Arial Unicode MS"/>
                <w:bCs/>
              </w:rPr>
              <w:t>=</w:t>
            </w:r>
            <w:bookmarkEnd w:id="503"/>
          </w:p>
        </w:tc>
        <w:tc>
          <w:tcPr>
            <w:tcW w:w="8160" w:type="dxa"/>
          </w:tcPr>
          <w:p w:rsidR="002B1F4A" w:rsidRPr="00C56C49" w:rsidRDefault="00CB7C7B"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CB7C7B" w:rsidP="002B1F4A">
      <w:pPr>
        <w:tabs>
          <w:tab w:val="left" w:pos="1440"/>
          <w:tab w:val="left" w:pos="6480"/>
          <w:tab w:val="right" w:pos="9360"/>
        </w:tabs>
      </w:pPr>
    </w:p>
    <w:p w:rsidR="002B1F4A" w:rsidRPr="007A1B03" w:rsidRDefault="00CB7C7B" w:rsidP="002B1F4A">
      <w:pPr>
        <w:pStyle w:val="Bodypara"/>
      </w:pPr>
      <w:r w:rsidRPr="007A1B03">
        <w:t xml:space="preserve">Each Transmission Owner’s share of Net Auction Revenues allocated pursuant to this Section </w:t>
      </w:r>
      <w:r>
        <w:t>20.</w:t>
      </w:r>
      <w:r w:rsidRPr="007A1B03">
        <w:t>3.7 shall be incorporated into</w:t>
      </w:r>
      <w:ins w:id="505" w:author="Author" w:date="2016-08-02T22:14:00Z">
        <w:r>
          <w:t>, or otherwise accounted for as part of,</w:t>
        </w:r>
      </w:ins>
      <w:r w:rsidRPr="007A1B03">
        <w:t xml:space="preserve"> its TSC</w:t>
      </w:r>
      <w:ins w:id="506" w:author="Author" w:date="2016-08-02T22:14:00Z">
        <w:r>
          <w:t>,</w:t>
        </w:r>
      </w:ins>
      <w:del w:id="507" w:author="Author" w:date="2016-08-02T22:14:00Z">
        <w:r w:rsidRPr="007A1B03">
          <w:delText xml:space="preserve"> or</w:delText>
        </w:r>
      </w:del>
      <w:r w:rsidRPr="007A1B03">
        <w:t xml:space="preserve"> NTAC</w:t>
      </w:r>
      <w:ins w:id="508" w:author="Author" w:date="2016-09-08T11:38:00Z">
        <w:r>
          <w:t>,</w:t>
        </w:r>
      </w:ins>
      <w:ins w:id="509" w:author="Author" w:date="2016-08-02T22:14:00Z">
        <w:r>
          <w:t xml:space="preserve"> or other applicable rate mechanism under the ISO Tariffs used to assess c</w:t>
        </w:r>
        <w:r>
          <w:t>harges for Transmission Service provided by the Transmission Owner pursuant to this Tariff</w:t>
        </w:r>
      </w:ins>
      <w:r w:rsidRPr="007A1B03">
        <w:t>, 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C7B">
      <w:r>
        <w:separator/>
      </w:r>
    </w:p>
  </w:endnote>
  <w:endnote w:type="continuationSeparator" w:id="0">
    <w:p w:rsidR="00000000" w:rsidRDefault="00CB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64" w:rsidRDefault="00CB7C7B">
      <w:r>
        <w:separator/>
      </w:r>
    </w:p>
  </w:footnote>
  <w:footnote w:type="continuationSeparator" w:id="0">
    <w:p w:rsidR="00354D64" w:rsidRDefault="00CB7C7B">
      <w:r>
        <w:continuationSeparator/>
      </w:r>
    </w:p>
  </w:footnote>
  <w:footnote w:id="1">
    <w:p w:rsidR="003411F9" w:rsidRDefault="00CB7C7B"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w:t>
      </w:r>
      <w:r>
        <w:t>l agreement or otherwise.</w:t>
      </w:r>
    </w:p>
  </w:footnote>
  <w:footnote w:id="2">
    <w:p w:rsidR="003411F9" w:rsidRPr="007A1B03" w:rsidRDefault="00CB7C7B"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Settlement of </w:t>
    </w:r>
    <w:r>
      <w:rPr>
        <w:rFonts w:ascii="Arial" w:eastAsia="Arial" w:hAnsi="Arial" w:cs="Arial"/>
        <w:color w:val="000000"/>
        <w:sz w:val="16"/>
      </w:rPr>
      <w:t>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B4" w:rsidRDefault="00CB7C7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w:t>
    </w:r>
    <w:r>
      <w:rPr>
        <w:rFonts w:ascii="Arial" w:eastAsia="Arial" w:hAnsi="Arial" w:cs="Arial"/>
        <w:color w:val="000000"/>
        <w:sz w:val="16"/>
      </w:rPr>
      <w:t>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5680278">
      <w:start w:val="1"/>
      <w:numFmt w:val="bullet"/>
      <w:pStyle w:val="Bulletpara"/>
      <w:lvlText w:val=""/>
      <w:lvlJc w:val="left"/>
      <w:pPr>
        <w:tabs>
          <w:tab w:val="num" w:pos="720"/>
        </w:tabs>
        <w:ind w:left="720" w:hanging="360"/>
      </w:pPr>
      <w:rPr>
        <w:rFonts w:ascii="Symbol" w:hAnsi="Symbol" w:hint="default"/>
      </w:rPr>
    </w:lvl>
    <w:lvl w:ilvl="1" w:tplc="10BEA58A" w:tentative="1">
      <w:start w:val="1"/>
      <w:numFmt w:val="bullet"/>
      <w:lvlText w:val="o"/>
      <w:lvlJc w:val="left"/>
      <w:pPr>
        <w:tabs>
          <w:tab w:val="num" w:pos="1440"/>
        </w:tabs>
        <w:ind w:left="1440" w:hanging="360"/>
      </w:pPr>
      <w:rPr>
        <w:rFonts w:ascii="Courier New" w:hAnsi="Courier New" w:cs="Courier New" w:hint="default"/>
      </w:rPr>
    </w:lvl>
    <w:lvl w:ilvl="2" w:tplc="0B3C5744" w:tentative="1">
      <w:start w:val="1"/>
      <w:numFmt w:val="bullet"/>
      <w:lvlText w:val=""/>
      <w:lvlJc w:val="left"/>
      <w:pPr>
        <w:tabs>
          <w:tab w:val="num" w:pos="2160"/>
        </w:tabs>
        <w:ind w:left="2160" w:hanging="360"/>
      </w:pPr>
      <w:rPr>
        <w:rFonts w:ascii="Wingdings" w:hAnsi="Wingdings" w:hint="default"/>
      </w:rPr>
    </w:lvl>
    <w:lvl w:ilvl="3" w:tplc="20AE125C" w:tentative="1">
      <w:start w:val="1"/>
      <w:numFmt w:val="bullet"/>
      <w:lvlText w:val=""/>
      <w:lvlJc w:val="left"/>
      <w:pPr>
        <w:tabs>
          <w:tab w:val="num" w:pos="2880"/>
        </w:tabs>
        <w:ind w:left="2880" w:hanging="360"/>
      </w:pPr>
      <w:rPr>
        <w:rFonts w:ascii="Symbol" w:hAnsi="Symbol" w:hint="default"/>
      </w:rPr>
    </w:lvl>
    <w:lvl w:ilvl="4" w:tplc="C75834D8" w:tentative="1">
      <w:start w:val="1"/>
      <w:numFmt w:val="bullet"/>
      <w:lvlText w:val="o"/>
      <w:lvlJc w:val="left"/>
      <w:pPr>
        <w:tabs>
          <w:tab w:val="num" w:pos="3600"/>
        </w:tabs>
        <w:ind w:left="3600" w:hanging="360"/>
      </w:pPr>
      <w:rPr>
        <w:rFonts w:ascii="Courier New" w:hAnsi="Courier New" w:cs="Courier New" w:hint="default"/>
      </w:rPr>
    </w:lvl>
    <w:lvl w:ilvl="5" w:tplc="B99651EE" w:tentative="1">
      <w:start w:val="1"/>
      <w:numFmt w:val="bullet"/>
      <w:lvlText w:val=""/>
      <w:lvlJc w:val="left"/>
      <w:pPr>
        <w:tabs>
          <w:tab w:val="num" w:pos="4320"/>
        </w:tabs>
        <w:ind w:left="4320" w:hanging="360"/>
      </w:pPr>
      <w:rPr>
        <w:rFonts w:ascii="Wingdings" w:hAnsi="Wingdings" w:hint="default"/>
      </w:rPr>
    </w:lvl>
    <w:lvl w:ilvl="6" w:tplc="A90E2B4C" w:tentative="1">
      <w:start w:val="1"/>
      <w:numFmt w:val="bullet"/>
      <w:lvlText w:val=""/>
      <w:lvlJc w:val="left"/>
      <w:pPr>
        <w:tabs>
          <w:tab w:val="num" w:pos="5040"/>
        </w:tabs>
        <w:ind w:left="5040" w:hanging="360"/>
      </w:pPr>
      <w:rPr>
        <w:rFonts w:ascii="Symbol" w:hAnsi="Symbol" w:hint="default"/>
      </w:rPr>
    </w:lvl>
    <w:lvl w:ilvl="7" w:tplc="4FE695B6" w:tentative="1">
      <w:start w:val="1"/>
      <w:numFmt w:val="bullet"/>
      <w:lvlText w:val="o"/>
      <w:lvlJc w:val="left"/>
      <w:pPr>
        <w:tabs>
          <w:tab w:val="num" w:pos="5760"/>
        </w:tabs>
        <w:ind w:left="5760" w:hanging="360"/>
      </w:pPr>
      <w:rPr>
        <w:rFonts w:ascii="Courier New" w:hAnsi="Courier New" w:cs="Courier New" w:hint="default"/>
      </w:rPr>
    </w:lvl>
    <w:lvl w:ilvl="8" w:tplc="E36C5CC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501E0792">
      <w:start w:val="1"/>
      <w:numFmt w:val="bullet"/>
      <w:lvlText w:val="­"/>
      <w:lvlJc w:val="left"/>
      <w:pPr>
        <w:tabs>
          <w:tab w:val="num" w:pos="720"/>
        </w:tabs>
        <w:ind w:left="720" w:hanging="360"/>
      </w:pPr>
      <w:rPr>
        <w:rFonts w:ascii="Courier New" w:hAnsi="Courier New" w:hint="default"/>
      </w:rPr>
    </w:lvl>
    <w:lvl w:ilvl="1" w:tplc="C7D60A6C" w:tentative="1">
      <w:start w:val="1"/>
      <w:numFmt w:val="bullet"/>
      <w:lvlText w:val="o"/>
      <w:lvlJc w:val="left"/>
      <w:pPr>
        <w:tabs>
          <w:tab w:val="num" w:pos="1440"/>
        </w:tabs>
        <w:ind w:left="1440" w:hanging="360"/>
      </w:pPr>
      <w:rPr>
        <w:rFonts w:ascii="Courier New" w:hAnsi="Courier New" w:cs="Courier New" w:hint="default"/>
      </w:rPr>
    </w:lvl>
    <w:lvl w:ilvl="2" w:tplc="36EEDB38" w:tentative="1">
      <w:start w:val="1"/>
      <w:numFmt w:val="bullet"/>
      <w:lvlText w:val=""/>
      <w:lvlJc w:val="left"/>
      <w:pPr>
        <w:tabs>
          <w:tab w:val="num" w:pos="2160"/>
        </w:tabs>
        <w:ind w:left="2160" w:hanging="360"/>
      </w:pPr>
      <w:rPr>
        <w:rFonts w:ascii="Wingdings" w:hAnsi="Wingdings" w:hint="default"/>
      </w:rPr>
    </w:lvl>
    <w:lvl w:ilvl="3" w:tplc="80E66E2E" w:tentative="1">
      <w:start w:val="1"/>
      <w:numFmt w:val="bullet"/>
      <w:lvlText w:val=""/>
      <w:lvlJc w:val="left"/>
      <w:pPr>
        <w:tabs>
          <w:tab w:val="num" w:pos="2880"/>
        </w:tabs>
        <w:ind w:left="2880" w:hanging="360"/>
      </w:pPr>
      <w:rPr>
        <w:rFonts w:ascii="Symbol" w:hAnsi="Symbol" w:hint="default"/>
      </w:rPr>
    </w:lvl>
    <w:lvl w:ilvl="4" w:tplc="36D03A2C" w:tentative="1">
      <w:start w:val="1"/>
      <w:numFmt w:val="bullet"/>
      <w:lvlText w:val="o"/>
      <w:lvlJc w:val="left"/>
      <w:pPr>
        <w:tabs>
          <w:tab w:val="num" w:pos="3600"/>
        </w:tabs>
        <w:ind w:left="3600" w:hanging="360"/>
      </w:pPr>
      <w:rPr>
        <w:rFonts w:ascii="Courier New" w:hAnsi="Courier New" w:cs="Courier New" w:hint="default"/>
      </w:rPr>
    </w:lvl>
    <w:lvl w:ilvl="5" w:tplc="144AA10E" w:tentative="1">
      <w:start w:val="1"/>
      <w:numFmt w:val="bullet"/>
      <w:lvlText w:val=""/>
      <w:lvlJc w:val="left"/>
      <w:pPr>
        <w:tabs>
          <w:tab w:val="num" w:pos="4320"/>
        </w:tabs>
        <w:ind w:left="4320" w:hanging="360"/>
      </w:pPr>
      <w:rPr>
        <w:rFonts w:ascii="Wingdings" w:hAnsi="Wingdings" w:hint="default"/>
      </w:rPr>
    </w:lvl>
    <w:lvl w:ilvl="6" w:tplc="41388C6C" w:tentative="1">
      <w:start w:val="1"/>
      <w:numFmt w:val="bullet"/>
      <w:lvlText w:val=""/>
      <w:lvlJc w:val="left"/>
      <w:pPr>
        <w:tabs>
          <w:tab w:val="num" w:pos="5040"/>
        </w:tabs>
        <w:ind w:left="5040" w:hanging="360"/>
      </w:pPr>
      <w:rPr>
        <w:rFonts w:ascii="Symbol" w:hAnsi="Symbol" w:hint="default"/>
      </w:rPr>
    </w:lvl>
    <w:lvl w:ilvl="7" w:tplc="ADFE5A40" w:tentative="1">
      <w:start w:val="1"/>
      <w:numFmt w:val="bullet"/>
      <w:lvlText w:val="o"/>
      <w:lvlJc w:val="left"/>
      <w:pPr>
        <w:tabs>
          <w:tab w:val="num" w:pos="5760"/>
        </w:tabs>
        <w:ind w:left="5760" w:hanging="360"/>
      </w:pPr>
      <w:rPr>
        <w:rFonts w:ascii="Courier New" w:hAnsi="Courier New" w:cs="Courier New" w:hint="default"/>
      </w:rPr>
    </w:lvl>
    <w:lvl w:ilvl="8" w:tplc="CDA27C4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53E4B3AE">
      <w:start w:val="1"/>
      <w:numFmt w:val="lowerRoman"/>
      <w:lvlText w:val="(%1)"/>
      <w:lvlJc w:val="left"/>
      <w:pPr>
        <w:tabs>
          <w:tab w:val="num" w:pos="2448"/>
        </w:tabs>
        <w:ind w:left="2448" w:hanging="648"/>
      </w:pPr>
      <w:rPr>
        <w:rFonts w:hint="default"/>
        <w:b w:val="0"/>
        <w:i w:val="0"/>
        <w:u w:val="none"/>
      </w:rPr>
    </w:lvl>
    <w:lvl w:ilvl="1" w:tplc="A5402816" w:tentative="1">
      <w:start w:val="1"/>
      <w:numFmt w:val="lowerLetter"/>
      <w:lvlText w:val="%2."/>
      <w:lvlJc w:val="left"/>
      <w:pPr>
        <w:tabs>
          <w:tab w:val="num" w:pos="1440"/>
        </w:tabs>
        <w:ind w:left="1440" w:hanging="360"/>
      </w:pPr>
    </w:lvl>
    <w:lvl w:ilvl="2" w:tplc="5D9235A0" w:tentative="1">
      <w:start w:val="1"/>
      <w:numFmt w:val="lowerRoman"/>
      <w:lvlText w:val="%3."/>
      <w:lvlJc w:val="right"/>
      <w:pPr>
        <w:tabs>
          <w:tab w:val="num" w:pos="2160"/>
        </w:tabs>
        <w:ind w:left="2160" w:hanging="180"/>
      </w:pPr>
    </w:lvl>
    <w:lvl w:ilvl="3" w:tplc="C22497BC" w:tentative="1">
      <w:start w:val="1"/>
      <w:numFmt w:val="decimal"/>
      <w:lvlText w:val="%4."/>
      <w:lvlJc w:val="left"/>
      <w:pPr>
        <w:tabs>
          <w:tab w:val="num" w:pos="2880"/>
        </w:tabs>
        <w:ind w:left="2880" w:hanging="360"/>
      </w:pPr>
    </w:lvl>
    <w:lvl w:ilvl="4" w:tplc="83C6E61C" w:tentative="1">
      <w:start w:val="1"/>
      <w:numFmt w:val="lowerLetter"/>
      <w:lvlText w:val="%5."/>
      <w:lvlJc w:val="left"/>
      <w:pPr>
        <w:tabs>
          <w:tab w:val="num" w:pos="3600"/>
        </w:tabs>
        <w:ind w:left="3600" w:hanging="360"/>
      </w:pPr>
    </w:lvl>
    <w:lvl w:ilvl="5" w:tplc="6ABE75E0" w:tentative="1">
      <w:start w:val="1"/>
      <w:numFmt w:val="lowerRoman"/>
      <w:lvlText w:val="%6."/>
      <w:lvlJc w:val="right"/>
      <w:pPr>
        <w:tabs>
          <w:tab w:val="num" w:pos="4320"/>
        </w:tabs>
        <w:ind w:left="4320" w:hanging="180"/>
      </w:pPr>
    </w:lvl>
    <w:lvl w:ilvl="6" w:tplc="86145400" w:tentative="1">
      <w:start w:val="1"/>
      <w:numFmt w:val="decimal"/>
      <w:lvlText w:val="%7."/>
      <w:lvlJc w:val="left"/>
      <w:pPr>
        <w:tabs>
          <w:tab w:val="num" w:pos="5040"/>
        </w:tabs>
        <w:ind w:left="5040" w:hanging="360"/>
      </w:pPr>
    </w:lvl>
    <w:lvl w:ilvl="7" w:tplc="188AC77E" w:tentative="1">
      <w:start w:val="1"/>
      <w:numFmt w:val="lowerLetter"/>
      <w:lvlText w:val="%8."/>
      <w:lvlJc w:val="left"/>
      <w:pPr>
        <w:tabs>
          <w:tab w:val="num" w:pos="5760"/>
        </w:tabs>
        <w:ind w:left="5760" w:hanging="360"/>
      </w:pPr>
    </w:lvl>
    <w:lvl w:ilvl="8" w:tplc="BDA61E2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8046900A">
      <w:start w:val="1"/>
      <w:numFmt w:val="bullet"/>
      <w:lvlText w:val=""/>
      <w:lvlJc w:val="left"/>
      <w:pPr>
        <w:tabs>
          <w:tab w:val="num" w:pos="5760"/>
        </w:tabs>
        <w:ind w:left="5760" w:hanging="360"/>
      </w:pPr>
      <w:rPr>
        <w:rFonts w:ascii="Symbol" w:hAnsi="Symbol" w:hint="default"/>
        <w:color w:val="auto"/>
        <w:u w:val="none"/>
      </w:rPr>
    </w:lvl>
    <w:lvl w:ilvl="1" w:tplc="55E0EF64" w:tentative="1">
      <w:start w:val="1"/>
      <w:numFmt w:val="bullet"/>
      <w:lvlText w:val="o"/>
      <w:lvlJc w:val="left"/>
      <w:pPr>
        <w:tabs>
          <w:tab w:val="num" w:pos="3600"/>
        </w:tabs>
        <w:ind w:left="3600" w:hanging="360"/>
      </w:pPr>
      <w:rPr>
        <w:rFonts w:ascii="Courier New" w:hAnsi="Courier New" w:hint="default"/>
      </w:rPr>
    </w:lvl>
    <w:lvl w:ilvl="2" w:tplc="79169F7C" w:tentative="1">
      <w:start w:val="1"/>
      <w:numFmt w:val="bullet"/>
      <w:lvlText w:val=""/>
      <w:lvlJc w:val="left"/>
      <w:pPr>
        <w:tabs>
          <w:tab w:val="num" w:pos="4320"/>
        </w:tabs>
        <w:ind w:left="4320" w:hanging="360"/>
      </w:pPr>
      <w:rPr>
        <w:rFonts w:ascii="Wingdings" w:hAnsi="Wingdings" w:hint="default"/>
      </w:rPr>
    </w:lvl>
    <w:lvl w:ilvl="3" w:tplc="0694B8D4">
      <w:start w:val="1"/>
      <w:numFmt w:val="bullet"/>
      <w:lvlText w:val=""/>
      <w:lvlJc w:val="left"/>
      <w:pPr>
        <w:tabs>
          <w:tab w:val="num" w:pos="5040"/>
        </w:tabs>
        <w:ind w:left="5040" w:hanging="360"/>
      </w:pPr>
      <w:rPr>
        <w:rFonts w:ascii="Symbol" w:hAnsi="Symbol" w:hint="default"/>
      </w:rPr>
    </w:lvl>
    <w:lvl w:ilvl="4" w:tplc="2AD817D6" w:tentative="1">
      <w:start w:val="1"/>
      <w:numFmt w:val="bullet"/>
      <w:lvlText w:val="o"/>
      <w:lvlJc w:val="left"/>
      <w:pPr>
        <w:tabs>
          <w:tab w:val="num" w:pos="5760"/>
        </w:tabs>
        <w:ind w:left="5760" w:hanging="360"/>
      </w:pPr>
      <w:rPr>
        <w:rFonts w:ascii="Courier New" w:hAnsi="Courier New" w:hint="default"/>
      </w:rPr>
    </w:lvl>
    <w:lvl w:ilvl="5" w:tplc="C226B3E4" w:tentative="1">
      <w:start w:val="1"/>
      <w:numFmt w:val="bullet"/>
      <w:lvlText w:val=""/>
      <w:lvlJc w:val="left"/>
      <w:pPr>
        <w:tabs>
          <w:tab w:val="num" w:pos="6480"/>
        </w:tabs>
        <w:ind w:left="6480" w:hanging="360"/>
      </w:pPr>
      <w:rPr>
        <w:rFonts w:ascii="Wingdings" w:hAnsi="Wingdings" w:hint="default"/>
      </w:rPr>
    </w:lvl>
    <w:lvl w:ilvl="6" w:tplc="B136FA2E" w:tentative="1">
      <w:start w:val="1"/>
      <w:numFmt w:val="bullet"/>
      <w:lvlText w:val=""/>
      <w:lvlJc w:val="left"/>
      <w:pPr>
        <w:tabs>
          <w:tab w:val="num" w:pos="7200"/>
        </w:tabs>
        <w:ind w:left="7200" w:hanging="360"/>
      </w:pPr>
      <w:rPr>
        <w:rFonts w:ascii="Symbol" w:hAnsi="Symbol" w:hint="default"/>
      </w:rPr>
    </w:lvl>
    <w:lvl w:ilvl="7" w:tplc="69CE5F78" w:tentative="1">
      <w:start w:val="1"/>
      <w:numFmt w:val="bullet"/>
      <w:lvlText w:val="o"/>
      <w:lvlJc w:val="left"/>
      <w:pPr>
        <w:tabs>
          <w:tab w:val="num" w:pos="7920"/>
        </w:tabs>
        <w:ind w:left="7920" w:hanging="360"/>
      </w:pPr>
      <w:rPr>
        <w:rFonts w:ascii="Courier New" w:hAnsi="Courier New" w:hint="default"/>
      </w:rPr>
    </w:lvl>
    <w:lvl w:ilvl="8" w:tplc="19F087A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5464B4"/>
    <w:rsid w:val="005464B4"/>
    <w:rsid w:val="00CB7C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11816</Words>
  <Characters>67357</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79015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2010-06-03T20:31:00Z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