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20" w:rsidRDefault="00C651FD">
      <w:pPr>
        <w:pStyle w:val="Heading2"/>
      </w:pPr>
      <w:bookmarkStart w:id="0" w:name="_Toc261444340"/>
      <w:r>
        <w:t>1.18</w:t>
      </w:r>
      <w:r>
        <w:tab/>
        <w:t>Definitions - R</w:t>
      </w:r>
      <w:bookmarkEnd w:id="0"/>
    </w:p>
    <w:p w:rsidR="00DD1620" w:rsidRDefault="00C651FD">
      <w:pPr>
        <w:pStyle w:val="Definition"/>
      </w:pPr>
      <w:r>
        <w:rPr>
          <w:b/>
          <w:bCs/>
        </w:rPr>
        <w:t>RCRR TCC:</w:t>
      </w:r>
      <w:r>
        <w:t xml:space="preserve"> A Load Zone</w:t>
      </w:r>
      <w:r>
        <w:rPr>
          <w:strike/>
        </w:rPr>
        <w:t>-</w:t>
      </w:r>
      <w:r>
        <w:t>to</w:t>
      </w:r>
      <w:r>
        <w:rPr>
          <w:strike/>
        </w:rPr>
        <w:t>-</w:t>
      </w:r>
      <w:r>
        <w:t xml:space="preserve">Load Zone TCC created when a </w:t>
      </w:r>
      <w:del w:id="1" w:author="Author" w:date="2016-08-02T21:26:00Z">
        <w:r>
          <w:delText>Transmission Owner</w:delText>
        </w:r>
      </w:del>
      <w:ins w:id="2" w:author="Author" w:date="2016-08-02T21:26:00Z">
        <w:r>
          <w:t>Member System</w:t>
        </w:r>
      </w:ins>
      <w:r>
        <w:t xml:space="preserve"> with a RCRR exercises its right to convert the RCRR into a TCC pursuant to Section 19.5.4 of Attachment M of this ISO OATT.</w:t>
      </w:r>
    </w:p>
    <w:p w:rsidR="00DD1620" w:rsidRDefault="00C651FD">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DD1620" w:rsidRDefault="00C651FD">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DD1620" w:rsidRDefault="00C651FD">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DD1620" w:rsidRDefault="00C651FD">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DD1620" w:rsidRDefault="00C651FD">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DD1620" w:rsidRDefault="00C651FD">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DD1620" w:rsidRDefault="00C651FD">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DD1620" w:rsidRDefault="00C651FD">
      <w:pPr>
        <w:pStyle w:val="Definition"/>
      </w:pPr>
      <w:r>
        <w:rPr>
          <w:b/>
        </w:rPr>
        <w:t>Real</w:t>
      </w:r>
      <w:r>
        <w:rPr>
          <w:b/>
        </w:rPr>
        <w:noBreakHyphen/>
        <w:t xml:space="preserve">Time LBMP: </w:t>
      </w:r>
      <w:r>
        <w:t>The LBMPs established through the ISO Administered Real</w:t>
      </w:r>
      <w:r>
        <w:noBreakHyphen/>
        <w:t xml:space="preserve"> Time Market.</w:t>
      </w:r>
    </w:p>
    <w:p w:rsidR="00DD1620" w:rsidRDefault="00C651FD">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DD1620" w:rsidRDefault="00C651FD">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DD1620" w:rsidRDefault="00C651FD">
      <w:pPr>
        <w:pStyle w:val="Definition"/>
      </w:pPr>
      <w:r>
        <w:rPr>
          <w:b/>
          <w:bCs/>
        </w:rPr>
        <w:t>Reconfiguration Auction:</w:t>
      </w:r>
      <w:r>
        <w:t xml:space="preserve"> The monthly auction administered by the ISO in which Transmission Customers may purchase and sell one-month TCCs.</w:t>
      </w:r>
    </w:p>
    <w:p w:rsidR="00DD1620" w:rsidRDefault="00C651FD">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DD1620" w:rsidRDefault="00C651FD">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DD1620" w:rsidRDefault="00C651FD">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DD1620" w:rsidRDefault="00C651FD">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DD1620" w:rsidRDefault="00C651FD">
      <w:pPr>
        <w:pStyle w:val="Definition"/>
      </w:pPr>
      <w:r>
        <w:rPr>
          <w:b/>
        </w:rPr>
        <w:t xml:space="preserve">Repair Plan:  </w:t>
      </w:r>
      <w:r>
        <w:rPr>
          <w:bCs/>
        </w:rPr>
        <w:t xml:space="preserve">As defined in </w:t>
      </w:r>
      <w:r>
        <w:t>the</w:t>
      </w:r>
      <w:r>
        <w:rPr>
          <w:bCs/>
        </w:rPr>
        <w:t xml:space="preserve"> ISO Services </w:t>
      </w:r>
      <w:r>
        <w:t>Tariff</w:t>
      </w:r>
      <w:r>
        <w:rPr>
          <w:bCs/>
        </w:rPr>
        <w:t>.</w:t>
      </w:r>
    </w:p>
    <w:p w:rsidR="00DD1620" w:rsidRDefault="00C651FD">
      <w:pPr>
        <w:pStyle w:val="Definition"/>
      </w:pPr>
      <w:r>
        <w:rPr>
          <w:b/>
        </w:rPr>
        <w:t xml:space="preserve">Required System Capability: </w:t>
      </w:r>
      <w:r>
        <w:t>Generation capability required to meet an LSE’s peak Load plus Installed Capacity reserve obligation as defined in the Reliabilit</w:t>
      </w:r>
      <w:r>
        <w:t>y Rules.</w:t>
      </w:r>
    </w:p>
    <w:p w:rsidR="00DD1620" w:rsidRDefault="00C651FD">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DD1620" w:rsidRDefault="00C651FD">
      <w:pPr>
        <w:pStyle w:val="Definition"/>
      </w:pPr>
      <w:r>
        <w:rPr>
          <w:b/>
          <w:bCs/>
        </w:rPr>
        <w:t>Residual Adjustment:</w:t>
      </w:r>
      <w:r>
        <w:t xml:space="preserve"> The adjustment made to ISO costs that are recovered through Schedule 1. The Residual Adjustment is </w:t>
      </w:r>
      <w:r>
        <w:t>calculated pursuant to Schedule 1.</w:t>
      </w:r>
    </w:p>
    <w:p w:rsidR="00DD1620" w:rsidRDefault="00C651FD">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 xml:space="preserve">y a </w:t>
      </w:r>
      <w:del w:id="3" w:author="Author" w:date="2016-08-02T21:26:00Z">
        <w:r>
          <w:delText>Transmission Owner</w:delText>
        </w:r>
      </w:del>
      <w:ins w:id="4" w:author="Author" w:date="2016-08-02T21:26:00Z">
        <w:r>
          <w:t>Member System</w:t>
        </w:r>
      </w:ins>
      <w:r>
        <w:t xml:space="preserve"> allocated the RCRR pursuant to Section 19.5 of Attachment M.</w:t>
      </w:r>
    </w:p>
    <w:p w:rsidR="00DD1620" w:rsidRDefault="00C651FD">
      <w:pPr>
        <w:pStyle w:val="Definition"/>
        <w:spacing w:before="120" w:after="120"/>
      </w:pPr>
      <w:r>
        <w:rPr>
          <w:b/>
          <w:bCs/>
        </w:rPr>
        <w:t>Residual Transmission Capacity:</w:t>
      </w:r>
      <w:r>
        <w:t xml:space="preserve"> The transmission capacity determined by the ISO before, during and after the Centralized TCC Auction which is conceptually equa</w:t>
      </w:r>
      <w:r>
        <w:t xml:space="preserve">l to the following: </w:t>
      </w:r>
    </w:p>
    <w:p w:rsidR="00DD1620" w:rsidRDefault="00C651FD">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DD1620" w:rsidRDefault="00C651FD">
      <w:pPr>
        <w:pStyle w:val="Definitionindent"/>
      </w:pPr>
      <w:r>
        <w:t>The TCCs associated with Residual Transmission Capacity cannot be accurately determined until the Centralized TCC Auction is conducted.</w:t>
      </w:r>
    </w:p>
    <w:p w:rsidR="00DD1620" w:rsidRDefault="00C651FD">
      <w:pPr>
        <w:pStyle w:val="Definitionindent"/>
      </w:pPr>
      <w:r>
        <w:t>TTC is the Total Transfer Ca</w:t>
      </w:r>
      <w:r>
        <w:t>pability that can only be determined after the Residual Transmission Capacity is known.</w:t>
      </w:r>
    </w:p>
    <w:p w:rsidR="00DD1620" w:rsidRDefault="00C651FD">
      <w:pPr>
        <w:pStyle w:val="Definitionindent"/>
      </w:pPr>
      <w:r>
        <w:t>GTR is the transmission capacity associated with Grandfathered Rights.</w:t>
      </w:r>
    </w:p>
    <w:p w:rsidR="00DD1620" w:rsidRDefault="00C651FD">
      <w:pPr>
        <w:pStyle w:val="Definitionindent"/>
      </w:pPr>
      <w:r>
        <w:t>GTCC is the transmission capacity associated with Grandfathered TCCs.</w:t>
      </w:r>
    </w:p>
    <w:p w:rsidR="00DD1620" w:rsidRDefault="00C651FD">
      <w:pPr>
        <w:pStyle w:val="Definitionindent"/>
      </w:pPr>
      <w:r>
        <w:t xml:space="preserve">ETCNL is the transmission </w:t>
      </w:r>
      <w:r>
        <w:t>capacity associated with Existing Transmission Capacity for Native Load.</w:t>
      </w:r>
    </w:p>
    <w:p w:rsidR="00DD1620" w:rsidRDefault="00C651FD">
      <w:pPr>
        <w:pStyle w:val="Definitionindent"/>
      </w:pPr>
      <w:r>
        <w:t>TRM is the Transmission Reliability Margin.</w:t>
      </w:r>
    </w:p>
    <w:p w:rsidR="00DD1620" w:rsidRDefault="00C651FD">
      <w:pPr>
        <w:pStyle w:val="Definitionindent"/>
      </w:pPr>
      <w:r>
        <w:t>CBM is the Capacity Benefit Margin.</w:t>
      </w:r>
    </w:p>
    <w:p w:rsidR="00DD1620" w:rsidRDefault="00C651FD" w:rsidP="002A471A">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DD1620" w:rsidRPr="002A471A" w:rsidRDefault="00C651FD" w:rsidP="002A471A">
      <w:pPr>
        <w:pStyle w:val="Definition"/>
        <w:rPr>
          <w:snapToGrid/>
        </w:rPr>
      </w:pPr>
      <w:r>
        <w:rPr>
          <w:b/>
          <w:snapToGrid/>
        </w:rPr>
        <w:t>RMR Agreement:</w:t>
      </w:r>
      <w:r>
        <w:rPr>
          <w:snapToGrid/>
        </w:rPr>
        <w:t xml:space="preserve">  An agreement of limited duration that </w:t>
      </w:r>
      <w:r>
        <w:rPr>
          <w:snapToGrid/>
        </w:rPr>
        <w:t>provides for the continued operation of one or more RMR Generator(s) to satisfy one or more Reliability Need(s) entered into between the ISO and an entity or entities that own or have operational control over the RMR Generator(s).</w:t>
      </w:r>
    </w:p>
    <w:p w:rsidR="00DD1620" w:rsidRPr="002A471A" w:rsidRDefault="00C651FD" w:rsidP="002A471A">
      <w:pPr>
        <w:pStyle w:val="Definition"/>
        <w:rPr>
          <w:b/>
          <w:i/>
          <w:snapToGrid/>
        </w:rPr>
      </w:pPr>
      <w:r>
        <w:rPr>
          <w:b/>
          <w:bCs/>
          <w:snapToGrid/>
        </w:rPr>
        <w:t>RMR Avoidable Costs</w:t>
      </w:r>
      <w:r w:rsidRPr="008C7398">
        <w:rPr>
          <w:b/>
          <w:bCs/>
          <w:snapToGrid/>
        </w:rPr>
        <w:t>:</w:t>
      </w:r>
      <w:r w:rsidRPr="008C7398">
        <w:rPr>
          <w:snapToGrid/>
        </w:rPr>
        <w:t xml:space="preserve"> </w:t>
      </w:r>
      <w:r>
        <w:rPr>
          <w:snapToGrid/>
        </w:rPr>
        <w:t xml:space="preserve"> The (a) fixed costs of an Initiating Generator that would be avoided if it were to exit the ISO-Administered </w:t>
      </w:r>
      <w:r w:rsidRPr="008C7398">
        <w:rPr>
          <w:snapToGrid/>
        </w:rPr>
        <w:t>Markets</w:t>
      </w:r>
      <w:r>
        <w:rPr>
          <w:snapToGrid/>
          <w:color w:val="0000FF"/>
        </w:rPr>
        <w:t xml:space="preserve"> </w:t>
      </w:r>
      <w:r>
        <w:rPr>
          <w:snapToGrid/>
        </w:rPr>
        <w:t>in the manner specified in its Generator Deactivation Notice, (b) the fixed costs of a Generator already in a Mothball Outage, an ICAP Ine</w:t>
      </w:r>
      <w:r>
        <w:rPr>
          <w:snapToGrid/>
        </w:rPr>
        <w:t>ligible Forced Outage, or that has been mothballed since before May 1, 2015 that would be incurred if it were to re-enter the ISO-Administered Markets pursuant to an RMR Agreement that would be avoided if it remained in such state, or (c) the costs necessa</w:t>
      </w:r>
      <w:r>
        <w:rPr>
          <w:snapToGrid/>
        </w:rPr>
        <w:t xml:space="preserve">ry for a new Generator proposed as a Gap Solution to enter service.  RMR Avoidable Costs include mandatory capital expenditures, fixed operating and maintenance costs, and forgone opportunity costs, determined by the ISO in accordance </w:t>
      </w:r>
      <w:r w:rsidRPr="008C7398">
        <w:rPr>
          <w:snapToGrid/>
        </w:rPr>
        <w:t>with</w:t>
      </w:r>
      <w:r>
        <w:rPr>
          <w:snapToGrid/>
          <w:color w:val="0000FF"/>
        </w:rPr>
        <w:t xml:space="preserve"> </w:t>
      </w:r>
      <w:r>
        <w:rPr>
          <w:snapToGrid/>
        </w:rPr>
        <w:t>Section 31.2.11.</w:t>
      </w:r>
      <w:r>
        <w:rPr>
          <w:snapToGrid/>
        </w:rPr>
        <w:t xml:space="preserve">8 of Attachment Y, as modified by the Commission.  RMR Avoidable Costs do not include variable costs or any other type of cost that are included in the Generator’s Energy or Ancillary Services reference levels, or that are ordinarily included in Energy or </w:t>
      </w:r>
      <w:r>
        <w:rPr>
          <w:snapToGrid/>
        </w:rPr>
        <w:t xml:space="preserve">Ancillary Services reference levels. </w:t>
      </w:r>
      <w:r>
        <w:rPr>
          <w:b/>
          <w:i/>
          <w:snapToGrid/>
        </w:rPr>
        <w:t xml:space="preserve"> </w:t>
      </w:r>
    </w:p>
    <w:p w:rsidR="00DD1620" w:rsidRPr="002A471A" w:rsidRDefault="00C651FD" w:rsidP="002A471A">
      <w:pPr>
        <w:pStyle w:val="Definition"/>
        <w:rPr>
          <w:snapToGrid/>
          <w:szCs w:val="24"/>
        </w:rPr>
      </w:pPr>
      <w:r>
        <w:rPr>
          <w:b/>
          <w:bCs/>
          <w:snapToGrid/>
          <w:szCs w:val="24"/>
        </w:rPr>
        <w:t>RMR Generator</w:t>
      </w:r>
      <w:r>
        <w:rPr>
          <w:b/>
          <w:snapToGrid/>
          <w:szCs w:val="24"/>
        </w:rPr>
        <w:t>:</w:t>
      </w:r>
      <w:r>
        <w:rPr>
          <w:snapToGrid/>
          <w:szCs w:val="24"/>
        </w:rPr>
        <w:t xml:space="preserve"> The </w:t>
      </w:r>
      <w:r w:rsidRPr="002A471A">
        <w:rPr>
          <w:snapToGrid/>
        </w:rPr>
        <w:t>Generator</w:t>
      </w:r>
      <w:r>
        <w:rPr>
          <w:snapToGrid/>
          <w:szCs w:val="24"/>
        </w:rPr>
        <w:t xml:space="preserve"> or Generators operating under an RMR Agreement.</w:t>
      </w:r>
    </w:p>
    <w:p w:rsidR="00DD1620" w:rsidRDefault="00C651FD">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w:t>
      </w:r>
      <w:r>
        <w:rPr>
          <w:rStyle w:val="DeltaViewInsertion"/>
          <w:u w:val="none"/>
        </w:rPr>
        <w:t xml:space="preserve"> RTC</w:t>
      </w:r>
      <w:r>
        <w:rPr>
          <w:rStyle w:val="DeltaViewInsertion"/>
          <w:u w:val="none"/>
          <w:vertAlign w:val="subscript"/>
        </w:rPr>
        <w:t>45</w:t>
      </w:r>
      <w:r>
        <w:rPr>
          <w:rStyle w:val="DeltaViewInsertion"/>
          <w:u w:val="none"/>
        </w:rPr>
        <w:t xml:space="preserve"> run.</w:t>
      </w:r>
    </w:p>
    <w:p w:rsidR="00DD1620" w:rsidRDefault="00C651FD">
      <w:pPr>
        <w:pStyle w:val="Definition"/>
      </w:pPr>
    </w:p>
    <w:sectPr w:rsidR="00DD1620" w:rsidSect="00E74E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41" w:rsidRDefault="00435F41" w:rsidP="00435F41">
      <w:r>
        <w:separator/>
      </w:r>
    </w:p>
  </w:endnote>
  <w:endnote w:type="continuationSeparator" w:id="0">
    <w:p w:rsidR="00435F41" w:rsidRDefault="00435F41" w:rsidP="00435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35F41">
      <w:rPr>
        <w:rFonts w:ascii="Arial" w:eastAsia="Arial" w:hAnsi="Arial" w:cs="Arial"/>
        <w:color w:val="000000"/>
        <w:sz w:val="16"/>
      </w:rPr>
      <w:fldChar w:fldCharType="begin"/>
    </w:r>
    <w:r>
      <w:rPr>
        <w:rFonts w:ascii="Arial" w:eastAsia="Arial" w:hAnsi="Arial" w:cs="Arial"/>
        <w:color w:val="000000"/>
        <w:sz w:val="16"/>
      </w:rPr>
      <w:instrText>PAGE</w:instrText>
    </w:r>
    <w:r w:rsidR="00435F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35F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5F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35F41">
      <w:rPr>
        <w:rFonts w:ascii="Arial" w:eastAsia="Arial" w:hAnsi="Arial" w:cs="Arial"/>
        <w:color w:val="000000"/>
        <w:sz w:val="16"/>
      </w:rPr>
      <w:fldChar w:fldCharType="begin"/>
    </w:r>
    <w:r>
      <w:rPr>
        <w:rFonts w:ascii="Arial" w:eastAsia="Arial" w:hAnsi="Arial" w:cs="Arial"/>
        <w:color w:val="000000"/>
        <w:sz w:val="16"/>
      </w:rPr>
      <w:instrText>PAGE</w:instrText>
    </w:r>
    <w:r w:rsidR="00435F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41" w:rsidRDefault="00435F41" w:rsidP="00435F41">
      <w:r>
        <w:separator/>
      </w:r>
    </w:p>
  </w:footnote>
  <w:footnote w:type="continuationSeparator" w:id="0">
    <w:p w:rsidR="00435F41" w:rsidRDefault="00435F41" w:rsidP="00435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rPr>
        <w:rFonts w:ascii="Arial" w:eastAsia="Arial" w:hAnsi="Arial" w:cs="Arial"/>
        <w:color w:val="000000"/>
        <w:sz w:val="16"/>
      </w:rPr>
    </w:pPr>
    <w:r>
      <w:rPr>
        <w:rFonts w:ascii="Arial" w:eastAsia="Arial" w:hAnsi="Arial" w:cs="Arial"/>
        <w:color w:val="000000"/>
        <w:sz w:val="16"/>
      </w:rPr>
      <w:t>NYISO Tariffs --&gt; Open Access Transmission Tariff (OATT) --&gt; 1 OATT</w:t>
    </w:r>
    <w:r>
      <w:rPr>
        <w:rFonts w:ascii="Arial" w:eastAsia="Arial" w:hAnsi="Arial" w:cs="Arial"/>
        <w:color w:val="000000"/>
        <w:sz w:val="16"/>
      </w:rPr>
      <w:t xml:space="preserve">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41" w:rsidRDefault="00C651F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C98708C">
      <w:start w:val="1"/>
      <w:numFmt w:val="bullet"/>
      <w:pStyle w:val="Bulletpara"/>
      <w:lvlText w:val=""/>
      <w:lvlJc w:val="left"/>
      <w:pPr>
        <w:tabs>
          <w:tab w:val="num" w:pos="720"/>
        </w:tabs>
        <w:ind w:left="720" w:hanging="360"/>
      </w:pPr>
      <w:rPr>
        <w:rFonts w:ascii="Symbol" w:hAnsi="Symbol" w:hint="default"/>
      </w:rPr>
    </w:lvl>
    <w:lvl w:ilvl="1" w:tplc="04CC4180" w:tentative="1">
      <w:start w:val="1"/>
      <w:numFmt w:val="bullet"/>
      <w:lvlText w:val="o"/>
      <w:lvlJc w:val="left"/>
      <w:pPr>
        <w:tabs>
          <w:tab w:val="num" w:pos="1440"/>
        </w:tabs>
        <w:ind w:left="1440" w:hanging="360"/>
      </w:pPr>
      <w:rPr>
        <w:rFonts w:ascii="Courier New" w:hAnsi="Courier New" w:cs="Courier New" w:hint="default"/>
      </w:rPr>
    </w:lvl>
    <w:lvl w:ilvl="2" w:tplc="4CA60C9C" w:tentative="1">
      <w:start w:val="1"/>
      <w:numFmt w:val="bullet"/>
      <w:lvlText w:val=""/>
      <w:lvlJc w:val="left"/>
      <w:pPr>
        <w:tabs>
          <w:tab w:val="num" w:pos="2160"/>
        </w:tabs>
        <w:ind w:left="2160" w:hanging="360"/>
      </w:pPr>
      <w:rPr>
        <w:rFonts w:ascii="Wingdings" w:hAnsi="Wingdings" w:hint="default"/>
      </w:rPr>
    </w:lvl>
    <w:lvl w:ilvl="3" w:tplc="FD52C1C6" w:tentative="1">
      <w:start w:val="1"/>
      <w:numFmt w:val="bullet"/>
      <w:lvlText w:val=""/>
      <w:lvlJc w:val="left"/>
      <w:pPr>
        <w:tabs>
          <w:tab w:val="num" w:pos="2880"/>
        </w:tabs>
        <w:ind w:left="2880" w:hanging="360"/>
      </w:pPr>
      <w:rPr>
        <w:rFonts w:ascii="Symbol" w:hAnsi="Symbol" w:hint="default"/>
      </w:rPr>
    </w:lvl>
    <w:lvl w:ilvl="4" w:tplc="3A146E8E" w:tentative="1">
      <w:start w:val="1"/>
      <w:numFmt w:val="bullet"/>
      <w:lvlText w:val="o"/>
      <w:lvlJc w:val="left"/>
      <w:pPr>
        <w:tabs>
          <w:tab w:val="num" w:pos="3600"/>
        </w:tabs>
        <w:ind w:left="3600" w:hanging="360"/>
      </w:pPr>
      <w:rPr>
        <w:rFonts w:ascii="Courier New" w:hAnsi="Courier New" w:cs="Courier New" w:hint="default"/>
      </w:rPr>
    </w:lvl>
    <w:lvl w:ilvl="5" w:tplc="A6360F76" w:tentative="1">
      <w:start w:val="1"/>
      <w:numFmt w:val="bullet"/>
      <w:lvlText w:val=""/>
      <w:lvlJc w:val="left"/>
      <w:pPr>
        <w:tabs>
          <w:tab w:val="num" w:pos="4320"/>
        </w:tabs>
        <w:ind w:left="4320" w:hanging="360"/>
      </w:pPr>
      <w:rPr>
        <w:rFonts w:ascii="Wingdings" w:hAnsi="Wingdings" w:hint="default"/>
      </w:rPr>
    </w:lvl>
    <w:lvl w:ilvl="6" w:tplc="914EE616" w:tentative="1">
      <w:start w:val="1"/>
      <w:numFmt w:val="bullet"/>
      <w:lvlText w:val=""/>
      <w:lvlJc w:val="left"/>
      <w:pPr>
        <w:tabs>
          <w:tab w:val="num" w:pos="5040"/>
        </w:tabs>
        <w:ind w:left="5040" w:hanging="360"/>
      </w:pPr>
      <w:rPr>
        <w:rFonts w:ascii="Symbol" w:hAnsi="Symbol" w:hint="default"/>
      </w:rPr>
    </w:lvl>
    <w:lvl w:ilvl="7" w:tplc="6A26D5E2" w:tentative="1">
      <w:start w:val="1"/>
      <w:numFmt w:val="bullet"/>
      <w:lvlText w:val="o"/>
      <w:lvlJc w:val="left"/>
      <w:pPr>
        <w:tabs>
          <w:tab w:val="num" w:pos="5760"/>
        </w:tabs>
        <w:ind w:left="5760" w:hanging="360"/>
      </w:pPr>
      <w:rPr>
        <w:rFonts w:ascii="Courier New" w:hAnsi="Courier New" w:cs="Courier New" w:hint="default"/>
      </w:rPr>
    </w:lvl>
    <w:lvl w:ilvl="8" w:tplc="B92E913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4103662">
      <w:start w:val="1"/>
      <w:numFmt w:val="bullet"/>
      <w:lvlText w:val="­"/>
      <w:lvlJc w:val="left"/>
      <w:pPr>
        <w:tabs>
          <w:tab w:val="num" w:pos="720"/>
        </w:tabs>
        <w:ind w:left="720" w:hanging="360"/>
      </w:pPr>
      <w:rPr>
        <w:rFonts w:ascii="Courier New" w:hAnsi="Courier New" w:hint="default"/>
      </w:rPr>
    </w:lvl>
    <w:lvl w:ilvl="1" w:tplc="D7E884F2" w:tentative="1">
      <w:start w:val="1"/>
      <w:numFmt w:val="bullet"/>
      <w:lvlText w:val="o"/>
      <w:lvlJc w:val="left"/>
      <w:pPr>
        <w:tabs>
          <w:tab w:val="num" w:pos="1440"/>
        </w:tabs>
        <w:ind w:left="1440" w:hanging="360"/>
      </w:pPr>
      <w:rPr>
        <w:rFonts w:ascii="Courier New" w:hAnsi="Courier New" w:cs="Courier New" w:hint="default"/>
      </w:rPr>
    </w:lvl>
    <w:lvl w:ilvl="2" w:tplc="AD5AE038" w:tentative="1">
      <w:start w:val="1"/>
      <w:numFmt w:val="bullet"/>
      <w:lvlText w:val=""/>
      <w:lvlJc w:val="left"/>
      <w:pPr>
        <w:tabs>
          <w:tab w:val="num" w:pos="2160"/>
        </w:tabs>
        <w:ind w:left="2160" w:hanging="360"/>
      </w:pPr>
      <w:rPr>
        <w:rFonts w:ascii="Wingdings" w:hAnsi="Wingdings" w:hint="default"/>
      </w:rPr>
    </w:lvl>
    <w:lvl w:ilvl="3" w:tplc="4C80634C" w:tentative="1">
      <w:start w:val="1"/>
      <w:numFmt w:val="bullet"/>
      <w:lvlText w:val=""/>
      <w:lvlJc w:val="left"/>
      <w:pPr>
        <w:tabs>
          <w:tab w:val="num" w:pos="2880"/>
        </w:tabs>
        <w:ind w:left="2880" w:hanging="360"/>
      </w:pPr>
      <w:rPr>
        <w:rFonts w:ascii="Symbol" w:hAnsi="Symbol" w:hint="default"/>
      </w:rPr>
    </w:lvl>
    <w:lvl w:ilvl="4" w:tplc="DE80866C" w:tentative="1">
      <w:start w:val="1"/>
      <w:numFmt w:val="bullet"/>
      <w:lvlText w:val="o"/>
      <w:lvlJc w:val="left"/>
      <w:pPr>
        <w:tabs>
          <w:tab w:val="num" w:pos="3600"/>
        </w:tabs>
        <w:ind w:left="3600" w:hanging="360"/>
      </w:pPr>
      <w:rPr>
        <w:rFonts w:ascii="Courier New" w:hAnsi="Courier New" w:cs="Courier New" w:hint="default"/>
      </w:rPr>
    </w:lvl>
    <w:lvl w:ilvl="5" w:tplc="5D864538" w:tentative="1">
      <w:start w:val="1"/>
      <w:numFmt w:val="bullet"/>
      <w:lvlText w:val=""/>
      <w:lvlJc w:val="left"/>
      <w:pPr>
        <w:tabs>
          <w:tab w:val="num" w:pos="4320"/>
        </w:tabs>
        <w:ind w:left="4320" w:hanging="360"/>
      </w:pPr>
      <w:rPr>
        <w:rFonts w:ascii="Wingdings" w:hAnsi="Wingdings" w:hint="default"/>
      </w:rPr>
    </w:lvl>
    <w:lvl w:ilvl="6" w:tplc="F4420AE8" w:tentative="1">
      <w:start w:val="1"/>
      <w:numFmt w:val="bullet"/>
      <w:lvlText w:val=""/>
      <w:lvlJc w:val="left"/>
      <w:pPr>
        <w:tabs>
          <w:tab w:val="num" w:pos="5040"/>
        </w:tabs>
        <w:ind w:left="5040" w:hanging="360"/>
      </w:pPr>
      <w:rPr>
        <w:rFonts w:ascii="Symbol" w:hAnsi="Symbol" w:hint="default"/>
      </w:rPr>
    </w:lvl>
    <w:lvl w:ilvl="7" w:tplc="DE366C16" w:tentative="1">
      <w:start w:val="1"/>
      <w:numFmt w:val="bullet"/>
      <w:lvlText w:val="o"/>
      <w:lvlJc w:val="left"/>
      <w:pPr>
        <w:tabs>
          <w:tab w:val="num" w:pos="5760"/>
        </w:tabs>
        <w:ind w:left="5760" w:hanging="360"/>
      </w:pPr>
      <w:rPr>
        <w:rFonts w:ascii="Courier New" w:hAnsi="Courier New" w:cs="Courier New" w:hint="default"/>
      </w:rPr>
    </w:lvl>
    <w:lvl w:ilvl="8" w:tplc="F160A67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498CC2A">
      <w:start w:val="1"/>
      <w:numFmt w:val="lowerRoman"/>
      <w:lvlText w:val="(%1)"/>
      <w:lvlJc w:val="left"/>
      <w:pPr>
        <w:tabs>
          <w:tab w:val="num" w:pos="2448"/>
        </w:tabs>
        <w:ind w:left="2448" w:hanging="648"/>
      </w:pPr>
      <w:rPr>
        <w:rFonts w:hint="default"/>
        <w:b w:val="0"/>
        <w:i w:val="0"/>
        <w:u w:val="none"/>
      </w:rPr>
    </w:lvl>
    <w:lvl w:ilvl="1" w:tplc="EE22345E" w:tentative="1">
      <w:start w:val="1"/>
      <w:numFmt w:val="lowerLetter"/>
      <w:lvlText w:val="%2."/>
      <w:lvlJc w:val="left"/>
      <w:pPr>
        <w:tabs>
          <w:tab w:val="num" w:pos="1440"/>
        </w:tabs>
        <w:ind w:left="1440" w:hanging="360"/>
      </w:pPr>
    </w:lvl>
    <w:lvl w:ilvl="2" w:tplc="58E2546C" w:tentative="1">
      <w:start w:val="1"/>
      <w:numFmt w:val="lowerRoman"/>
      <w:lvlText w:val="%3."/>
      <w:lvlJc w:val="right"/>
      <w:pPr>
        <w:tabs>
          <w:tab w:val="num" w:pos="2160"/>
        </w:tabs>
        <w:ind w:left="2160" w:hanging="180"/>
      </w:pPr>
    </w:lvl>
    <w:lvl w:ilvl="3" w:tplc="3CB2C2DA" w:tentative="1">
      <w:start w:val="1"/>
      <w:numFmt w:val="decimal"/>
      <w:lvlText w:val="%4."/>
      <w:lvlJc w:val="left"/>
      <w:pPr>
        <w:tabs>
          <w:tab w:val="num" w:pos="2880"/>
        </w:tabs>
        <w:ind w:left="2880" w:hanging="360"/>
      </w:pPr>
    </w:lvl>
    <w:lvl w:ilvl="4" w:tplc="D180DB48" w:tentative="1">
      <w:start w:val="1"/>
      <w:numFmt w:val="lowerLetter"/>
      <w:lvlText w:val="%5."/>
      <w:lvlJc w:val="left"/>
      <w:pPr>
        <w:tabs>
          <w:tab w:val="num" w:pos="3600"/>
        </w:tabs>
        <w:ind w:left="3600" w:hanging="360"/>
      </w:pPr>
    </w:lvl>
    <w:lvl w:ilvl="5" w:tplc="122C8460" w:tentative="1">
      <w:start w:val="1"/>
      <w:numFmt w:val="lowerRoman"/>
      <w:lvlText w:val="%6."/>
      <w:lvlJc w:val="right"/>
      <w:pPr>
        <w:tabs>
          <w:tab w:val="num" w:pos="4320"/>
        </w:tabs>
        <w:ind w:left="4320" w:hanging="180"/>
      </w:pPr>
    </w:lvl>
    <w:lvl w:ilvl="6" w:tplc="F58EE5B2" w:tentative="1">
      <w:start w:val="1"/>
      <w:numFmt w:val="decimal"/>
      <w:lvlText w:val="%7."/>
      <w:lvlJc w:val="left"/>
      <w:pPr>
        <w:tabs>
          <w:tab w:val="num" w:pos="5040"/>
        </w:tabs>
        <w:ind w:left="5040" w:hanging="360"/>
      </w:pPr>
    </w:lvl>
    <w:lvl w:ilvl="7" w:tplc="86A04080" w:tentative="1">
      <w:start w:val="1"/>
      <w:numFmt w:val="lowerLetter"/>
      <w:lvlText w:val="%8."/>
      <w:lvlJc w:val="left"/>
      <w:pPr>
        <w:tabs>
          <w:tab w:val="num" w:pos="5760"/>
        </w:tabs>
        <w:ind w:left="5760" w:hanging="360"/>
      </w:pPr>
    </w:lvl>
    <w:lvl w:ilvl="8" w:tplc="E3722E3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7721546">
      <w:start w:val="1"/>
      <w:numFmt w:val="bullet"/>
      <w:lvlText w:val=""/>
      <w:lvlJc w:val="left"/>
      <w:pPr>
        <w:tabs>
          <w:tab w:val="num" w:pos="5760"/>
        </w:tabs>
        <w:ind w:left="5760" w:hanging="360"/>
      </w:pPr>
      <w:rPr>
        <w:rFonts w:ascii="Symbol" w:hAnsi="Symbol" w:hint="default"/>
        <w:color w:val="auto"/>
        <w:u w:val="none"/>
      </w:rPr>
    </w:lvl>
    <w:lvl w:ilvl="1" w:tplc="82DEE96C" w:tentative="1">
      <w:start w:val="1"/>
      <w:numFmt w:val="bullet"/>
      <w:lvlText w:val="o"/>
      <w:lvlJc w:val="left"/>
      <w:pPr>
        <w:tabs>
          <w:tab w:val="num" w:pos="3600"/>
        </w:tabs>
        <w:ind w:left="3600" w:hanging="360"/>
      </w:pPr>
      <w:rPr>
        <w:rFonts w:ascii="Courier New" w:hAnsi="Courier New" w:hint="default"/>
      </w:rPr>
    </w:lvl>
    <w:lvl w:ilvl="2" w:tplc="8138BCB8" w:tentative="1">
      <w:start w:val="1"/>
      <w:numFmt w:val="bullet"/>
      <w:lvlText w:val=""/>
      <w:lvlJc w:val="left"/>
      <w:pPr>
        <w:tabs>
          <w:tab w:val="num" w:pos="4320"/>
        </w:tabs>
        <w:ind w:left="4320" w:hanging="360"/>
      </w:pPr>
      <w:rPr>
        <w:rFonts w:ascii="Wingdings" w:hAnsi="Wingdings" w:hint="default"/>
      </w:rPr>
    </w:lvl>
    <w:lvl w:ilvl="3" w:tplc="7B480844">
      <w:start w:val="1"/>
      <w:numFmt w:val="bullet"/>
      <w:lvlText w:val=""/>
      <w:lvlJc w:val="left"/>
      <w:pPr>
        <w:tabs>
          <w:tab w:val="num" w:pos="5040"/>
        </w:tabs>
        <w:ind w:left="5040" w:hanging="360"/>
      </w:pPr>
      <w:rPr>
        <w:rFonts w:ascii="Symbol" w:hAnsi="Symbol" w:hint="default"/>
      </w:rPr>
    </w:lvl>
    <w:lvl w:ilvl="4" w:tplc="826CFA64" w:tentative="1">
      <w:start w:val="1"/>
      <w:numFmt w:val="bullet"/>
      <w:lvlText w:val="o"/>
      <w:lvlJc w:val="left"/>
      <w:pPr>
        <w:tabs>
          <w:tab w:val="num" w:pos="5760"/>
        </w:tabs>
        <w:ind w:left="5760" w:hanging="360"/>
      </w:pPr>
      <w:rPr>
        <w:rFonts w:ascii="Courier New" w:hAnsi="Courier New" w:hint="default"/>
      </w:rPr>
    </w:lvl>
    <w:lvl w:ilvl="5" w:tplc="7A72FC10" w:tentative="1">
      <w:start w:val="1"/>
      <w:numFmt w:val="bullet"/>
      <w:lvlText w:val=""/>
      <w:lvlJc w:val="left"/>
      <w:pPr>
        <w:tabs>
          <w:tab w:val="num" w:pos="6480"/>
        </w:tabs>
        <w:ind w:left="6480" w:hanging="360"/>
      </w:pPr>
      <w:rPr>
        <w:rFonts w:ascii="Wingdings" w:hAnsi="Wingdings" w:hint="default"/>
      </w:rPr>
    </w:lvl>
    <w:lvl w:ilvl="6" w:tplc="BF7817BE" w:tentative="1">
      <w:start w:val="1"/>
      <w:numFmt w:val="bullet"/>
      <w:lvlText w:val=""/>
      <w:lvlJc w:val="left"/>
      <w:pPr>
        <w:tabs>
          <w:tab w:val="num" w:pos="7200"/>
        </w:tabs>
        <w:ind w:left="7200" w:hanging="360"/>
      </w:pPr>
      <w:rPr>
        <w:rFonts w:ascii="Symbol" w:hAnsi="Symbol" w:hint="default"/>
      </w:rPr>
    </w:lvl>
    <w:lvl w:ilvl="7" w:tplc="1A08FA6C" w:tentative="1">
      <w:start w:val="1"/>
      <w:numFmt w:val="bullet"/>
      <w:lvlText w:val="o"/>
      <w:lvlJc w:val="left"/>
      <w:pPr>
        <w:tabs>
          <w:tab w:val="num" w:pos="7920"/>
        </w:tabs>
        <w:ind w:left="7920" w:hanging="360"/>
      </w:pPr>
      <w:rPr>
        <w:rFonts w:ascii="Courier New" w:hAnsi="Courier New" w:hint="default"/>
      </w:rPr>
    </w:lvl>
    <w:lvl w:ilvl="8" w:tplc="A3183C6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35F41"/>
    <w:rsid w:val="00435F41"/>
    <w:rsid w:val="00C65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EC4"/>
    <w:pPr>
      <w:widowControl w:val="0"/>
    </w:pPr>
    <w:rPr>
      <w:snapToGrid w:val="0"/>
      <w:sz w:val="24"/>
    </w:rPr>
  </w:style>
  <w:style w:type="paragraph" w:styleId="Heading1">
    <w:name w:val="heading 1"/>
    <w:basedOn w:val="Normal"/>
    <w:next w:val="Normal"/>
    <w:link w:val="Heading1Char"/>
    <w:qFormat/>
    <w:rsid w:val="00E74EC4"/>
    <w:pPr>
      <w:keepNext/>
      <w:spacing w:before="240" w:after="240"/>
      <w:ind w:left="720" w:hanging="720"/>
      <w:outlineLvl w:val="0"/>
    </w:pPr>
    <w:rPr>
      <w:b/>
    </w:rPr>
  </w:style>
  <w:style w:type="paragraph" w:styleId="Heading2">
    <w:name w:val="heading 2"/>
    <w:basedOn w:val="Normal"/>
    <w:next w:val="Normal"/>
    <w:qFormat/>
    <w:rsid w:val="00E74EC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74EC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74EC4"/>
    <w:pPr>
      <w:keepNext/>
      <w:tabs>
        <w:tab w:val="left" w:pos="1800"/>
      </w:tabs>
      <w:spacing w:before="240" w:after="240"/>
      <w:ind w:left="1800" w:hanging="1080"/>
      <w:outlineLvl w:val="3"/>
    </w:pPr>
    <w:rPr>
      <w:b/>
    </w:rPr>
  </w:style>
  <w:style w:type="paragraph" w:styleId="Heading5">
    <w:name w:val="heading 5"/>
    <w:basedOn w:val="Normal"/>
    <w:next w:val="Normal"/>
    <w:qFormat/>
    <w:rsid w:val="00E74EC4"/>
    <w:pPr>
      <w:keepNext/>
      <w:spacing w:line="480" w:lineRule="auto"/>
      <w:ind w:left="1440" w:right="-90" w:hanging="720"/>
      <w:outlineLvl w:val="4"/>
    </w:pPr>
    <w:rPr>
      <w:b/>
    </w:rPr>
  </w:style>
  <w:style w:type="paragraph" w:styleId="Heading6">
    <w:name w:val="heading 6"/>
    <w:basedOn w:val="Normal"/>
    <w:next w:val="Normal"/>
    <w:qFormat/>
    <w:rsid w:val="00E74EC4"/>
    <w:pPr>
      <w:keepNext/>
      <w:spacing w:line="480" w:lineRule="auto"/>
      <w:ind w:left="1080" w:right="-90" w:hanging="360"/>
      <w:outlineLvl w:val="5"/>
    </w:pPr>
    <w:rPr>
      <w:b/>
    </w:rPr>
  </w:style>
  <w:style w:type="paragraph" w:styleId="Heading7">
    <w:name w:val="heading 7"/>
    <w:basedOn w:val="Normal"/>
    <w:next w:val="Normal"/>
    <w:qFormat/>
    <w:rsid w:val="00E74EC4"/>
    <w:pPr>
      <w:keepNext/>
      <w:spacing w:line="480" w:lineRule="auto"/>
      <w:ind w:left="720" w:right="630"/>
      <w:outlineLvl w:val="6"/>
    </w:pPr>
    <w:rPr>
      <w:b/>
    </w:rPr>
  </w:style>
  <w:style w:type="paragraph" w:styleId="Heading8">
    <w:name w:val="heading 8"/>
    <w:basedOn w:val="Normal"/>
    <w:next w:val="Normal"/>
    <w:qFormat/>
    <w:rsid w:val="00E74EC4"/>
    <w:pPr>
      <w:keepNext/>
      <w:spacing w:line="480" w:lineRule="auto"/>
      <w:ind w:left="720" w:right="-90"/>
      <w:outlineLvl w:val="7"/>
    </w:pPr>
    <w:rPr>
      <w:b/>
    </w:rPr>
  </w:style>
  <w:style w:type="paragraph" w:styleId="Heading9">
    <w:name w:val="heading 9"/>
    <w:basedOn w:val="Normal"/>
    <w:next w:val="Normal"/>
    <w:qFormat/>
    <w:rsid w:val="00E74EC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4EC4"/>
    <w:rPr>
      <w:b/>
      <w:snapToGrid w:val="0"/>
      <w:sz w:val="24"/>
      <w:lang w:val="en-US" w:eastAsia="en-US" w:bidi="ar-SA"/>
    </w:rPr>
  </w:style>
  <w:style w:type="character" w:customStyle="1" w:styleId="Heading3Char">
    <w:name w:val="Heading 3 Char"/>
    <w:link w:val="Heading3"/>
    <w:rsid w:val="00E74EC4"/>
    <w:rPr>
      <w:b/>
      <w:snapToGrid w:val="0"/>
      <w:sz w:val="24"/>
      <w:lang w:val="en-US" w:eastAsia="en-US" w:bidi="ar-SA"/>
    </w:rPr>
  </w:style>
  <w:style w:type="character" w:styleId="FootnoteReference">
    <w:name w:val="footnote reference"/>
    <w:semiHidden/>
    <w:rsid w:val="00E74EC4"/>
  </w:style>
  <w:style w:type="paragraph" w:customStyle="1" w:styleId="Definition">
    <w:name w:val="Definition"/>
    <w:basedOn w:val="Normal"/>
    <w:rsid w:val="00E74EC4"/>
    <w:pPr>
      <w:widowControl/>
      <w:spacing w:before="240" w:after="240"/>
    </w:pPr>
  </w:style>
  <w:style w:type="paragraph" w:customStyle="1" w:styleId="Definitionindent">
    <w:name w:val="Definition indent"/>
    <w:basedOn w:val="Definition"/>
    <w:rsid w:val="00E74EC4"/>
    <w:pPr>
      <w:spacing w:before="120" w:after="120"/>
      <w:ind w:left="720"/>
    </w:pPr>
  </w:style>
  <w:style w:type="paragraph" w:customStyle="1" w:styleId="Bodypara">
    <w:name w:val="Body para"/>
    <w:basedOn w:val="Normal"/>
    <w:rsid w:val="00E74EC4"/>
    <w:pPr>
      <w:spacing w:line="480" w:lineRule="auto"/>
      <w:ind w:firstLine="720"/>
    </w:pPr>
  </w:style>
  <w:style w:type="paragraph" w:customStyle="1" w:styleId="alphapara">
    <w:name w:val="alpha para"/>
    <w:basedOn w:val="Bodypara"/>
    <w:rsid w:val="00E74EC4"/>
    <w:pPr>
      <w:ind w:left="1440" w:hanging="720"/>
    </w:pPr>
  </w:style>
  <w:style w:type="paragraph" w:styleId="Header">
    <w:name w:val="header"/>
    <w:basedOn w:val="Normal"/>
    <w:link w:val="HeaderChar"/>
    <w:rsid w:val="00E74EC4"/>
    <w:pPr>
      <w:widowControl/>
      <w:tabs>
        <w:tab w:val="center" w:pos="4680"/>
        <w:tab w:val="right" w:pos="9360"/>
      </w:tabs>
    </w:pPr>
    <w:rPr>
      <w:snapToGrid/>
      <w:szCs w:val="24"/>
    </w:rPr>
  </w:style>
  <w:style w:type="paragraph" w:styleId="Date">
    <w:name w:val="Date"/>
    <w:basedOn w:val="Normal"/>
    <w:next w:val="Normal"/>
    <w:rsid w:val="00E74EC4"/>
    <w:pPr>
      <w:widowControl/>
    </w:pPr>
  </w:style>
  <w:style w:type="paragraph" w:customStyle="1" w:styleId="TOCheading">
    <w:name w:val="TOC heading"/>
    <w:basedOn w:val="Normal"/>
    <w:rsid w:val="00E74EC4"/>
    <w:pPr>
      <w:spacing w:before="240" w:after="240"/>
    </w:pPr>
    <w:rPr>
      <w:b/>
    </w:rPr>
  </w:style>
  <w:style w:type="paragraph" w:styleId="DocumentMap">
    <w:name w:val="Document Map"/>
    <w:basedOn w:val="Normal"/>
    <w:semiHidden/>
    <w:rsid w:val="00E74EC4"/>
    <w:pPr>
      <w:shd w:val="clear" w:color="auto" w:fill="000080"/>
    </w:pPr>
    <w:rPr>
      <w:rFonts w:ascii="Tahoma" w:hAnsi="Tahoma" w:cs="Tahoma"/>
      <w:sz w:val="20"/>
    </w:rPr>
  </w:style>
  <w:style w:type="paragraph" w:styleId="BalloonText">
    <w:name w:val="Balloon Text"/>
    <w:basedOn w:val="Normal"/>
    <w:semiHidden/>
    <w:rsid w:val="00E74EC4"/>
    <w:rPr>
      <w:rFonts w:ascii="Tahoma" w:hAnsi="Tahoma" w:cs="Tahoma"/>
      <w:sz w:val="16"/>
      <w:szCs w:val="16"/>
    </w:rPr>
  </w:style>
  <w:style w:type="paragraph" w:customStyle="1" w:styleId="Footers">
    <w:name w:val="Footers"/>
    <w:basedOn w:val="Heading1"/>
    <w:rsid w:val="00E74EC4"/>
    <w:pPr>
      <w:tabs>
        <w:tab w:val="left" w:pos="1440"/>
        <w:tab w:val="left" w:pos="7020"/>
        <w:tab w:val="right" w:pos="9360"/>
      </w:tabs>
    </w:pPr>
    <w:rPr>
      <w:b w:val="0"/>
      <w:sz w:val="20"/>
    </w:rPr>
  </w:style>
  <w:style w:type="paragraph" w:customStyle="1" w:styleId="subhead">
    <w:name w:val="subhead"/>
    <w:basedOn w:val="Heading4"/>
    <w:rsid w:val="00E74EC4"/>
    <w:pPr>
      <w:tabs>
        <w:tab w:val="clear" w:pos="1800"/>
      </w:tabs>
      <w:ind w:left="720" w:firstLine="0"/>
    </w:pPr>
  </w:style>
  <w:style w:type="paragraph" w:customStyle="1" w:styleId="alphaheading">
    <w:name w:val="alpha heading"/>
    <w:basedOn w:val="Normal"/>
    <w:rsid w:val="00E74EC4"/>
    <w:pPr>
      <w:keepNext/>
      <w:tabs>
        <w:tab w:val="left" w:pos="1440"/>
      </w:tabs>
      <w:spacing w:before="240" w:after="240"/>
      <w:ind w:left="1440" w:hanging="720"/>
    </w:pPr>
    <w:rPr>
      <w:b/>
      <w:szCs w:val="24"/>
    </w:rPr>
  </w:style>
  <w:style w:type="paragraph" w:customStyle="1" w:styleId="romannumeralpara">
    <w:name w:val="roman numeral para"/>
    <w:basedOn w:val="Normal"/>
    <w:rsid w:val="00E74EC4"/>
    <w:pPr>
      <w:spacing w:line="480" w:lineRule="auto"/>
      <w:ind w:left="1440" w:hanging="720"/>
    </w:pPr>
  </w:style>
  <w:style w:type="paragraph" w:customStyle="1" w:styleId="Bulletpara">
    <w:name w:val="Bullet para"/>
    <w:basedOn w:val="Normal"/>
    <w:rsid w:val="00E74EC4"/>
    <w:pPr>
      <w:widowControl/>
      <w:numPr>
        <w:numId w:val="10"/>
      </w:numPr>
      <w:tabs>
        <w:tab w:val="left" w:pos="900"/>
      </w:tabs>
      <w:spacing w:before="120" w:after="120"/>
    </w:pPr>
    <w:rPr>
      <w:szCs w:val="24"/>
    </w:rPr>
  </w:style>
  <w:style w:type="paragraph" w:styleId="TOC1">
    <w:name w:val="toc 1"/>
    <w:basedOn w:val="Normal"/>
    <w:next w:val="Normal"/>
    <w:semiHidden/>
    <w:rsid w:val="00E74EC4"/>
  </w:style>
  <w:style w:type="paragraph" w:customStyle="1" w:styleId="Tarifftitle">
    <w:name w:val="Tariff title"/>
    <w:basedOn w:val="Normal"/>
    <w:rsid w:val="00E74EC4"/>
    <w:rPr>
      <w:b/>
      <w:sz w:val="28"/>
      <w:szCs w:val="28"/>
    </w:rPr>
  </w:style>
  <w:style w:type="paragraph" w:styleId="TOC2">
    <w:name w:val="toc 2"/>
    <w:basedOn w:val="Normal"/>
    <w:next w:val="Normal"/>
    <w:semiHidden/>
    <w:rsid w:val="00E74EC4"/>
    <w:pPr>
      <w:ind w:left="240"/>
    </w:pPr>
  </w:style>
  <w:style w:type="character" w:styleId="Hyperlink">
    <w:name w:val="Hyperlink"/>
    <w:rsid w:val="00E74EC4"/>
    <w:rPr>
      <w:color w:val="0000FF"/>
      <w:u w:val="single"/>
    </w:rPr>
  </w:style>
  <w:style w:type="paragraph" w:styleId="TOC3">
    <w:name w:val="toc 3"/>
    <w:basedOn w:val="Normal"/>
    <w:next w:val="Normal"/>
    <w:semiHidden/>
    <w:rsid w:val="00E74EC4"/>
    <w:pPr>
      <w:ind w:left="480"/>
    </w:pPr>
  </w:style>
  <w:style w:type="paragraph" w:styleId="TOC4">
    <w:name w:val="toc 4"/>
    <w:basedOn w:val="Normal"/>
    <w:next w:val="Normal"/>
    <w:semiHidden/>
    <w:rsid w:val="00E74EC4"/>
    <w:pPr>
      <w:ind w:left="720"/>
    </w:pPr>
  </w:style>
  <w:style w:type="paragraph" w:styleId="TOC5">
    <w:name w:val="toc 5"/>
    <w:basedOn w:val="Normal"/>
    <w:next w:val="Normal"/>
    <w:semiHidden/>
    <w:rsid w:val="00E74EC4"/>
    <w:pPr>
      <w:widowControl/>
      <w:ind w:left="960"/>
    </w:pPr>
    <w:rPr>
      <w:snapToGrid/>
      <w:szCs w:val="24"/>
    </w:rPr>
  </w:style>
  <w:style w:type="paragraph" w:styleId="TOC6">
    <w:name w:val="toc 6"/>
    <w:basedOn w:val="Normal"/>
    <w:next w:val="Normal"/>
    <w:semiHidden/>
    <w:rsid w:val="00E74EC4"/>
    <w:pPr>
      <w:widowControl/>
      <w:ind w:left="1200"/>
    </w:pPr>
    <w:rPr>
      <w:snapToGrid/>
      <w:szCs w:val="24"/>
    </w:rPr>
  </w:style>
  <w:style w:type="paragraph" w:styleId="TOC7">
    <w:name w:val="toc 7"/>
    <w:basedOn w:val="Normal"/>
    <w:next w:val="Normal"/>
    <w:semiHidden/>
    <w:rsid w:val="00E74EC4"/>
    <w:pPr>
      <w:widowControl/>
      <w:ind w:left="1440"/>
    </w:pPr>
    <w:rPr>
      <w:snapToGrid/>
      <w:szCs w:val="24"/>
    </w:rPr>
  </w:style>
  <w:style w:type="paragraph" w:styleId="TOC8">
    <w:name w:val="toc 8"/>
    <w:basedOn w:val="Normal"/>
    <w:next w:val="Normal"/>
    <w:semiHidden/>
    <w:rsid w:val="00E74EC4"/>
    <w:pPr>
      <w:widowControl/>
      <w:ind w:left="1680"/>
    </w:pPr>
    <w:rPr>
      <w:snapToGrid/>
      <w:szCs w:val="24"/>
    </w:rPr>
  </w:style>
  <w:style w:type="paragraph" w:styleId="TOC9">
    <w:name w:val="toc 9"/>
    <w:basedOn w:val="Normal"/>
    <w:next w:val="Normal"/>
    <w:semiHidden/>
    <w:rsid w:val="00E74EC4"/>
    <w:pPr>
      <w:widowControl/>
      <w:ind w:left="1920"/>
    </w:pPr>
    <w:rPr>
      <w:snapToGrid/>
      <w:szCs w:val="24"/>
    </w:rPr>
  </w:style>
  <w:style w:type="paragraph" w:customStyle="1" w:styleId="a">
    <w:name w:val="_"/>
    <w:basedOn w:val="Normal"/>
    <w:rsid w:val="00E74EC4"/>
    <w:pPr>
      <w:ind w:left="1800" w:hanging="630"/>
    </w:pPr>
  </w:style>
  <w:style w:type="character" w:styleId="CommentReference">
    <w:name w:val="annotation reference"/>
    <w:semiHidden/>
    <w:rsid w:val="00E74EC4"/>
    <w:rPr>
      <w:sz w:val="16"/>
      <w:szCs w:val="16"/>
    </w:rPr>
  </w:style>
  <w:style w:type="paragraph" w:styleId="CommentText">
    <w:name w:val="annotation text"/>
    <w:basedOn w:val="Normal"/>
    <w:semiHidden/>
    <w:rsid w:val="00E74EC4"/>
    <w:rPr>
      <w:sz w:val="20"/>
    </w:rPr>
  </w:style>
  <w:style w:type="paragraph" w:styleId="CommentSubject">
    <w:name w:val="annotation subject"/>
    <w:basedOn w:val="CommentText"/>
    <w:next w:val="CommentText"/>
    <w:semiHidden/>
    <w:rsid w:val="00E74EC4"/>
    <w:rPr>
      <w:b/>
      <w:bCs/>
    </w:rPr>
  </w:style>
  <w:style w:type="paragraph" w:styleId="Footer">
    <w:name w:val="footer"/>
    <w:basedOn w:val="Normal"/>
    <w:rsid w:val="00E74EC4"/>
    <w:pPr>
      <w:tabs>
        <w:tab w:val="center" w:pos="4320"/>
        <w:tab w:val="right" w:pos="8640"/>
      </w:tabs>
    </w:pPr>
  </w:style>
  <w:style w:type="character" w:styleId="PageNumber">
    <w:name w:val="page number"/>
    <w:basedOn w:val="DefaultParagraphFont"/>
    <w:rsid w:val="00E74EC4"/>
  </w:style>
  <w:style w:type="paragraph" w:styleId="BodyTextIndent">
    <w:name w:val="Body Text Indent"/>
    <w:aliases w:val="bi"/>
    <w:basedOn w:val="Normal"/>
    <w:rsid w:val="00E74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E74EC4"/>
    <w:rPr>
      <w:spacing w:val="0"/>
      <w:u w:val="double"/>
    </w:rPr>
  </w:style>
  <w:style w:type="paragraph" w:styleId="FootnoteText">
    <w:name w:val="footnote text"/>
    <w:basedOn w:val="Normal"/>
    <w:link w:val="FootnoteTextChar"/>
    <w:rsid w:val="00E74EC4"/>
    <w:rPr>
      <w:sz w:val="20"/>
    </w:rPr>
  </w:style>
  <w:style w:type="character" w:customStyle="1" w:styleId="FootnoteTextChar">
    <w:name w:val="Footnote Text Char"/>
    <w:link w:val="FootnoteText"/>
    <w:rsid w:val="00E74EC4"/>
    <w:rPr>
      <w:snapToGrid/>
    </w:rPr>
  </w:style>
  <w:style w:type="character" w:customStyle="1" w:styleId="HeaderChar">
    <w:name w:val="Header Char"/>
    <w:basedOn w:val="DefaultParagraphFont"/>
    <w:link w:val="Header"/>
    <w:rsid w:val="006F2C9F"/>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E307-91CC-47EF-BC14-2CE370FF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