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202EB3"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202EB3"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202EB3"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202EB3"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202EB3" w:rsidP="00E05469">
      <w:pPr>
        <w:pStyle w:val="subhead"/>
        <w:widowControl w:val="0"/>
        <w:ind w:left="0"/>
        <w:jc w:val="center"/>
      </w:pPr>
      <w:r w:rsidRPr="00BD7AE4">
        <w:t>Formula N-1</w:t>
      </w:r>
    </w:p>
    <w:p w:rsidR="005B6560" w:rsidRPr="00915DF5" w:rsidRDefault="008722A9">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202EB3">
      <w:pPr>
        <w:spacing w:after="120"/>
        <w:ind w:firstLine="480"/>
      </w:pPr>
    </w:p>
    <w:p w:rsidR="00EE56BC" w:rsidRDefault="00202EB3">
      <w:pPr>
        <w:spacing w:after="120"/>
        <w:ind w:firstLine="480"/>
      </w:pPr>
      <w:r>
        <w:t>Where,</w:t>
      </w:r>
    </w:p>
    <w:tbl>
      <w:tblPr>
        <w:tblW w:w="9120" w:type="dxa"/>
        <w:tblInd w:w="468" w:type="dxa"/>
        <w:tblLayout w:type="fixed"/>
        <w:tblLook w:val="0000"/>
      </w:tblPr>
      <w:tblGrid>
        <w:gridCol w:w="2520"/>
        <w:gridCol w:w="240"/>
        <w:gridCol w:w="6360"/>
      </w:tblGrid>
      <w:tr w:rsidR="008722A9" w:rsidTr="00851486">
        <w:tc>
          <w:tcPr>
            <w:tcW w:w="2520" w:type="dxa"/>
          </w:tcPr>
          <w:p w:rsidR="00EE56BC" w:rsidRDefault="00202EB3">
            <w:pPr>
              <w:spacing w:after="120"/>
            </w:pPr>
            <w:r>
              <w:t>NetCongestionRents</w:t>
            </w:r>
            <w:r>
              <w:rPr>
                <w:vertAlign w:val="subscript"/>
              </w:rPr>
              <w:t>h</w:t>
            </w:r>
          </w:p>
        </w:tc>
        <w:tc>
          <w:tcPr>
            <w:tcW w:w="240" w:type="dxa"/>
          </w:tcPr>
          <w:p w:rsidR="00EE56BC" w:rsidRDefault="00202EB3">
            <w:pPr>
              <w:spacing w:after="120"/>
            </w:pPr>
            <w:r>
              <w:t>=</w:t>
            </w:r>
          </w:p>
        </w:tc>
        <w:tc>
          <w:tcPr>
            <w:tcW w:w="6360" w:type="dxa"/>
          </w:tcPr>
          <w:p w:rsidR="00EE56BC" w:rsidRDefault="00202EB3">
            <w:pPr>
              <w:spacing w:after="120"/>
            </w:pPr>
            <w:r>
              <w:t xml:space="preserve">The total Net Congestion </w:t>
            </w:r>
            <w:r>
              <w:t xml:space="preserve">Rents for hour </w:t>
            </w:r>
            <w:r>
              <w:rPr>
                <w:i/>
                <w:iCs/>
              </w:rPr>
              <w:t>h</w:t>
            </w:r>
            <w:r>
              <w:t xml:space="preserve"> of the Day-Ahead Market</w:t>
            </w:r>
          </w:p>
        </w:tc>
      </w:tr>
      <w:tr w:rsidR="008722A9" w:rsidTr="00851486">
        <w:tc>
          <w:tcPr>
            <w:tcW w:w="2520" w:type="dxa"/>
          </w:tcPr>
          <w:p w:rsidR="00EE56BC" w:rsidRDefault="00202EB3">
            <w:pPr>
              <w:spacing w:after="120"/>
            </w:pPr>
            <w:r>
              <w:t>h</w:t>
            </w:r>
          </w:p>
        </w:tc>
        <w:tc>
          <w:tcPr>
            <w:tcW w:w="240" w:type="dxa"/>
          </w:tcPr>
          <w:p w:rsidR="00EE56BC" w:rsidRDefault="00202EB3">
            <w:pPr>
              <w:spacing w:after="120"/>
            </w:pPr>
            <w:r>
              <w:t>=</w:t>
            </w:r>
          </w:p>
        </w:tc>
        <w:tc>
          <w:tcPr>
            <w:tcW w:w="6360" w:type="dxa"/>
          </w:tcPr>
          <w:p w:rsidR="00EE56BC" w:rsidRDefault="00202EB3">
            <w:pPr>
              <w:spacing w:after="120"/>
            </w:pPr>
            <w:r>
              <w:t>An hour of the Day-Ahead Market</w:t>
            </w:r>
          </w:p>
        </w:tc>
      </w:tr>
      <w:tr w:rsidR="008722A9" w:rsidTr="00851486">
        <w:tc>
          <w:tcPr>
            <w:tcW w:w="2520" w:type="dxa"/>
          </w:tcPr>
          <w:p w:rsidR="00EE56BC" w:rsidRDefault="00202EB3">
            <w:pPr>
              <w:spacing w:after="120"/>
            </w:pPr>
            <w:r>
              <w:t>Congestion Rents</w:t>
            </w:r>
            <w:r>
              <w:rPr>
                <w:vertAlign w:val="subscript"/>
              </w:rPr>
              <w:t>h</w:t>
            </w:r>
          </w:p>
        </w:tc>
        <w:tc>
          <w:tcPr>
            <w:tcW w:w="240" w:type="dxa"/>
          </w:tcPr>
          <w:p w:rsidR="00EE56BC" w:rsidRDefault="00202EB3">
            <w:pPr>
              <w:spacing w:after="120"/>
            </w:pPr>
            <w:r>
              <w:t>=</w:t>
            </w:r>
          </w:p>
        </w:tc>
        <w:tc>
          <w:tcPr>
            <w:tcW w:w="6360" w:type="dxa"/>
          </w:tcPr>
          <w:p w:rsidR="00EE56BC" w:rsidRDefault="00202EB3">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8722A9" w:rsidTr="00851486">
        <w:tc>
          <w:tcPr>
            <w:tcW w:w="2520" w:type="dxa"/>
          </w:tcPr>
          <w:p w:rsidR="00EE56BC" w:rsidRDefault="00202EB3">
            <w:pPr>
              <w:spacing w:after="120"/>
            </w:pPr>
            <w:r>
              <w:t>TCC Payments</w:t>
            </w:r>
            <w:r>
              <w:rPr>
                <w:vertAlign w:val="subscript"/>
              </w:rPr>
              <w:t>h</w:t>
            </w:r>
          </w:p>
        </w:tc>
        <w:tc>
          <w:tcPr>
            <w:tcW w:w="240" w:type="dxa"/>
          </w:tcPr>
          <w:p w:rsidR="00EE56BC" w:rsidRDefault="00202EB3">
            <w:pPr>
              <w:spacing w:after="120"/>
            </w:pPr>
            <w:r>
              <w:t>=</w:t>
            </w:r>
          </w:p>
        </w:tc>
        <w:tc>
          <w:tcPr>
            <w:tcW w:w="6360" w:type="dxa"/>
          </w:tcPr>
          <w:p w:rsidR="00EE56BC" w:rsidRDefault="00202EB3">
            <w:pPr>
              <w:spacing w:after="120"/>
            </w:pPr>
            <w:r>
              <w:t xml:space="preserve">The sum for all TCCs of all payments and charges made pursuant to Section 20.2.3 to Primary Holders of TCCs in hour </w:t>
            </w:r>
            <w:r>
              <w:rPr>
                <w:i/>
              </w:rPr>
              <w:t>h</w:t>
            </w:r>
          </w:p>
        </w:tc>
      </w:tr>
      <w:tr w:rsidR="008722A9" w:rsidTr="00851486">
        <w:tc>
          <w:tcPr>
            <w:tcW w:w="2520" w:type="dxa"/>
          </w:tcPr>
          <w:p w:rsidR="00EE56BC" w:rsidRDefault="00202EB3">
            <w:pPr>
              <w:spacing w:after="120"/>
            </w:pPr>
            <w:r>
              <w:lastRenderedPageBreak/>
              <w:t>O/R-t-S&amp;U/D CRSC&amp;CRSP</w:t>
            </w:r>
            <w:r>
              <w:rPr>
                <w:vertAlign w:val="subscript"/>
              </w:rPr>
              <w:t>h</w:t>
            </w:r>
          </w:p>
        </w:tc>
        <w:tc>
          <w:tcPr>
            <w:tcW w:w="240" w:type="dxa"/>
          </w:tcPr>
          <w:p w:rsidR="00EE56BC" w:rsidRDefault="00202EB3">
            <w:pPr>
              <w:spacing w:after="120"/>
            </w:pPr>
            <w:r>
              <w:t>=</w:t>
            </w:r>
          </w:p>
        </w:tc>
        <w:tc>
          <w:tcPr>
            <w:tcW w:w="6360" w:type="dxa"/>
          </w:tcPr>
          <w:p w:rsidR="00EE56BC" w:rsidRDefault="00202EB3">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202EB3">
      <w:pPr>
        <w:rPr>
          <w:u w:val="double"/>
        </w:rPr>
      </w:pPr>
    </w:p>
    <w:p w:rsidR="00EE56BC" w:rsidRDefault="00202EB3" w:rsidP="00EE56BC">
      <w:pPr>
        <w:spacing w:line="480" w:lineRule="auto"/>
      </w:pPr>
      <w:r>
        <w:t xml:space="preserve">The ISO shall allocate the Net Congestion Rents calculated in </w:t>
      </w:r>
      <w:r>
        <w:t>each hour to Transmission Owners pursuant to Section 20.2.5.</w:t>
      </w:r>
    </w:p>
    <w:p w:rsidR="00EE56BC" w:rsidRDefault="00202EB3" w:rsidP="00EE56BC">
      <w:pPr>
        <w:pStyle w:val="Heading3"/>
      </w:pPr>
      <w:bookmarkStart w:id="5" w:name="_Toc263346013"/>
      <w:r>
        <w:t>20.2.2</w:t>
      </w:r>
      <w:r>
        <w:tab/>
        <w:t>Congestion Rents Charged in the Day-Ahead Market</w:t>
      </w:r>
      <w:bookmarkEnd w:id="5"/>
    </w:p>
    <w:p w:rsidR="00EE56BC" w:rsidRDefault="00202EB3"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202EB3"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202EB3" w:rsidP="00E05469">
      <w:pPr>
        <w:pStyle w:val="subhead"/>
        <w:widowControl w:val="0"/>
        <w:ind w:left="0"/>
        <w:jc w:val="center"/>
      </w:pPr>
      <w:r>
        <w:t>Formula N-2</w:t>
      </w:r>
    </w:p>
    <w:p w:rsidR="00BA669B" w:rsidRDefault="008722A9"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202EB3" w:rsidP="00915DF5">
      <w:pPr>
        <w:ind w:firstLine="450"/>
      </w:pPr>
      <w:r>
        <w:t>W</w:t>
      </w:r>
      <w:r>
        <w:t>here,</w:t>
      </w:r>
    </w:p>
    <w:p w:rsidR="00BA669B" w:rsidRDefault="00202EB3"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8722A9" w:rsidTr="00851486">
        <w:tc>
          <w:tcPr>
            <w:tcW w:w="2504" w:type="dxa"/>
          </w:tcPr>
          <w:p w:rsidR="00BA669B" w:rsidRDefault="00202EB3" w:rsidP="00BA669B">
            <w:r w:rsidRPr="00915DF5">
              <w:t>MWh</w:t>
            </w:r>
            <w:r w:rsidRPr="00915DF5">
              <w:rPr>
                <w:vertAlign w:val="subscript"/>
              </w:rPr>
              <w:t>W,h</w:t>
            </w:r>
          </w:p>
        </w:tc>
        <w:tc>
          <w:tcPr>
            <w:tcW w:w="352" w:type="dxa"/>
          </w:tcPr>
          <w:p w:rsidR="00BA669B" w:rsidRDefault="00202EB3" w:rsidP="00BA669B">
            <w:r>
              <w:t>=</w:t>
            </w:r>
          </w:p>
        </w:tc>
        <w:tc>
          <w:tcPr>
            <w:tcW w:w="6252" w:type="dxa"/>
          </w:tcPr>
          <w:p w:rsidR="00BA669B" w:rsidRDefault="00202EB3"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8722A9" w:rsidTr="00851486">
        <w:tc>
          <w:tcPr>
            <w:tcW w:w="2504" w:type="dxa"/>
          </w:tcPr>
          <w:p w:rsidR="00BA669B" w:rsidRDefault="00202EB3" w:rsidP="00BA669B">
            <w:r w:rsidRPr="00915DF5">
              <w:t>CCPOW</w:t>
            </w:r>
            <w:r w:rsidRPr="00915DF5">
              <w:rPr>
                <w:vertAlign w:val="subscript"/>
              </w:rPr>
              <w:t>W,h</w:t>
            </w:r>
          </w:p>
        </w:tc>
        <w:tc>
          <w:tcPr>
            <w:tcW w:w="352" w:type="dxa"/>
          </w:tcPr>
          <w:p w:rsidR="00BA669B" w:rsidRDefault="00202EB3" w:rsidP="00BA669B">
            <w:r>
              <w:t>=</w:t>
            </w:r>
          </w:p>
        </w:tc>
        <w:tc>
          <w:tcPr>
            <w:tcW w:w="6252" w:type="dxa"/>
          </w:tcPr>
          <w:p w:rsidR="00BA669B" w:rsidRDefault="00202EB3" w:rsidP="00BA669B">
            <w:r w:rsidRPr="00915DF5">
              <w:t xml:space="preserve">Congestion Component, in $/MWh, at the Point of Withdrawal for Energy withdrawn in hour </w:t>
            </w:r>
            <w:r w:rsidRPr="00915DF5">
              <w:rPr>
                <w:i/>
                <w:iCs/>
              </w:rPr>
              <w:t>h</w:t>
            </w:r>
            <w:r w:rsidRPr="00915DF5">
              <w:t xml:space="preserve"> pursuant to schedu</w:t>
            </w:r>
            <w:r w:rsidRPr="00915DF5">
              <w:t xml:space="preserve">le </w:t>
            </w:r>
            <w:r w:rsidRPr="00915DF5">
              <w:rPr>
                <w:i/>
              </w:rPr>
              <w:t>W</w:t>
            </w:r>
          </w:p>
        </w:tc>
      </w:tr>
      <w:tr w:rsidR="008722A9" w:rsidTr="00851486">
        <w:tc>
          <w:tcPr>
            <w:tcW w:w="2504" w:type="dxa"/>
          </w:tcPr>
          <w:p w:rsidR="00BA669B" w:rsidRDefault="00202EB3" w:rsidP="00BA669B">
            <w:r w:rsidRPr="00915DF5">
              <w:t>MWh</w:t>
            </w:r>
            <w:r w:rsidRPr="00915DF5">
              <w:rPr>
                <w:vertAlign w:val="subscript"/>
              </w:rPr>
              <w:t>I,h</w:t>
            </w:r>
          </w:p>
        </w:tc>
        <w:tc>
          <w:tcPr>
            <w:tcW w:w="352" w:type="dxa"/>
          </w:tcPr>
          <w:p w:rsidR="00BA669B" w:rsidRDefault="00202EB3" w:rsidP="00BA669B">
            <w:r>
              <w:t>=</w:t>
            </w:r>
          </w:p>
        </w:tc>
        <w:tc>
          <w:tcPr>
            <w:tcW w:w="6252" w:type="dxa"/>
          </w:tcPr>
          <w:p w:rsidR="00BA669B" w:rsidRDefault="00202EB3" w:rsidP="00BA669B">
            <w:r w:rsidRPr="00915DF5">
              <w:t xml:space="preserve">Energy, in MWh, scheduled to be injected in hour </w:t>
            </w:r>
            <w:r w:rsidRPr="00915DF5">
              <w:rPr>
                <w:i/>
                <w:iCs/>
              </w:rPr>
              <w:t>h</w:t>
            </w:r>
            <w:r w:rsidRPr="00915DF5">
              <w:t xml:space="preserve"> pursuant </w:t>
            </w:r>
            <w:r w:rsidRPr="00915DF5">
              <w:lastRenderedPageBreak/>
              <w:t xml:space="preserve">to Day-Ahead Market schedule </w:t>
            </w:r>
            <w:r w:rsidRPr="00915DF5">
              <w:rPr>
                <w:i/>
              </w:rPr>
              <w:t>I</w:t>
            </w:r>
          </w:p>
        </w:tc>
      </w:tr>
      <w:tr w:rsidR="008722A9" w:rsidTr="00851486">
        <w:tc>
          <w:tcPr>
            <w:tcW w:w="2504" w:type="dxa"/>
          </w:tcPr>
          <w:p w:rsidR="00BA669B" w:rsidRDefault="00202EB3" w:rsidP="00BA669B">
            <w:r w:rsidRPr="00915DF5">
              <w:lastRenderedPageBreak/>
              <w:t>CCPOI</w:t>
            </w:r>
            <w:r w:rsidRPr="00915DF5">
              <w:rPr>
                <w:vertAlign w:val="subscript"/>
              </w:rPr>
              <w:t>I,h</w:t>
            </w:r>
          </w:p>
        </w:tc>
        <w:tc>
          <w:tcPr>
            <w:tcW w:w="352" w:type="dxa"/>
          </w:tcPr>
          <w:p w:rsidR="00BA669B" w:rsidRDefault="00202EB3" w:rsidP="00BA669B">
            <w:r>
              <w:t>=</w:t>
            </w:r>
          </w:p>
        </w:tc>
        <w:tc>
          <w:tcPr>
            <w:tcW w:w="6252" w:type="dxa"/>
          </w:tcPr>
          <w:p w:rsidR="00BA669B" w:rsidRDefault="00202EB3"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202EB3" w:rsidP="00BA669B"/>
    <w:p w:rsidR="00EE56BC" w:rsidRDefault="00202EB3"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202EB3">
      <w:pPr>
        <w:spacing w:line="480" w:lineRule="auto"/>
      </w:pPr>
      <w:r>
        <w:t xml:space="preserve">Transactions scheduled in the Day-Ahead Market in hour </w:t>
      </w:r>
      <w:r>
        <w:rPr>
          <w:i/>
          <w:iCs/>
        </w:rPr>
        <w:t>h</w:t>
      </w:r>
      <w:r>
        <w:t xml:space="preserve"> are calculated pursuant to Formula N-3.</w:t>
      </w:r>
    </w:p>
    <w:p w:rsidR="00EE56BC" w:rsidRDefault="00202EB3" w:rsidP="00E05469">
      <w:pPr>
        <w:pStyle w:val="subhead"/>
        <w:widowControl w:val="0"/>
        <w:ind w:left="0"/>
        <w:jc w:val="center"/>
      </w:pPr>
      <w:r w:rsidRPr="00BD7AE4">
        <w:t>Formula N-3</w:t>
      </w:r>
    </w:p>
    <w:p w:rsidR="00851486" w:rsidRPr="00851486" w:rsidRDefault="008722A9"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202EB3" w:rsidP="00851486">
      <w:pPr>
        <w:keepNext/>
      </w:pPr>
      <w:r>
        <w:tab/>
      </w:r>
    </w:p>
    <w:p w:rsidR="00EE56BC" w:rsidRDefault="00202EB3">
      <w:pPr>
        <w:keepNext/>
        <w:spacing w:after="120"/>
        <w:ind w:left="2160" w:hanging="1440"/>
      </w:pPr>
      <w:r>
        <w:t>Where,</w:t>
      </w:r>
    </w:p>
    <w:p w:rsidR="00EE56BC" w:rsidRDefault="00202EB3">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202EB3">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202EB3">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202EB3">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202EB3" w:rsidP="00EE56BC">
      <w:pPr>
        <w:pStyle w:val="Heading3"/>
      </w:pPr>
      <w:bookmarkStart w:id="6" w:name="_Ref49719059"/>
      <w:bookmarkStart w:id="7" w:name="_Toc263346014"/>
      <w:r>
        <w:t>20.2.3</w:t>
      </w:r>
      <w:r>
        <w:tab/>
        <w:t>Congestion Payments Made To Primary Holders</w:t>
      </w:r>
      <w:bookmarkEnd w:id="6"/>
      <w:bookmarkEnd w:id="7"/>
    </w:p>
    <w:p w:rsidR="00EE56BC" w:rsidRDefault="00202EB3"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202EB3" w:rsidP="00E05469">
      <w:pPr>
        <w:pStyle w:val="subhead"/>
        <w:widowControl w:val="0"/>
        <w:ind w:left="0"/>
        <w:jc w:val="center"/>
      </w:pPr>
      <w:r w:rsidRPr="00BD7AE4">
        <w:t>Formula N-4</w:t>
      </w:r>
    </w:p>
    <w:p w:rsidR="00851486" w:rsidRDefault="00202EB3"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202EB3">
      <w:pPr>
        <w:keepNext/>
        <w:spacing w:before="240" w:after="120"/>
        <w:ind w:left="2160" w:hanging="1440"/>
      </w:pPr>
      <w:r>
        <w:t>Where,</w:t>
      </w:r>
    </w:p>
    <w:p w:rsidR="00EE56BC" w:rsidRDefault="00202EB3">
      <w:pPr>
        <w:keepNext/>
        <w:tabs>
          <w:tab w:val="left" w:pos="2160"/>
        </w:tabs>
        <w:spacing w:after="120"/>
        <w:ind w:left="2520" w:hanging="1800"/>
      </w:pPr>
      <w:r>
        <w:t>CCPOW</w:t>
      </w:r>
      <w:r>
        <w:tab/>
        <w:t>=</w:t>
      </w:r>
      <w:r>
        <w:tab/>
        <w:t>Congestion Component ($/MWh) at the Point of Withdrawal (POW)</w:t>
      </w:r>
    </w:p>
    <w:p w:rsidR="00EE56BC" w:rsidRDefault="00202EB3">
      <w:pPr>
        <w:keepNext/>
        <w:tabs>
          <w:tab w:val="left" w:pos="2160"/>
        </w:tabs>
        <w:spacing w:after="120"/>
        <w:ind w:left="2520" w:hanging="1800"/>
      </w:pPr>
      <w:r>
        <w:t>CCPOI</w:t>
      </w:r>
      <w:r>
        <w:tab/>
        <w:t>=</w:t>
      </w:r>
      <w:r>
        <w:tab/>
        <w:t>Congestion Co</w:t>
      </w:r>
      <w:r>
        <w:t>mponent ($/MWh) at the Point of Injection (POI)</w:t>
      </w:r>
    </w:p>
    <w:p w:rsidR="00EE56BC" w:rsidRDefault="00202EB3">
      <w:pPr>
        <w:tabs>
          <w:tab w:val="left" w:pos="2160"/>
        </w:tabs>
        <w:spacing w:after="120"/>
        <w:ind w:left="2520" w:hanging="1800"/>
      </w:pPr>
      <w:r>
        <w:t>TCCMW</w:t>
      </w:r>
      <w:r>
        <w:tab/>
        <w:t>=</w:t>
      </w:r>
      <w:r>
        <w:tab/>
        <w:t>The number of TCCs in MW from POI to POW.</w:t>
      </w:r>
    </w:p>
    <w:p w:rsidR="00EE56BC" w:rsidRDefault="00202EB3" w:rsidP="00EE56BC">
      <w:pPr>
        <w:pStyle w:val="Bodypara"/>
      </w:pPr>
      <w:r>
        <w:t>(See Attachment J for the calculation of the Congestion Component of the LBMP price at either the POI or the POW.)</w:t>
      </w:r>
    </w:p>
    <w:p w:rsidR="00EE56BC" w:rsidRDefault="00202EB3"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Default="00202EB3" w:rsidP="00EE56BC">
      <w:pPr>
        <w:pStyle w:val="Bodypara"/>
      </w:pPr>
      <w:r>
        <w:t>The ISO shall assess a “Short</w:t>
      </w:r>
      <w:r>
        <w:t>fall Reimbursement Surcharge” each month on monthly net positive Congestion payments to Primary Holders of TCCs sold in or after the Autumn 2004 Centralized TCC Auction.  The Shortfall Reimbursement Surcharge shall be 0.5% of Congestion payments associated</w:t>
      </w:r>
      <w:r>
        <w:t xml:space="preserve"> with TCCs that have a Point of Withdrawal outside of Load Zone J and 2.5% of Congestion payments associated with TCCs that have a Point of Withdrawal at, or inside of, Load Zone J.  </w:t>
      </w:r>
    </w:p>
    <w:p w:rsidR="00EE56BC" w:rsidRDefault="00202EB3" w:rsidP="00EE56BC">
      <w:pPr>
        <w:pStyle w:val="Bodypara"/>
      </w:pPr>
      <w:r>
        <w:t>The Shortfall Reimbursement Surcharge shall not be assessed on Congestio</w:t>
      </w:r>
      <w:r>
        <w:t xml:space="preserve">n payments to Primary Holders of TCCs that produce net negative Congestion payments, </w:t>
      </w:r>
      <w:r>
        <w:rPr>
          <w:i/>
          <w:iCs/>
        </w:rPr>
        <w:t xml:space="preserve">i.e., </w:t>
      </w:r>
      <w:r>
        <w:t>that oblige the Primary Holder to make payments, in a given month, on Congestion payments to Primary Holders of Grandfathered TCCs, or on Congestion payments to Primary Holders of ETCNL TCCs or RCRR TCCs.  The Shortfall Reimbursement Surcharge also shall n</w:t>
      </w:r>
      <w:r>
        <w:t xml:space="preserve">ot be assessed on Congestion payments to Primary Holders of TCCs sold before the Autumn 2004 Centralized TCC Auction, except to the extent that such TCCs are unbundled or reconfigured at the request of a Primary Holder, and sold, in or after that auction, </w:t>
      </w:r>
      <w:r>
        <w:t xml:space="preserve">in which case the Congestion payments associated with them shall be subject to the Shortfall Reimbursement Surcharge.  </w:t>
      </w:r>
    </w:p>
    <w:p w:rsidR="00EE56BC" w:rsidRDefault="00202EB3" w:rsidP="00EE56BC">
      <w:pPr>
        <w:pStyle w:val="Bodypara"/>
      </w:pPr>
      <w:r>
        <w:t>The ISO shall cease to impose the Shortfall Reimbursement Surcharge when it has collected sufficient funds to: (i) pay refunds for all o</w:t>
      </w:r>
      <w:r>
        <w:t>f the “Historic Shortfall” plus interest pursua</w:t>
      </w:r>
      <w:r w:rsidRPr="000D5E2A">
        <w:t>nt to Article III of the July 13, 2004 Settlement Agreement that was approved by the Commission in Docket Nos. EL04-110, EL04-113, EL04-115, and ER04-983; and (ii) replenished the ISO Working Capital Fund purs</w:t>
      </w:r>
      <w:r w:rsidRPr="000D5E2A">
        <w:t>uant to Article IV of</w:t>
      </w:r>
      <w:r>
        <w:t xml:space="preserve"> that Settlement Agreement.</w:t>
      </w:r>
    </w:p>
    <w:p w:rsidR="00EE56BC" w:rsidRPr="00106833" w:rsidRDefault="00202EB3"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Charges and Payments 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202EB3" w:rsidP="00EE56BC">
      <w:pPr>
        <w:pStyle w:val="Bodypara"/>
      </w:pPr>
      <w:r>
        <w:t xml:space="preserve">The ISO shall charge O/R-t-S Congestion Rent Shortfall Charges and U/D Congestion Rent Shortfall Charges and pay </w:t>
      </w:r>
      <w:r>
        <w:t>O/R-t-S Congestion Rent Surplus Payments and U/D Congestion Rent Surplus Payments pursuant to this Section 20.2.4.  To do so, the ISO shall calculate the DAM Constraint Residual for each binding constraint for each hour of the Day-Ahead Market and then det</w:t>
      </w:r>
      <w:r>
        <w:t>ermine the amount of each DAM Constraint Residual that is O/R-t-S DAM Constraint Residual and the amount that is U/D DAM Constraint Residual, as specified in Section 20.2.4.1.  The ISO shall use the O/R-t-S DAM Constraint Residual to allocate O/R-t-S Conge</w:t>
      </w:r>
      <w:r>
        <w:t>stion Rent Shortfall Charges and O/R-t-S Congestion Rent Surplus Payments to Transmission Owners pursuant to Sections 20.2.4.2 and 20.2.4.4, each of which shall be subject to being reduced to zero pursuant to Section 20.2.4.5.  The ISO shall use the U/D DA</w:t>
      </w:r>
      <w:r>
        <w:t xml:space="preserve">M Constraint Residual to allocate U/D Congestion Rent Shortfall Charges and U/D Congestion Rent Surplus Payments to Transmission Owners pursuant to Sections 20.2.4.3 and 20.2.4.4, each of which shall be subject to being reduced to zero pursuant to Section </w:t>
      </w:r>
      <w:r>
        <w:t>20.2.4.5.</w:t>
      </w:r>
    </w:p>
    <w:p w:rsidR="00EE56BC" w:rsidRPr="0095368A" w:rsidRDefault="00202EB3" w:rsidP="008A066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202EB3" w:rsidP="00EE56BC">
      <w:pPr>
        <w:pStyle w:val="Bodypara"/>
      </w:pPr>
      <w:r>
        <w:t xml:space="preserve">For each hour </w:t>
      </w:r>
      <w:r>
        <w:rPr>
          <w:i/>
          <w:iCs/>
        </w:rPr>
        <w:t>h</w:t>
      </w:r>
      <w:r>
        <w:t xml:space="preserve"> of the Da</w:t>
      </w:r>
      <w:r>
        <w:t xml:space="preserve">y-Ahead Market, the ISO shall identify all constraints that are 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w:t>
      </w:r>
      <w:r>
        <w:t>aint Residual, DCR</w:t>
      </w:r>
      <w:r>
        <w:rPr>
          <w:vertAlign w:val="subscript"/>
        </w:rPr>
        <w:t>a,h</w:t>
      </w:r>
      <w:r>
        <w:t xml:space="preserve">, using Formula N-5; </w:t>
      </w:r>
      <w:r>
        <w:rPr>
          <w:i/>
          <w:iCs/>
        </w:rPr>
        <w:t>provided, however</w:t>
      </w:r>
      <w:r>
        <w:t>, where DCR</w:t>
      </w:r>
      <w:r>
        <w:rPr>
          <w:vertAlign w:val="subscript"/>
        </w:rPr>
        <w:t>a,h</w:t>
      </w:r>
      <w:r>
        <w:t xml:space="preserve"> calculated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202EB3" w:rsidP="00E05469">
      <w:pPr>
        <w:pStyle w:val="subhead"/>
        <w:widowControl w:val="0"/>
        <w:ind w:left="0"/>
        <w:jc w:val="center"/>
        <w:rPr>
          <w:vanish/>
          <w:specVanish/>
        </w:rPr>
      </w:pPr>
      <w:bookmarkStart w:id="63" w:name="_Ref115549739"/>
      <w:r w:rsidRPr="008563B6">
        <w:t>Formu</w:t>
      </w:r>
      <w:r w:rsidRPr="008563B6">
        <w:t>la N-5</w:t>
      </w:r>
      <w:bookmarkEnd w:id="63"/>
    </w:p>
    <w:p w:rsidR="00397C05" w:rsidRDefault="00202EB3" w:rsidP="00EE56BC">
      <w:pPr>
        <w:keepNext/>
      </w:pPr>
    </w:p>
    <w:p w:rsidR="005D44C9" w:rsidRPr="005D44C9" w:rsidRDefault="008722A9"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202EB3" w:rsidP="00EE56BC">
      <w:pPr>
        <w:keepNext/>
      </w:pPr>
    </w:p>
    <w:p w:rsidR="00EE56BC" w:rsidRDefault="00202EB3" w:rsidP="00EE56BC">
      <w:pPr>
        <w:pStyle w:val="Bodypara"/>
      </w:pPr>
      <w:r>
        <w:t>Where,</w:t>
      </w:r>
    </w:p>
    <w:p w:rsidR="00EE56BC" w:rsidRDefault="00202EB3">
      <w:pPr>
        <w:tabs>
          <w:tab w:val="left" w:pos="1920"/>
        </w:tabs>
        <w:snapToGrid w:val="0"/>
        <w:spacing w:after="120"/>
        <w:ind w:left="2160" w:hanging="2160"/>
      </w:pPr>
      <w:r>
        <w:t>DCR</w:t>
      </w:r>
      <w:r>
        <w:rPr>
          <w:vertAlign w:val="subscript"/>
        </w:rPr>
        <w:t>a,</w:t>
      </w:r>
      <w:r>
        <w:rPr>
          <w:vertAlign w:val="subscript"/>
        </w:rPr>
        <w:t>h</w:t>
      </w:r>
      <w:r>
        <w:tab/>
        <w:t>=</w:t>
      </w:r>
      <w:r>
        <w:tab/>
        <w:t>The DAM Constraint Residual, in dollars, for binding constraint</w:t>
      </w:r>
      <w:r>
        <w:rPr>
          <w:i/>
        </w:rPr>
        <w:t xml:space="preserve"> a</w:t>
      </w:r>
      <w:r>
        <w:t xml:space="preserve"> in hour </w:t>
      </w:r>
      <w:r>
        <w:rPr>
          <w:i/>
        </w:rPr>
        <w:t>h</w:t>
      </w:r>
      <w:r>
        <w:t xml:space="preserve"> of the Day-Ahead Market</w:t>
      </w:r>
    </w:p>
    <w:p w:rsidR="00EE56BC" w:rsidRDefault="00202EB3">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w:t>
      </w:r>
      <w:r>
        <w:t>er so that if relaxation of constraint</w:t>
      </w:r>
      <w:r>
        <w:rPr>
          <w:i/>
        </w:rPr>
        <w:t xml:space="preserve"> a</w:t>
      </w:r>
      <w:r>
        <w:t xml:space="preserve"> would permit a reduction in the associated Bid Production Cost, ShadowPrice</w:t>
      </w:r>
      <w:r>
        <w:rPr>
          <w:vertAlign w:val="subscript"/>
        </w:rPr>
        <w:t>a,h</w:t>
      </w:r>
      <w:r>
        <w:t xml:space="preserve"> is negative</w:t>
      </w:r>
    </w:p>
    <w:p w:rsidR="00EE56BC" w:rsidRDefault="00202EB3"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in the solution to the most recent auction in which TCCs valid in hour </w:t>
      </w:r>
      <w:r>
        <w:rPr>
          <w:i/>
          <w:iCs/>
        </w:rPr>
        <w:t>h</w:t>
      </w:r>
      <w:r>
        <w:t xml:space="preserve"> were sold (including those pre-existing TCCs and Grandfathered Right</w:t>
      </w:r>
      <w:r>
        <w:t xml:space="preserve">s represented as fixed injections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w:t>
      </w:r>
      <w:r>
        <w:t xml:space="preserve">edules fixed in the last auction held for TCCs valid for hour </w:t>
      </w:r>
      <w:r>
        <w:rPr>
          <w:i/>
          <w:iCs/>
        </w:rPr>
        <w:t>h</w:t>
      </w:r>
    </w:p>
    <w:p w:rsidR="00EE56BC" w:rsidRDefault="00202EB3">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applied will b</w:t>
      </w:r>
      <w:r>
        <w:t xml:space="preserve">e those produced in a simulated run of SCUC (run using the Transmission System model used in the most recent auction in which TCCs valid in hour </w:t>
      </w:r>
      <w:r>
        <w:rPr>
          <w:i/>
          <w:iCs/>
        </w:rPr>
        <w:t>h</w:t>
      </w:r>
      <w:r>
        <w:t xml:space="preserve"> were sold);</w:t>
      </w:r>
    </w:p>
    <w:p w:rsidR="00EE56BC" w:rsidRDefault="00202EB3">
      <w:pPr>
        <w:tabs>
          <w:tab w:val="left" w:pos="1920"/>
        </w:tabs>
        <w:snapToGrid w:val="0"/>
        <w:spacing w:after="120"/>
        <w:ind w:left="2160"/>
      </w:pPr>
      <w:r>
        <w:rPr>
          <w:i/>
          <w:iCs/>
        </w:rPr>
        <w:t>provided, however</w:t>
      </w:r>
      <w:r>
        <w:t>, special rules (1) through (3) below shall instead be used to calculate FLOW</w:t>
      </w:r>
      <w:r>
        <w:rPr>
          <w:vertAlign w:val="subscript"/>
        </w:rPr>
        <w:t>a,h</w:t>
      </w:r>
      <w:r>
        <w:rPr>
          <w:vertAlign w:val="subscript"/>
        </w:rPr>
        <w:t>,TCC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w:t>
      </w:r>
      <w:r>
        <w:t>uce Shift Factors to calculate FLOW</w:t>
      </w:r>
      <w:r>
        <w:rPr>
          <w:vertAlign w:val="subscript"/>
        </w:rPr>
        <w:t>a,h,TCC Auction</w:t>
      </w:r>
      <w:r>
        <w:t>:</w:t>
      </w:r>
    </w:p>
    <w:p w:rsidR="00EE56BC" w:rsidRDefault="00202EB3" w:rsidP="00EE56BC">
      <w:pPr>
        <w:pStyle w:val="romannumeralpara"/>
      </w:pPr>
      <w:r>
        <w:t>(</w:t>
      </w:r>
      <w:r>
        <w:rPr>
          <w:rFonts w:eastAsia="Arial Unicode MS"/>
        </w:rPr>
        <w:t>1)</w:t>
      </w:r>
      <w:r>
        <w:tab/>
        <w:t xml:space="preserve">in the event that a maintenance contingency is binding in the Day-Ahead Market but was not applied in the most recent auction in which TCCs valid in hour </w:t>
      </w:r>
      <w:r>
        <w:rPr>
          <w:i/>
          <w:iCs/>
        </w:rPr>
        <w:t>h</w:t>
      </w:r>
      <w:r>
        <w:t xml:space="preserve"> were sold, FLOW</w:t>
      </w:r>
      <w:r>
        <w:rPr>
          <w:vertAlign w:val="subscript"/>
        </w:rPr>
        <w:t>a,h,TCC Auction</w:t>
      </w:r>
      <w:r>
        <w:t xml:space="preserve"> shall be equa</w:t>
      </w:r>
      <w:r>
        <w:t>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w:t>
      </w:r>
      <w:r>
        <w:t>culated using the set of injections and withdrawals that corresponds to the set of TCCs and Grandfathered Rights represented in the solution to that auction (including those pre-existing TCCs and Grandfathered Rights represented as fixed injections and wit</w:t>
      </w:r>
      <w:r>
        <w:t>hdrawals in that auction) and using Shift Factors from a simulated run of SCUC as first set forth in this definition of FLOW</w:t>
      </w:r>
      <w:r>
        <w:rPr>
          <w:vertAlign w:val="subscript"/>
        </w:rPr>
        <w:t>a,h,TCC Auction</w:t>
      </w:r>
    </w:p>
    <w:p w:rsidR="00EE56BC" w:rsidRDefault="00202EB3"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in the mos</w:t>
      </w:r>
      <w:r>
        <w:t xml:space="preserve">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202EB3" w:rsidP="00EE56BC">
      <w:pPr>
        <w:pStyle w:val="romannumeralpara"/>
      </w:pPr>
      <w:r>
        <w:t>(i)</w:t>
      </w:r>
      <w:r>
        <w:tab/>
        <w:t>the rating limit, in MWh, for the monitored transmission facility of b</w:t>
      </w:r>
      <w:r>
        <w:t>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202EB3" w:rsidP="00EE56BC">
      <w:pPr>
        <w:pStyle w:val="romannumeralpara"/>
      </w:pPr>
      <w:r>
        <w:t>(ii)</w:t>
      </w:r>
      <w:r>
        <w:tab/>
        <w:t>negative SCUCSignChange</w:t>
      </w:r>
      <w:r>
        <w:rPr>
          <w:vertAlign w:val="subscript"/>
        </w:rPr>
        <w:t>a,h</w:t>
      </w:r>
    </w:p>
    <w:p w:rsidR="00EE56BC" w:rsidRDefault="00202EB3"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w:t>
      </w:r>
      <w:r>
        <w:t xml:space="preserv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the monitored transmission facility of binding constr</w:t>
      </w:r>
      <w:r>
        <w:t>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w:t>
      </w:r>
      <w:r>
        <w:t>rawals that corresponds to the set of TCCs and Grandfathered Rights represented in the solution to that auction (including those pre-existing TCCs and Grandfathered Rights represented as fixed injections and withdrawals in that auction) and using Shift Fac</w:t>
      </w:r>
      <w:r>
        <w:t>tors from a simulated run of SCUC as first set forth in this definition of FLOW</w:t>
      </w:r>
      <w:r>
        <w:rPr>
          <w:vertAlign w:val="subscript"/>
        </w:rPr>
        <w:t>a,h,TCC Auction</w:t>
      </w:r>
    </w:p>
    <w:p w:rsidR="00EE56BC" w:rsidRDefault="00202EB3"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202EB3" w:rsidP="00EE56BC">
      <w:pPr>
        <w:pStyle w:val="romannumeralpara"/>
      </w:pPr>
      <w:r>
        <w:t xml:space="preserve">(i) </w:t>
      </w:r>
      <w:r>
        <w:tab/>
        <w:t xml:space="preserve">the </w:t>
      </w:r>
      <w:r>
        <w:t>Energy flow on constraint</w:t>
      </w:r>
      <w:r>
        <w:rPr>
          <w:i/>
        </w:rPr>
        <w:t xml:space="preserve"> a</w:t>
      </w:r>
      <w:r>
        <w:t xml:space="preserve"> as determined in the most recent auction in which TCCs valid in hour </w:t>
      </w:r>
      <w:r>
        <w:rPr>
          <w:i/>
          <w:iCs/>
        </w:rPr>
        <w:t>h</w:t>
      </w:r>
      <w:r>
        <w:t xml:space="preserve"> were sold, </w:t>
      </w:r>
      <w:r>
        <w:rPr>
          <w:u w:val="single"/>
        </w:rPr>
        <w:t xml:space="preserve">multiplied </w:t>
      </w:r>
      <w:r>
        <w:t xml:space="preserve">by </w:t>
      </w:r>
    </w:p>
    <w:p w:rsidR="00EE56BC" w:rsidRDefault="00202EB3" w:rsidP="00EE56BC">
      <w:pPr>
        <w:pStyle w:val="romannumeralpara"/>
      </w:pPr>
      <w:r>
        <w:t xml:space="preserve">(ii) </w:t>
      </w:r>
      <w:r>
        <w:tab/>
        <w:t>OPF/SCUCAdjust</w:t>
      </w:r>
      <w:r>
        <w:rPr>
          <w:vertAlign w:val="subscript"/>
        </w:rPr>
        <w:t>a</w:t>
      </w:r>
    </w:p>
    <w:p w:rsidR="00EE56BC" w:rsidRDefault="00202EB3" w:rsidP="00EE56BC">
      <w:pPr>
        <w:tabs>
          <w:tab w:val="left" w:pos="1980"/>
        </w:tabs>
        <w:ind w:left="2160" w:hanging="2160"/>
      </w:pPr>
      <w:r>
        <w:t>UprateDerate</w:t>
      </w:r>
      <w:r>
        <w:rPr>
          <w:vertAlign w:val="subscript"/>
        </w:rPr>
        <w:t>a,h</w:t>
      </w:r>
      <w:r>
        <w:tab/>
        <w:t xml:space="preserve">= Zero, except that in the event of a Qualifying DAM Uprating or Qualifying DAM Derating for </w:t>
      </w:r>
      <w:r>
        <w:t>constraint</w:t>
      </w:r>
      <w:r>
        <w:rPr>
          <w:i/>
        </w:rPr>
        <w:t xml:space="preserve"> a</w:t>
      </w:r>
      <w:r>
        <w:rPr>
          <w:i/>
          <w:iCs/>
        </w:rPr>
        <w:t xml:space="preserve"> </w:t>
      </w:r>
      <w:r>
        <w:t xml:space="preserve">in hour </w:t>
      </w:r>
      <w:r>
        <w:rPr>
          <w:i/>
          <w:iCs/>
        </w:rPr>
        <w:t>h</w:t>
      </w:r>
      <w:r>
        <w:t xml:space="preserve"> that is included in the Reconfiguration Auction Interface Uprate/Derate Table in effect for the Reconfiguration Auction in which TCCs valid in hour </w:t>
      </w:r>
      <w:r>
        <w:rPr>
          <w:i/>
          <w:iCs/>
        </w:rPr>
        <w:t>h</w:t>
      </w:r>
      <w:r>
        <w:t xml:space="preserve"> were sold (or if no Reconfiguration Auction was held for TCCs valid in hour </w:t>
      </w:r>
      <w:r>
        <w:rPr>
          <w:i/>
          <w:iCs/>
        </w:rPr>
        <w:t>h</w:t>
      </w:r>
      <w:r>
        <w:t>, then</w:t>
      </w:r>
      <w:r>
        <w:t xml:space="preserve"> the Centralized TCC Auction Interface Uprate/Derate Table in effect for the last Centralized TCC Auction),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in the most recent auction in which TCCs valid in hour </w:t>
      </w:r>
      <w:r>
        <w:rPr>
          <w:i/>
          <w:iCs/>
        </w:rPr>
        <w:t>h</w:t>
      </w:r>
      <w:r>
        <w:t xml:space="preserve"> were sold and that transmission facility </w:t>
      </w:r>
      <w:r>
        <w:t xml:space="preserve">returns to service for hour </w:t>
      </w:r>
      <w:r>
        <w:rPr>
          <w:i/>
          <w:iCs/>
        </w:rPr>
        <w:t>h</w:t>
      </w:r>
      <w:r>
        <w:t>.</w:t>
      </w:r>
    </w:p>
    <w:p w:rsidR="00EE56BC" w:rsidRDefault="00202EB3" w:rsidP="00EE56BC">
      <w:pPr>
        <w:tabs>
          <w:tab w:val="left" w:pos="1980"/>
        </w:tabs>
        <w:ind w:left="2160" w:hanging="2160"/>
      </w:pPr>
    </w:p>
    <w:p w:rsidR="00EE56BC" w:rsidRDefault="00202EB3">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 is less than zero, then UnsoldCapacity</w:t>
      </w:r>
      <w:r>
        <w:rPr>
          <w:vertAlign w:val="subscript"/>
        </w:rPr>
        <w:t>a,h,RA</w:t>
      </w:r>
      <w:r>
        <w:t xml:space="preserve"> shall be equal to the lesser of (1) the amo</w:t>
      </w:r>
      <w:r>
        <w:t>unt of transmission Capacity for constraint</w:t>
      </w:r>
      <w:r>
        <w:rPr>
          <w:i/>
        </w:rPr>
        <w:t xml:space="preserve"> a</w:t>
      </w:r>
      <w:r>
        <w:rPr>
          <w:i/>
          <w:iCs/>
        </w:rPr>
        <w:t xml:space="preserve"> </w:t>
      </w:r>
      <w:r>
        <w:t>that was available for sale in the most recent auction in which TCCs valid 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w:t>
      </w:r>
      <w:r>
        <w:t>rateDerate</w:t>
      </w:r>
      <w:r>
        <w:rPr>
          <w:vertAlign w:val="subscript"/>
        </w:rPr>
        <w:t>a,h</w:t>
      </w:r>
      <w:r>
        <w:t xml:space="preserve"> * SCUCSignChange</w:t>
      </w:r>
      <w:r>
        <w:rPr>
          <w:vertAlign w:val="subscript"/>
        </w:rPr>
        <w:t>a,h</w:t>
      </w:r>
      <w:r>
        <w:t>).</w:t>
      </w:r>
    </w:p>
    <w:p w:rsidR="00EE56BC" w:rsidRDefault="00202EB3">
      <w:pPr>
        <w:tabs>
          <w:tab w:val="left" w:pos="1920"/>
          <w:tab w:val="left" w:pos="2160"/>
        </w:tabs>
        <w:snapToGrid w:val="0"/>
        <w:spacing w:after="120"/>
        <w:ind w:left="2160" w:hanging="2160"/>
      </w:pPr>
    </w:p>
    <w:p w:rsidR="00EE56BC" w:rsidRDefault="00202EB3">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202EB3">
      <w:pPr>
        <w:tabs>
          <w:tab w:val="left" w:pos="1920"/>
        </w:tabs>
        <w:snapToGrid w:val="0"/>
        <w:spacing w:after="120"/>
        <w:ind w:left="2160" w:hanging="2160"/>
      </w:pPr>
    </w:p>
    <w:p w:rsidR="00EE56BC" w:rsidRDefault="00202EB3" w:rsidP="00EE56BC">
      <w:pPr>
        <w:tabs>
          <w:tab w:val="left" w:pos="1920"/>
        </w:tabs>
        <w:snapToGrid w:val="0"/>
        <w:spacing w:after="120"/>
        <w:ind w:left="2160" w:hanging="2160"/>
      </w:pPr>
      <w:r>
        <w:t>OPF/SCUCAdjust</w:t>
      </w:r>
      <w:r>
        <w:rPr>
          <w:vertAlign w:val="subscript"/>
        </w:rPr>
        <w:t>a</w:t>
      </w:r>
      <w:r>
        <w:tab/>
        <w:t>=</w:t>
      </w:r>
      <w:r>
        <w:tab/>
        <w:t>1 if the directional orientation of constraint</w:t>
      </w:r>
      <w:r>
        <w:rPr>
          <w:i/>
        </w:rPr>
        <w:t xml:space="preserve"> a</w:t>
      </w:r>
      <w:r>
        <w:t xml:space="preserve"> used by the ISO in SCUC is the same as that used by the ISO in the Optimal</w:t>
      </w:r>
      <w:r>
        <w:t xml:space="preserve"> Power Flow program used to select winning Bids in TCC auctions; otherwise, -1.</w:t>
      </w:r>
    </w:p>
    <w:p w:rsidR="00EE56BC" w:rsidRDefault="00202EB3"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xml:space="preserve">, the ISO shall calculate the amount of each O/R-t-S DAM Constraint Residual and the </w:t>
      </w:r>
      <w:r>
        <w:t>amount of each U/D DAM Constraint Residual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w:t>
      </w:r>
      <w:r>
        <w:t xml:space="preserve">al for hour </w:t>
      </w:r>
      <w:r>
        <w:rPr>
          <w:i/>
          <w:iCs/>
        </w:rPr>
        <w:t>h</w:t>
      </w:r>
      <w:r>
        <w:t xml:space="preserve"> and for constraint</w:t>
      </w:r>
      <w:r>
        <w:rPr>
          <w:i/>
        </w:rPr>
        <w:t xml:space="preserve"> a</w:t>
      </w:r>
      <w:r>
        <w:t xml:space="preserve"> shall be determined by applying </w:t>
      </w:r>
      <w:r>
        <w:rPr>
          <w:iCs/>
        </w:rPr>
        <w:t>Formula</w:t>
      </w:r>
      <w:r>
        <w:t xml:space="preserve"> N-7. </w:t>
      </w:r>
    </w:p>
    <w:p w:rsidR="00DA719D" w:rsidRDefault="00202EB3" w:rsidP="00E05469">
      <w:pPr>
        <w:pStyle w:val="subhead"/>
        <w:widowControl w:val="0"/>
        <w:ind w:left="0"/>
        <w:jc w:val="center"/>
      </w:pPr>
      <w:bookmarkStart w:id="64" w:name="_Ref115549869"/>
      <w:r w:rsidRPr="008A066C">
        <w:rPr>
          <w:bCs/>
        </w:rPr>
        <w:t>Formula</w:t>
      </w:r>
      <w:r w:rsidRPr="00DA166F">
        <w:t xml:space="preserve"> N-6</w:t>
      </w:r>
      <w:bookmarkEnd w:id="64"/>
      <w:r w:rsidR="008722A9" w:rsidRPr="008722A9">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mso-position-horizontal-relative:text;mso-position-vertical-relative:text" o:connectortype="straight"/>
        </w:pict>
      </w:r>
      <w:r w:rsidR="008722A9" w:rsidRPr="008722A9">
        <w:rPr>
          <w:rFonts w:ascii="Cambria" w:hAnsi="Cambria"/>
          <w:sz w:val="22"/>
          <w:szCs w:val="22"/>
        </w:rPr>
        <w:pict>
          <v:shape id="_x0000_s1026" type="#_x0000_t32" style="position:absolute;left:0;text-align:left;margin-left:487.7pt;margin-top:24.4pt;width:0;height:38.65pt;z-index:251661312;mso-position-horizontal-relative:text;mso-position-vertical-relative:text" o:connectortype="straight"/>
        </w:pict>
      </w:r>
      <w:r w:rsidR="008722A9" w:rsidRPr="008722A9">
        <w:rPr>
          <w:rFonts w:ascii="Cambria" w:hAnsi="Cambria"/>
          <w:sz w:val="22"/>
          <w:szCs w:val="22"/>
        </w:rPr>
        <w:pict>
          <v:shape id="_x0000_s1027" type="#_x0000_t32" style="position:absolute;left:0;text-align:left;margin-left:116.2pt;margin-top:24.4pt;width:4.35pt;height:.15pt;z-index:251659264;mso-position-horizontal-relative:text;mso-position-vertical-relative:text" o:connectortype="straight"/>
        </w:pict>
      </w:r>
      <w:r w:rsidR="008722A9" w:rsidRPr="008722A9">
        <w:rPr>
          <w:rFonts w:ascii="Cambria" w:hAnsi="Cambria"/>
          <w:sz w:val="22"/>
          <w:szCs w:val="22"/>
        </w:rPr>
        <w:pict>
          <v:shape id="_x0000_s1028" type="#_x0000_t32" style="position:absolute;left:0;text-align:left;margin-left:115.7pt;margin-top:24.55pt;width:.05pt;height:38.85pt;z-index:251658240;mso-position-horizontal-relative:text;mso-position-vertical-relative:text"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8722A9" w:rsidTr="001A0241">
        <w:trPr>
          <w:trHeight w:val="357"/>
          <w:jc w:val="center"/>
        </w:trPr>
        <w:tc>
          <w:tcPr>
            <w:tcW w:w="2718" w:type="dxa"/>
            <w:vMerge w:val="restart"/>
            <w:vAlign w:val="center"/>
          </w:tcPr>
          <w:p w:rsidR="00DA719D" w:rsidRPr="00DA719D" w:rsidRDefault="008722A9"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8722A9" w:rsidP="00DA719D">
            <w:pPr>
              <w:spacing w:after="120"/>
              <w:jc w:val="both"/>
              <w:rPr>
                <w:rFonts w:ascii="Cambria" w:eastAsia="Times New Roman" w:hAnsi="Cambria" w:cs="Times New Roman"/>
              </w:rPr>
            </w:pPr>
            <w:r w:rsidRPr="008722A9">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8722A9"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8722A9" w:rsidP="00DA719D">
            <w:pPr>
              <w:spacing w:after="120"/>
              <w:jc w:val="both"/>
              <w:rPr>
                <w:rFonts w:ascii="Cambria" w:eastAsia="Times New Roman" w:hAnsi="Cambria" w:cs="Times New Roman"/>
              </w:rPr>
            </w:pPr>
            <w:r w:rsidRPr="008722A9">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8722A9" w:rsidTr="001A0241">
        <w:trPr>
          <w:trHeight w:val="196"/>
          <w:jc w:val="center"/>
        </w:trPr>
        <w:tc>
          <w:tcPr>
            <w:tcW w:w="2718" w:type="dxa"/>
            <w:vMerge/>
            <w:vAlign w:val="center"/>
          </w:tcPr>
          <w:p w:rsidR="00DA719D" w:rsidRPr="00DA719D" w:rsidRDefault="00202EB3" w:rsidP="00DA719D">
            <w:pPr>
              <w:spacing w:after="120"/>
              <w:jc w:val="both"/>
              <w:rPr>
                <w:rFonts w:ascii="Cambria" w:eastAsia="Times New Roman" w:hAnsi="Cambria" w:cs="Times New Roman"/>
              </w:rPr>
            </w:pPr>
          </w:p>
        </w:tc>
        <w:tc>
          <w:tcPr>
            <w:tcW w:w="270" w:type="dxa"/>
            <w:vMerge/>
          </w:tcPr>
          <w:p w:rsidR="00DA719D" w:rsidRPr="00DA719D" w:rsidRDefault="00202EB3"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8722A9"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202EB3"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202EB3" w:rsidP="00DA719D">
            <w:pPr>
              <w:spacing w:after="120"/>
              <w:jc w:val="both"/>
              <w:rPr>
                <w:rFonts w:ascii="Cambria" w:eastAsia="Times New Roman" w:hAnsi="Cambria" w:cs="Times New Roman"/>
              </w:rPr>
            </w:pPr>
          </w:p>
        </w:tc>
      </w:tr>
    </w:tbl>
    <w:p w:rsidR="00DA719D" w:rsidRDefault="00202EB3">
      <w:pPr>
        <w:spacing w:after="120"/>
        <w:jc w:val="both"/>
      </w:pPr>
    </w:p>
    <w:p w:rsidR="00EE56BC" w:rsidRDefault="00202EB3">
      <w:pPr>
        <w:spacing w:after="120"/>
        <w:jc w:val="both"/>
      </w:pPr>
      <w:r>
        <w:t>Where,</w:t>
      </w:r>
    </w:p>
    <w:p w:rsidR="00EE56BC" w:rsidRDefault="00202EB3">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202EB3">
      <w:pPr>
        <w:spacing w:line="480" w:lineRule="auto"/>
      </w:pPr>
      <w:r>
        <w:t>and each of the other variables are as defined in Formula N-5.</w:t>
      </w:r>
    </w:p>
    <w:p w:rsidR="00EE56BC" w:rsidRDefault="00202EB3" w:rsidP="00E05469">
      <w:pPr>
        <w:pStyle w:val="subhead"/>
        <w:widowControl w:val="0"/>
        <w:ind w:left="0"/>
        <w:jc w:val="center"/>
      </w:pPr>
      <w:bookmarkStart w:id="65" w:name="_Ref115549898"/>
      <w:r w:rsidRPr="008A066C">
        <w:t>Formula</w:t>
      </w:r>
      <w:r w:rsidRPr="00DA166F">
        <w:t xml:space="preserve">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8722A9" w:rsidTr="001A0241">
        <w:trPr>
          <w:trHeight w:val="357"/>
          <w:jc w:val="center"/>
        </w:trPr>
        <w:tc>
          <w:tcPr>
            <w:tcW w:w="2448" w:type="dxa"/>
            <w:vMerge w:val="restart"/>
            <w:vAlign w:val="center"/>
          </w:tcPr>
          <w:p w:rsidR="001A0D81" w:rsidRPr="001A0241" w:rsidRDefault="008722A9"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8722A9"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8722A9">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8722A9"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8722A9"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8722A9">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8722A9" w:rsidTr="001A0241">
        <w:trPr>
          <w:trHeight w:val="196"/>
          <w:jc w:val="center"/>
        </w:trPr>
        <w:tc>
          <w:tcPr>
            <w:tcW w:w="2448" w:type="dxa"/>
            <w:vMerge/>
            <w:vAlign w:val="center"/>
          </w:tcPr>
          <w:p w:rsidR="001A0D81" w:rsidRPr="001A0241" w:rsidRDefault="00202EB3" w:rsidP="001A0D81">
            <w:pPr>
              <w:rPr>
                <w:rFonts w:asciiTheme="majorHAnsi" w:eastAsia="Times New Roman" w:hAnsiTheme="majorHAnsi" w:cs="Times New Roman"/>
              </w:rPr>
            </w:pPr>
          </w:p>
        </w:tc>
        <w:tc>
          <w:tcPr>
            <w:tcW w:w="270" w:type="dxa"/>
            <w:vMerge/>
          </w:tcPr>
          <w:p w:rsidR="001A0D81" w:rsidRPr="001A0241" w:rsidRDefault="00202EB3"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8722A9"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202EB3"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202EB3" w:rsidP="001A0D81">
            <w:pPr>
              <w:rPr>
                <w:rFonts w:asciiTheme="majorHAnsi" w:eastAsia="Times New Roman" w:hAnsiTheme="majorHAnsi" w:cs="Times New Roman"/>
              </w:rPr>
            </w:pPr>
          </w:p>
        </w:tc>
      </w:tr>
    </w:tbl>
    <w:p w:rsidR="00A70A05" w:rsidRDefault="00202EB3" w:rsidP="00A70A05"/>
    <w:bookmarkEnd w:id="65"/>
    <w:p w:rsidR="00EE56BC" w:rsidRDefault="00202EB3">
      <w:pPr>
        <w:spacing w:after="120"/>
      </w:pPr>
      <w:r>
        <w:t>Where,</w:t>
      </w:r>
    </w:p>
    <w:p w:rsidR="00EE56BC" w:rsidRDefault="00202EB3">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202EB3">
      <w:r>
        <w:t>and each of the other variables are as defined in Formula N-5.</w:t>
      </w:r>
    </w:p>
    <w:p w:rsidR="00EE56BC" w:rsidRDefault="00202EB3" w:rsidP="008A066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202EB3"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202EB3" w:rsidP="008A066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w:t>
      </w:r>
      <w:r>
        <w:t>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202EB3"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202EB3" w:rsidP="008A066C">
      <w:pPr>
        <w:pStyle w:val="Heading4"/>
      </w:pPr>
      <w:bookmarkStart w:id="121" w:name="_Toc263346019"/>
      <w:r>
        <w:t>20.2.4.2.1.1</w:t>
      </w:r>
      <w:r>
        <w:tab/>
        <w:t xml:space="preserve">Definition of Qualifying </w:t>
      </w:r>
      <w:r>
        <w:t>DAM Outage</w:t>
      </w:r>
      <w:bookmarkEnd w:id="121"/>
      <w:r>
        <w:t xml:space="preserve"> </w:t>
      </w:r>
    </w:p>
    <w:p w:rsidR="00EE56BC" w:rsidRDefault="00202EB3"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202EB3" w:rsidP="00EE56BC">
      <w:pPr>
        <w:pStyle w:val="Bodypara"/>
      </w:pPr>
      <w:r>
        <w:t>An “</w:t>
      </w:r>
      <w:r>
        <w:rPr>
          <w:b/>
          <w:bCs/>
        </w:rPr>
        <w:t>Actual Qualifying DAM Outa</w:t>
      </w:r>
      <w:r>
        <w:rPr>
          <w:b/>
          <w:bCs/>
        </w:rPr>
        <w:t>ge</w:t>
      </w:r>
      <w:r>
        <w:t xml:space="preserve">” shall be defined as a transmission facility that, for a given hour </w:t>
      </w:r>
      <w:r>
        <w:rPr>
          <w:i/>
          <w:iCs/>
        </w:rPr>
        <w:t>h</w:t>
      </w:r>
      <w:r>
        <w:t xml:space="preserve"> of the Day-Ahead Market, meets each of the following requirements:  </w:t>
      </w:r>
    </w:p>
    <w:p w:rsidR="00EE56BC" w:rsidRDefault="00202EB3" w:rsidP="00EE56BC">
      <w:pPr>
        <w:pStyle w:val="romannumeralpara"/>
      </w:pPr>
      <w:r>
        <w:t>(i)</w:t>
      </w:r>
      <w:r>
        <w:tab/>
        <w:t xml:space="preserve">the facility exists but is not modeled as in-service for the Day-Ahead Market for hour </w:t>
      </w:r>
      <w:r>
        <w:rPr>
          <w:i/>
          <w:iCs/>
        </w:rPr>
        <w:t>h</w:t>
      </w:r>
      <w:r>
        <w:t>;</w:t>
      </w:r>
    </w:p>
    <w:p w:rsidR="00EE56BC" w:rsidRDefault="00202EB3" w:rsidP="00EE56BC">
      <w:pPr>
        <w:pStyle w:val="romannumeralpara"/>
      </w:pPr>
      <w:r>
        <w:t>(ii)</w:t>
      </w:r>
      <w:r>
        <w:tab/>
        <w:t>the facility ex</w:t>
      </w:r>
      <w:r>
        <w:t xml:space="preserve">isted and was modeled as in-service in the last auction held for TCCs valid for hour </w:t>
      </w:r>
      <w:r>
        <w:rPr>
          <w:i/>
          <w:iCs/>
        </w:rPr>
        <w:t>h</w:t>
      </w:r>
      <w:r>
        <w:t>; and</w:t>
      </w:r>
    </w:p>
    <w:p w:rsidR="00EE56BC" w:rsidRDefault="00202EB3" w:rsidP="00EE56BC">
      <w:pPr>
        <w:pStyle w:val="romannumeralpara"/>
      </w:pPr>
      <w:r>
        <w:t>(iii)</w:t>
      </w:r>
      <w:r>
        <w:tab/>
        <w:t xml:space="preserve">the facility was not Normally Out-of-Service Equipment at the time of the last auction held for TCCs valid for hour </w:t>
      </w:r>
      <w:r>
        <w:rPr>
          <w:i/>
          <w:iCs/>
        </w:rPr>
        <w:t>h</w:t>
      </w:r>
      <w:r>
        <w:t>.</w:t>
      </w:r>
    </w:p>
    <w:p w:rsidR="00EE56BC" w:rsidRDefault="00202EB3"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202EB3"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202EB3" w:rsidP="00EE56BC">
      <w:pPr>
        <w:pStyle w:val="romannumeralpara"/>
      </w:pPr>
      <w:r>
        <w:t>(ii)</w:t>
      </w:r>
      <w:r>
        <w:tab/>
        <w:t xml:space="preserve">the facility existed but was not modeled as in-service in hour </w:t>
      </w:r>
      <w:r>
        <w:rPr>
          <w:i/>
          <w:iCs/>
        </w:rPr>
        <w:t>h</w:t>
      </w:r>
      <w:r>
        <w:t xml:space="preserve"> as a result of a DAM Status Change or external event described in Section 20.2.4.4.3 for which responsibility was assigned pursuant to Section 20.2.4.4 to a Transmission Owner (including the</w:t>
      </w:r>
      <w:r>
        <w:t xml:space="preserve"> ISO when it is deemed a Transmission Owner pursuant to Section 20.2.4.4) other than the Transmission Owner assigned responsibility for the facility not being modeled as in-service for the last auction held for TCCs valid for hour </w:t>
      </w:r>
      <w:r>
        <w:rPr>
          <w:i/>
          <w:iCs/>
        </w:rPr>
        <w:t>h</w:t>
      </w:r>
      <w:r>
        <w:t>;</w:t>
      </w:r>
    </w:p>
    <w:p w:rsidR="00EE56BC" w:rsidRDefault="00202EB3" w:rsidP="00EE56BC">
      <w:pPr>
        <w:pStyle w:val="romannumeralpara"/>
      </w:pPr>
      <w:r>
        <w:t>(iii)</w:t>
      </w:r>
      <w:r>
        <w:tab/>
        <w:t>the facility was</w:t>
      </w:r>
      <w:r>
        <w:t xml:space="preserve"> not Normally Out-of-Service Equipment at the time of the last auction held for TCCs valid for hour </w:t>
      </w:r>
      <w:r>
        <w:rPr>
          <w:i/>
          <w:iCs/>
        </w:rPr>
        <w:t>h</w:t>
      </w:r>
      <w:r>
        <w:t>.</w:t>
      </w:r>
    </w:p>
    <w:p w:rsidR="00EE56BC" w:rsidRDefault="00202EB3" w:rsidP="00EE56BC">
      <w:pPr>
        <w:pStyle w:val="Bodypara"/>
      </w:pPr>
      <w:r>
        <w:t xml:space="preserve">A transmission facility shall not qualify as an Actual Qualifying DAM Outage if the facility is modeled as in-service for hour </w:t>
      </w:r>
      <w:r>
        <w:rPr>
          <w:i/>
          <w:iCs/>
        </w:rPr>
        <w:t>h</w:t>
      </w:r>
      <w:r>
        <w:t xml:space="preserve"> of the Day-Ahead Market </w:t>
      </w:r>
      <w:r>
        <w:t>as a result of a Transmission Owner’s use of spare or alternative transmission equipment to bring the facility back in-service so long as the Transmission Owner has notified the ISO in advance of or contemporaneously with the use of such spare or alternati</w:t>
      </w:r>
      <w:r>
        <w:t>ve equipment and the estimated duration of its use.</w:t>
      </w:r>
    </w:p>
    <w:p w:rsidR="00EE56BC" w:rsidRDefault="00202EB3" w:rsidP="008A066C">
      <w:pPr>
        <w:pStyle w:val="Heading4"/>
      </w:pPr>
      <w:bookmarkStart w:id="122" w:name="_Toc263346020"/>
      <w:r>
        <w:t>20.2.4.2.1.2</w:t>
      </w:r>
      <w:r>
        <w:tab/>
        <w:t>Definition of Qualifying DAM Return-to-Service</w:t>
      </w:r>
      <w:bookmarkEnd w:id="122"/>
    </w:p>
    <w:p w:rsidR="00EE56BC" w:rsidRDefault="00202EB3" w:rsidP="00EE56BC">
      <w:pPr>
        <w:pStyle w:val="Bodypara"/>
      </w:pPr>
      <w:r>
        <w:t>A “</w:t>
      </w:r>
      <w:r>
        <w:rPr>
          <w:b/>
          <w:bCs/>
        </w:rPr>
        <w:t>Qualifying DAM Return-to-Service</w:t>
      </w:r>
      <w:r>
        <w:t>” shall be defined to mean either an Actual Qualifying DAM Return-to-Service or a Deemed Qualifying DAM Retur</w:t>
      </w:r>
      <w:r>
        <w:t>n-to-Service.  For purposes of this Attachment N, “</w:t>
      </w:r>
      <w:r>
        <w:rPr>
          <w:i/>
          <w:iCs/>
        </w:rPr>
        <w:t>o</w:t>
      </w:r>
      <w:r>
        <w:t>” shall refer to a single Qualifying DAM Return-to-Service.</w:t>
      </w:r>
    </w:p>
    <w:p w:rsidR="00EE56BC" w:rsidRDefault="00202EB3"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w:t>
      </w:r>
      <w:r>
        <w:t xml:space="preserve"> each of the following requirements:</w:t>
      </w:r>
    </w:p>
    <w:p w:rsidR="00EE56BC" w:rsidRDefault="00202EB3" w:rsidP="00EE56BC">
      <w:pPr>
        <w:pStyle w:val="romannumeralpara"/>
      </w:pPr>
      <w:r>
        <w:t>(i)</w:t>
      </w:r>
      <w:r>
        <w:tab/>
        <w:t xml:space="preserve">the facility exists and is modeled as in-service in the Day-Ahead Market for hour </w:t>
      </w:r>
      <w:r>
        <w:rPr>
          <w:i/>
          <w:iCs/>
        </w:rPr>
        <w:t>h</w:t>
      </w:r>
      <w:r>
        <w:t>;</w:t>
      </w:r>
    </w:p>
    <w:p w:rsidR="00EE56BC" w:rsidRDefault="00202EB3" w:rsidP="00EE56BC">
      <w:pPr>
        <w:pStyle w:val="romannumeralpara"/>
      </w:pPr>
      <w:r>
        <w:t>(ii)</w:t>
      </w:r>
      <w:r>
        <w:tab/>
        <w:t xml:space="preserve">the facility existed but was not modeled as in-service for the last auction held for TCCs valid for hour </w:t>
      </w:r>
      <w:r>
        <w:rPr>
          <w:i/>
          <w:iCs/>
        </w:rPr>
        <w:t>h</w:t>
      </w:r>
      <w:r>
        <w:t>; and</w:t>
      </w:r>
    </w:p>
    <w:p w:rsidR="00EE56BC" w:rsidRDefault="00202EB3" w:rsidP="00EE56BC">
      <w:pPr>
        <w:pStyle w:val="romannumeralpara"/>
      </w:pPr>
      <w:r>
        <w:t>(iii)</w:t>
      </w:r>
      <w:r>
        <w:tab/>
        <w:t>the fac</w:t>
      </w:r>
      <w:r>
        <w:t xml:space="preserve">ility was not Normally Out-of-Service Equipment at the time of the last auction held for TCCs valid for hour </w:t>
      </w:r>
      <w:r>
        <w:rPr>
          <w:i/>
          <w:iCs/>
        </w:rPr>
        <w:t>h</w:t>
      </w:r>
      <w:r>
        <w:rPr>
          <w:iCs/>
        </w:rPr>
        <w:t>.</w:t>
      </w:r>
    </w:p>
    <w:p w:rsidR="00EE56BC" w:rsidRDefault="00202EB3"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w:t>
      </w:r>
      <w:r>
        <w:t xml:space="preserve">each of the following requirements:  </w:t>
      </w:r>
    </w:p>
    <w:p w:rsidR="00EE56BC" w:rsidRDefault="00202EB3" w:rsidP="00EE56BC">
      <w:pPr>
        <w:pStyle w:val="romannumeralpara"/>
      </w:pPr>
      <w:r>
        <w:t>(i)</w:t>
      </w:r>
      <w:r>
        <w:tab/>
        <w:t xml:space="preserve">the facility existed but was not modeled as in-service for the last auction held for TCCs valid for hour </w:t>
      </w:r>
      <w:r>
        <w:rPr>
          <w:i/>
          <w:iCs/>
        </w:rPr>
        <w:t>h</w:t>
      </w:r>
      <w:r>
        <w:t>;</w:t>
      </w:r>
    </w:p>
    <w:p w:rsidR="00EE56BC" w:rsidRDefault="00202EB3" w:rsidP="00EE56BC">
      <w:pPr>
        <w:pStyle w:val="romannumeralpara"/>
      </w:pPr>
      <w:r>
        <w:t>(ii)</w:t>
      </w:r>
      <w:r>
        <w:tab/>
        <w:t xml:space="preserve">the facility existed but was not modeled as in-service in the Day-Ahead Market for hour </w:t>
      </w:r>
      <w:r>
        <w:rPr>
          <w:i/>
          <w:iCs/>
        </w:rPr>
        <w:t>h</w:t>
      </w:r>
      <w:r>
        <w:t xml:space="preserve"> as a result</w:t>
      </w:r>
      <w:r>
        <w:t xml:space="preserve"> of a DAM Status Change or external event described in Section 20.2.4.4.3 for which responsibility is assigned pursuant to Section </w:t>
      </w:r>
      <w:r w:rsidRPr="00280827">
        <w:t>20.</w:t>
      </w:r>
      <w:r>
        <w:t>2.4.4 to a Transmission Owner (including the ISO when it is deemed a Transmission Owner pursuant to Section 20.2.4.4) othe</w:t>
      </w:r>
      <w:r>
        <w:t xml:space="preserve">r than the Transmission Owner assigned responsibility for the facility not being modeled as in-service for the last auction held for TCCs valid for hour </w:t>
      </w:r>
      <w:r>
        <w:rPr>
          <w:i/>
          <w:iCs/>
        </w:rPr>
        <w:t>h</w:t>
      </w:r>
      <w:r>
        <w:t>; and</w:t>
      </w:r>
    </w:p>
    <w:p w:rsidR="00EE56BC" w:rsidRDefault="00202EB3" w:rsidP="00EE56BC">
      <w:pPr>
        <w:pStyle w:val="romannumeralpara"/>
      </w:pPr>
      <w:r>
        <w:t>(iii)</w:t>
      </w:r>
      <w:r>
        <w:tab/>
        <w:t>the facility was not Normally Out-of-Service Equipment at the time of the last auction hel</w:t>
      </w:r>
      <w:r>
        <w:t xml:space="preserve">d for TCCs valid for hour </w:t>
      </w:r>
      <w:r>
        <w:rPr>
          <w:i/>
          <w:iCs/>
        </w:rPr>
        <w:t>h</w:t>
      </w:r>
      <w:r>
        <w:rPr>
          <w:iCs/>
        </w:rPr>
        <w:t>.</w:t>
      </w:r>
    </w:p>
    <w:p w:rsidR="00EE56BC" w:rsidRPr="008563B6" w:rsidRDefault="00202EB3" w:rsidP="008A066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202EB3" w:rsidP="00EE56BC">
      <w:pPr>
        <w:pStyle w:val="Bodypara"/>
        <w:rPr>
          <w:iCs/>
        </w:rPr>
      </w:pPr>
      <w:r>
        <w:t>This Section 20.2.4.2.2 describes the allocation of an O/R-t-S D</w:t>
      </w:r>
      <w:r>
        <w:t>AM Constraint Residual for a given hour and a given constraint when only one Transmission Owner is responsible, as determined pursuant to Section 20.2.4.4, for all of the Qualifying DAM Outages and all of the Qualifying DAM Returns-to-Service for that hour</w:t>
      </w:r>
      <w:r>
        <w:t xml:space="preserve"> that contribute to that constraint.</w:t>
      </w:r>
    </w:p>
    <w:p w:rsidR="00EE56BC" w:rsidRDefault="00202EB3"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w:t>
      </w:r>
      <w:r>
        <w:t xml:space="preserve"> the ISO shall allocate the O/R-t-S DAM Constraint Residual for that hour and that constraint, O/R-t-S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w:t>
      </w:r>
      <w:r>
        <w:rPr>
          <w:vertAlign w:val="subscript"/>
        </w:rPr>
        <w:t>,h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202EB3" w:rsidP="008A066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w:t>
      </w:r>
      <w:r w:rsidRPr="008563B6">
        <w:t>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202EB3" w:rsidP="00EE56BC">
      <w:pPr>
        <w:pStyle w:val="Bodypara"/>
      </w:pPr>
      <w:r>
        <w:t>This Section 20.2.4.2.3 describes the allocation of an O/R-t-S DAM Constraint Residual for a given hour and a given constraint when more than one Transmission Owner is responsible, as determined pursuant to Section 20.2.4</w:t>
      </w:r>
      <w:r>
        <w:t>.4, for the Qualifying DAM Outages and the Qualifying DAM Returns-to-Service for that hour that contribute to that constraint.</w:t>
      </w:r>
    </w:p>
    <w:p w:rsidR="00EE56BC" w:rsidRDefault="00202EB3" w:rsidP="00EE56BC">
      <w:pPr>
        <w:pStyle w:val="Bodypara"/>
      </w:pPr>
      <w:r>
        <w:t>If more than one Transmission Owner is responsible, as determined pursuant to Section 20.2.4.4, for the Qualifying DAM Outages an</w:t>
      </w:r>
      <w:r>
        <w:t xml:space="preserve">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in the form of an O/R-t-S Congestion Rent Shortfall Charge or O/R-t-</w:t>
      </w:r>
      <w:r>
        <w:t xml:space="preserve">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w:t>
      </w:r>
      <w:r>
        <w:t xml:space="preserv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assess O/R-t-S Congestion Re</w:t>
      </w:r>
      <w:r>
        <w:t>nt Shortfall Charges and O/R-t-S Congestion Rent Surplus Payments.</w:t>
      </w:r>
    </w:p>
    <w:p w:rsidR="001C099D" w:rsidRPr="008A066C" w:rsidRDefault="00202EB3" w:rsidP="008A066C">
      <w:pPr>
        <w:pStyle w:val="subhead"/>
        <w:ind w:left="0"/>
        <w:jc w:val="center"/>
        <w:rPr>
          <w:bCs/>
        </w:rPr>
      </w:pPr>
      <w:bookmarkStart w:id="164" w:name="_Ref115550328"/>
      <w:r w:rsidRPr="008A066C">
        <w:rPr>
          <w:bCs/>
        </w:rPr>
        <w:t>Formula N-8</w:t>
      </w:r>
    </w:p>
    <w:p w:rsidR="001C099D" w:rsidRPr="00A27050" w:rsidRDefault="008722A9"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202EB3" w:rsidP="001C099D"/>
    <w:bookmarkEnd w:id="164"/>
    <w:p w:rsidR="00EE56BC" w:rsidRDefault="00202EB3" w:rsidP="00EE56BC">
      <w:pPr>
        <w:pStyle w:val="Bodypara"/>
      </w:pPr>
      <w:r>
        <w:t>Where,</w:t>
      </w:r>
    </w:p>
    <w:p w:rsidR="00EE56BC" w:rsidRDefault="00202EB3">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Formula N-8</w:t>
      </w:r>
    </w:p>
    <w:p w:rsidR="00EE56BC" w:rsidRDefault="00202EB3">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w:t>
      </w:r>
      <w:r>
        <w:t xml:space="preserve">for hour </w:t>
      </w:r>
      <w:r>
        <w:rPr>
          <w:i/>
          <w:iCs/>
        </w:rPr>
        <w:t>h</w:t>
      </w:r>
      <w:r>
        <w:t>, which shall either:</w:t>
      </w:r>
    </w:p>
    <w:p w:rsidR="00EE56BC" w:rsidRDefault="00202EB3"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this definit</w:t>
      </w:r>
      <w:r>
        <w:t>ion of FlowImpact</w:t>
      </w:r>
      <w:r>
        <w:rPr>
          <w:vertAlign w:val="subscript"/>
        </w:rPr>
        <w:t>a,h,o</w:t>
      </w:r>
      <w:r>
        <w:t>; or</w:t>
      </w:r>
    </w:p>
    <w:p w:rsidR="00EE56BC" w:rsidRDefault="00202EB3"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w:t>
      </w:r>
      <w:r>
        <w:t>lowing formula:</w:t>
      </w:r>
    </w:p>
    <w:p w:rsidR="00A27050" w:rsidRDefault="008722A9"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202EB3">
      <w:pPr>
        <w:tabs>
          <w:tab w:val="left" w:pos="1680"/>
        </w:tabs>
        <w:snapToGrid w:val="0"/>
        <w:spacing w:after="120"/>
        <w:ind w:left="1920"/>
      </w:pPr>
      <w:r>
        <w:t>Where,</w:t>
      </w:r>
    </w:p>
    <w:p w:rsidR="00EE56BC" w:rsidRDefault="00202EB3"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w:t>
      </w:r>
      <w:r>
        <w:t xml:space="preserve">ls corresponding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w:t>
      </w:r>
      <w:r>
        <w:t xml:space="preserve"> in that auction); (2) the phase angle regulator schedule determined in the Optimal Power Flow solution for the final round of the last auction held for TCCs valid in hour </w:t>
      </w:r>
      <w:r>
        <w:rPr>
          <w:i/>
          <w:iCs/>
        </w:rPr>
        <w:t>h</w:t>
      </w:r>
      <w:r>
        <w:t>; and (3) the Transmission System model for the last auction held for TCCs valid in</w:t>
      </w:r>
      <w:r>
        <w:t xml:space="preserve"> hour </w:t>
      </w:r>
      <w:r>
        <w:rPr>
          <w:i/>
          <w:iCs/>
        </w:rPr>
        <w:t>h</w:t>
      </w:r>
      <w:r>
        <w:t xml:space="preserve">; </w:t>
      </w:r>
    </w:p>
    <w:p w:rsidR="00EE56BC" w:rsidRDefault="00202EB3">
      <w:pPr>
        <w:tabs>
          <w:tab w:val="left" w:pos="4080"/>
        </w:tabs>
        <w:snapToGrid w:val="0"/>
        <w:spacing w:after="120"/>
        <w:ind w:left="4080" w:hanging="2160"/>
      </w:pPr>
      <w:r>
        <w:t>One-OffFlow</w:t>
      </w:r>
      <w:r>
        <w:rPr>
          <w:vertAlign w:val="subscript"/>
        </w:rPr>
        <w:t>a,h,o</w:t>
      </w:r>
      <w:r>
        <w:t xml:space="preserve"> = </w:t>
      </w:r>
      <w:r>
        <w:tab/>
        <w:t>Either</w:t>
      </w:r>
    </w:p>
    <w:p w:rsidR="00EE56BC" w:rsidRDefault="00202EB3"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w:t>
      </w:r>
      <w:r>
        <w:t xml:space="preserve">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w:t>
      </w:r>
      <w:r>
        <w:t xml:space="preserve">nsmission facility, the ISO shall appropriately adjust the phase angle regulator schedule and related variables to model the transmission facility as free flowing), but in each case with the Transmission System model modified so as to, as the case may be, </w:t>
      </w:r>
      <w:r>
        <w:t xml:space="preserve">either (i) model as out-of-service Actual Qualifying DAM Outage </w:t>
      </w:r>
      <w:r>
        <w:rPr>
          <w:i/>
          <w:iCs/>
        </w:rPr>
        <w:t>o</w:t>
      </w:r>
      <w:r>
        <w:t xml:space="preserve">, or (ii) model as in-service Actual Qualifying DAM Return-to-Service </w:t>
      </w:r>
      <w:r>
        <w:rPr>
          <w:i/>
          <w:iCs/>
        </w:rPr>
        <w:t>o</w:t>
      </w:r>
      <w:r>
        <w:t>; or</w:t>
      </w:r>
    </w:p>
    <w:p w:rsidR="00EE56BC" w:rsidRDefault="00202EB3" w:rsidP="00EE56BC">
      <w:pPr>
        <w:pStyle w:val="romannumeralpara"/>
      </w:pPr>
      <w:r>
        <w:t xml:space="preserve">(2) </w:t>
      </w:r>
      <w:r>
        <w:tab/>
        <w:t xml:space="preserve">if Qualifying DAM Return-to-Service </w:t>
      </w:r>
      <w:r>
        <w:rPr>
          <w:i/>
          <w:iCs/>
        </w:rPr>
        <w:t>o</w:t>
      </w:r>
      <w:r>
        <w:t xml:space="preserve"> is a Deemed Qualifying DAM Return-to-Service, the Energy flow on binding</w:t>
      </w:r>
      <w:r>
        <w:t xml:space="preserve">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w:t>
      </w:r>
      <w:r>
        <w:t>d Market because of the outage of any transmission facility, the ISO shall appropriately adjust the phase angle regulator schedule and related variables to model the transmission facility as free flowing), but with the Transmission System model modified so</w:t>
      </w:r>
      <w:r>
        <w:t xml:space="preserve"> as to </w:t>
      </w:r>
      <w:r>
        <w:rPr>
          <w:iCs/>
        </w:rPr>
        <w:t xml:space="preserve">model as in-service the transmission facility that is Deemed Qualifying DAM Return-to-Service </w:t>
      </w:r>
      <w:r>
        <w:rPr>
          <w:i/>
        </w:rPr>
        <w:t>o</w:t>
      </w:r>
    </w:p>
    <w:p w:rsidR="00EE56BC" w:rsidRDefault="00202EB3"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202EB3">
      <w:pPr>
        <w:tabs>
          <w:tab w:val="left" w:pos="1440"/>
          <w:tab w:val="left" w:pos="6480"/>
          <w:tab w:val="right" w:pos="9360"/>
        </w:tabs>
        <w:rPr>
          <w:u w:val="double"/>
        </w:rPr>
      </w:pPr>
    </w:p>
    <w:p w:rsidR="00EE56BC" w:rsidRDefault="00202EB3">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202EB3"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202EB3"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202EB3" w:rsidP="00EE56BC">
      <w:pPr>
        <w:pStyle w:val="Bodypara"/>
      </w:pPr>
      <w:r>
        <w:t>After calculating O/R-t-S NetDAMImpact</w:t>
      </w:r>
      <w:r>
        <w:rPr>
          <w:vertAlign w:val="subscript"/>
        </w:rPr>
        <w:t>a,h</w:t>
      </w:r>
      <w:r>
        <w:t xml:space="preserve"> pursuant to Formula N-8, the ISO shall determine whether O/R-t-S Net</w:t>
      </w:r>
      <w:r>
        <w: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after setting equal to zero each FlowImpac</w:t>
      </w:r>
      <w:r>
        <w:t>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w:t>
      </w:r>
      <w:r>
        <w:t>es and O/R-t-S Congestion Rent Surplus Payments pursuant to Formula N-9 or Formula N-10, as specified below.</w:t>
      </w:r>
    </w:p>
    <w:p w:rsidR="00EE56BC" w:rsidRDefault="00202EB3"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w:t>
      </w:r>
      <w:r>
        <w:t xml:space="preserve">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w:t>
      </w:r>
      <w:r>
        <w:t>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w:t>
      </w:r>
      <w:r>
        <w:t>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w:t>
      </w:r>
      <w:r>
        <w:t>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w:t>
      </w:r>
      <w:r>
        <w:t>straint Residual in the form of an O/R-t-S Congestion Rent Shortfall Charge or O/R-t-S Congestion Rent Surplus Payment by using Formula N-10.</w:t>
      </w:r>
    </w:p>
    <w:p w:rsidR="00A749F9" w:rsidRDefault="008722A9" w:rsidP="008A066C">
      <w:pPr>
        <w:pStyle w:val="subhead"/>
        <w:ind w:left="0"/>
        <w:jc w:val="center"/>
      </w:pPr>
      <w:bookmarkStart w:id="165" w:name="_Ref115550351"/>
      <w:r w:rsidRPr="008722A9">
        <w:rPr>
          <w:bC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sidRPr="008722A9">
        <w:rPr>
          <w:bCs/>
        </w:rPr>
        <w:pict>
          <v:shape id="_x0000_s1038" type="#_x0000_t86" style="position:absolute;left:0;text-align:left;margin-left:118.2pt;margin-top:24.55pt;width:4.25pt;height:76.8pt;flip:x;z-index:251671552"/>
        </w:pict>
      </w:r>
      <w:r w:rsidR="00202EB3" w:rsidRPr="008A066C">
        <w:rPr>
          <w:bCs/>
        </w:rPr>
        <w:t>Formula</w:t>
      </w:r>
      <w:r w:rsidR="00202EB3" w:rsidRPr="008563B6">
        <w:t xml:space="preserve">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8722A9" w:rsidTr="00D1111B">
        <w:trPr>
          <w:jc w:val="center"/>
        </w:trPr>
        <w:tc>
          <w:tcPr>
            <w:tcW w:w="2546" w:type="dxa"/>
            <w:vMerge w:val="restart"/>
            <w:vAlign w:val="center"/>
          </w:tcPr>
          <w:p w:rsidR="00A749F9" w:rsidRPr="00A749F9" w:rsidRDefault="008722A9"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202EB3" w:rsidP="00A749F9">
            <w:pPr>
              <w:jc w:val="center"/>
              <w:rPr>
                <w:sz w:val="16"/>
              </w:rPr>
            </w:pPr>
          </w:p>
        </w:tc>
        <w:tc>
          <w:tcPr>
            <w:tcW w:w="5001" w:type="dxa"/>
            <w:tcBorders>
              <w:bottom w:val="single" w:sz="4" w:space="0" w:color="auto"/>
            </w:tcBorders>
          </w:tcPr>
          <w:p w:rsidR="00A749F9" w:rsidRPr="00A749F9" w:rsidRDefault="008722A9"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202EB3" w:rsidP="00A749F9">
            <w:pPr>
              <w:jc w:val="center"/>
              <w:rPr>
                <w:sz w:val="22"/>
              </w:rPr>
            </w:pPr>
          </w:p>
        </w:tc>
        <w:tc>
          <w:tcPr>
            <w:tcW w:w="1836" w:type="dxa"/>
            <w:vMerge w:val="restart"/>
            <w:vAlign w:val="center"/>
          </w:tcPr>
          <w:p w:rsidR="00A749F9" w:rsidRPr="00A749F9" w:rsidRDefault="00202EB3"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8722A9" w:rsidTr="00D1111B">
        <w:trPr>
          <w:jc w:val="center"/>
        </w:trPr>
        <w:tc>
          <w:tcPr>
            <w:tcW w:w="2546" w:type="dxa"/>
            <w:vMerge/>
          </w:tcPr>
          <w:p w:rsidR="00A749F9" w:rsidRPr="00A749F9" w:rsidRDefault="00202EB3" w:rsidP="00A749F9">
            <w:pPr>
              <w:rPr>
                <w:sz w:val="22"/>
              </w:rPr>
            </w:pPr>
          </w:p>
        </w:tc>
        <w:tc>
          <w:tcPr>
            <w:tcW w:w="259" w:type="dxa"/>
            <w:vMerge/>
          </w:tcPr>
          <w:p w:rsidR="00A749F9" w:rsidRPr="00A749F9" w:rsidRDefault="00202EB3" w:rsidP="00A749F9">
            <w:pPr>
              <w:rPr>
                <w:sz w:val="22"/>
              </w:rPr>
            </w:pPr>
          </w:p>
        </w:tc>
        <w:tc>
          <w:tcPr>
            <w:tcW w:w="5001" w:type="dxa"/>
            <w:tcBorders>
              <w:top w:val="single" w:sz="4" w:space="0" w:color="auto"/>
            </w:tcBorders>
          </w:tcPr>
          <w:p w:rsidR="00A749F9" w:rsidRPr="00A749F9" w:rsidRDefault="008722A9"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202EB3" w:rsidP="00A749F9">
            <w:pPr>
              <w:rPr>
                <w:sz w:val="22"/>
              </w:rPr>
            </w:pPr>
          </w:p>
        </w:tc>
        <w:tc>
          <w:tcPr>
            <w:tcW w:w="1836" w:type="dxa"/>
            <w:vMerge/>
          </w:tcPr>
          <w:p w:rsidR="00A749F9" w:rsidRPr="00A749F9" w:rsidRDefault="00202EB3" w:rsidP="00A749F9">
            <w:pPr>
              <w:rPr>
                <w:sz w:val="22"/>
              </w:rPr>
            </w:pPr>
          </w:p>
        </w:tc>
      </w:tr>
    </w:tbl>
    <w:p w:rsidR="00A749F9" w:rsidRDefault="00202EB3" w:rsidP="00A749F9"/>
    <w:bookmarkEnd w:id="165"/>
    <w:p w:rsidR="00EE56BC" w:rsidRDefault="00202EB3" w:rsidP="00EE56BC">
      <w:pPr>
        <w:pStyle w:val="Bodypara"/>
      </w:pPr>
      <w:r>
        <w:t>Where,</w:t>
      </w:r>
    </w:p>
    <w:p w:rsidR="00EE56BC" w:rsidRDefault="00202EB3">
      <w:pPr>
        <w:tabs>
          <w:tab w:val="left" w:pos="2400"/>
        </w:tabs>
        <w:snapToGrid w:val="0"/>
        <w:spacing w:after="120"/>
        <w:ind w:left="2640" w:hanging="2640"/>
      </w:pPr>
      <w:r>
        <w:t>O/R-t-S Allocation</w:t>
      </w:r>
      <w:r>
        <w:rPr>
          <w:vertAlign w:val="subscript"/>
        </w:rPr>
        <w:t>a,t,h</w:t>
      </w:r>
      <w:r>
        <w:tab/>
        <w:t>=</w:t>
      </w:r>
      <w:r>
        <w:tab/>
        <w:t xml:space="preserve">Either an O/R-t-S Congestion Rent Shortfall Charge or an O/R-t-S Congestion Rent Surplus Payment, as specified in (a) and (b) </w:t>
      </w:r>
      <w:r>
        <w:t>below:</w:t>
      </w:r>
    </w:p>
    <w:p w:rsidR="00EE56BC" w:rsidRDefault="00202EB3">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202EB3">
      <w:pPr>
        <w:tabs>
          <w:tab w:val="left" w:pos="2400"/>
        </w:tabs>
        <w:snapToGrid w:val="0"/>
        <w:spacing w:after="120"/>
        <w:ind w:left="2640"/>
      </w:pPr>
      <w:r>
        <w:t>(b)</w:t>
      </w:r>
      <w:r>
        <w:tab/>
        <w:t xml:space="preserve">If </w:t>
      </w:r>
      <w:r>
        <w:t>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202EB3">
      <w:pPr>
        <w:tabs>
          <w:tab w:val="left" w:pos="2400"/>
        </w:tabs>
        <w:snapToGrid w:val="0"/>
        <w:spacing w:after="120"/>
        <w:ind w:left="2640" w:hanging="2640"/>
      </w:pPr>
      <w:r>
        <w:t>Responsibility</w:t>
      </w:r>
      <w:r>
        <w:rPr>
          <w:vertAlign w:val="subscript"/>
        </w:rPr>
        <w:t>h,q,o</w:t>
      </w:r>
      <w:r>
        <w:t xml:space="preserve"> </w:t>
      </w:r>
      <w:r>
        <w:tab/>
        <w:t>=</w:t>
      </w:r>
      <w:r>
        <w:tab/>
        <w:t>The am</w:t>
      </w:r>
      <w:r>
        <w:t xml:space="preserve">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w:t>
      </w:r>
      <w:r>
        <w:t xml:space="preserve"> DAM Return-to-Service </w:t>
      </w:r>
      <w:r>
        <w:rPr>
          <w:i/>
          <w:iCs/>
        </w:rPr>
        <w:t>o</w:t>
      </w:r>
      <w:r>
        <w:t xml:space="preserve"> in hour </w:t>
      </w:r>
      <w:r>
        <w:rPr>
          <w:i/>
          <w:iCs/>
        </w:rPr>
        <w:t>h</w:t>
      </w:r>
      <w:r>
        <w:t>, as determined pursuant to Section 20.2.4.4</w:t>
      </w:r>
    </w:p>
    <w:p w:rsidR="00EE56BC" w:rsidRDefault="00202EB3"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202EB3" w:rsidP="008A066C">
      <w:pPr>
        <w:pStyle w:val="subhead"/>
        <w:ind w:left="0"/>
        <w:jc w:val="center"/>
        <w:rPr>
          <w:bCs/>
        </w:rPr>
      </w:pPr>
      <w:bookmarkStart w:id="166" w:name="_Ref115550371"/>
      <w:r w:rsidRPr="008563B6">
        <w:rPr>
          <w:bCs/>
        </w:rPr>
        <w:t>Formula N-10</w:t>
      </w:r>
    </w:p>
    <w:p w:rsidR="00A749F9" w:rsidRPr="00B0577C" w:rsidRDefault="008722A9"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202EB3" w:rsidP="00A749F9"/>
    <w:p w:rsidR="00A749F9" w:rsidRPr="00A749F9" w:rsidRDefault="00202EB3" w:rsidP="00A749F9"/>
    <w:bookmarkEnd w:id="166"/>
    <w:p w:rsidR="00EE56BC" w:rsidRDefault="00202EB3">
      <w:pPr>
        <w:keepNext/>
        <w:spacing w:after="120"/>
      </w:pPr>
      <w:r>
        <w:t>Where,</w:t>
      </w:r>
    </w:p>
    <w:p w:rsidR="00EE56BC" w:rsidRDefault="00202EB3" w:rsidP="00EE56BC">
      <w:pPr>
        <w:pStyle w:val="Bodypara"/>
      </w:pPr>
      <w:r>
        <w:t>the variables ShadowPrice</w:t>
      </w:r>
      <w:r>
        <w:rPr>
          <w:vertAlign w:val="subscript"/>
        </w:rPr>
        <w:t>a,h</w:t>
      </w:r>
      <w:r>
        <w:t xml:space="preserve"> and OPF/SCUCAdjust</w:t>
      </w:r>
      <w:r>
        <w:rPr>
          <w:vertAlign w:val="subscript"/>
        </w:rPr>
        <w:t>a</w:t>
      </w:r>
      <w:r>
        <w:t xml:space="preserve"> are defined as set forth in</w:t>
      </w:r>
      <w:r>
        <w:t xml:space="preserve">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202EB3" w:rsidP="008A066C">
      <w:pPr>
        <w:pStyle w:val="Heading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w:t>
      </w:r>
      <w:r>
        <w:t xml:space="preserve">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202EB3" w:rsidP="00EE56BC">
      <w:pPr>
        <w:pStyle w:val="Bodypara"/>
      </w:pPr>
      <w:r>
        <w:t xml:space="preserve">The ISO shall use U/D DAM Constraint Residuals to allocate U/D Congestion Rent Shortfall Charges and U/D Congestion Rent Surplus Payments, as the case may be, among Transmission Owners pursuant to this Section 20.2.4.3. </w:t>
      </w:r>
      <w:r>
        <w:t xml:space="preserve"> Each U/D Congestion Rent Shortfall Charge and each U/D Congestion Rent Surplus Payment allocated to a Transmission Owner pursuant to this Section 20.2.4.3 is subject to being set equal to zero pursuant to Section 20.2.4.5.</w:t>
      </w:r>
    </w:p>
    <w:p w:rsidR="00EE56BC" w:rsidRDefault="00202EB3" w:rsidP="008A066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w:t>
      </w:r>
      <w:r>
        <w:t>atings and Deratings Qualifying for Charges and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202EB3" w:rsidP="00EE56BC">
      <w:pPr>
        <w:pStyle w:val="Bodypara"/>
      </w:pPr>
      <w:r>
        <w:t>For each hour of the Day-Ahead Market and for each constraint, the ISO shall identify each Qualifying DAM Derating and each Qualifying DAM Uprating, as described below.  The Transmission Owner respon</w:t>
      </w:r>
      <w:r>
        <w:t>sible, as determined pursuant to Section 20.2.4.4, for the Qualifying DAM Derating shall be allocated a U/D Congestion Rent Shortfall Charge and the Transmission Owner responsible, as determined pursuant to Section 20.2.4.4, for the Qualifying DAM Uprating</w:t>
      </w:r>
      <w:r>
        <w:t xml:space="preserve"> shall be allocated a U/D Congestion Rent Surplus Payment pursuant to Section 20.2.4.3.2.</w:t>
      </w:r>
    </w:p>
    <w:p w:rsidR="00EE56BC" w:rsidRDefault="00202EB3" w:rsidP="008A066C">
      <w:pPr>
        <w:pStyle w:val="Heading4"/>
      </w:pPr>
      <w:bookmarkStart w:id="209" w:name="_Toc263346025"/>
      <w:r>
        <w:t>20.2.4.3.1.1</w:t>
      </w:r>
      <w:r>
        <w:tab/>
        <w:t>Definition of Qualifying DAM Derating</w:t>
      </w:r>
      <w:bookmarkEnd w:id="209"/>
    </w:p>
    <w:p w:rsidR="00EE56BC" w:rsidRDefault="00202EB3" w:rsidP="00EE56BC">
      <w:pPr>
        <w:pStyle w:val="Bodypara"/>
      </w:pPr>
      <w:r>
        <w:t>A “</w:t>
      </w:r>
      <w:r>
        <w:rPr>
          <w:b/>
          <w:bCs/>
        </w:rPr>
        <w:t>Qualifying DAM Derating</w:t>
      </w:r>
      <w:r>
        <w:t xml:space="preserve">” shall be defined to mean either an Actual Qualifying DAM Derating or a Deemed </w:t>
      </w:r>
      <w:r>
        <w:t>Qualifying DAM Derating.  For purposes of this Attachment N, “</w:t>
      </w:r>
      <w:r>
        <w:rPr>
          <w:i/>
          <w:iCs/>
        </w:rPr>
        <w:t>r</w:t>
      </w:r>
      <w:r>
        <w:t>” shall refer to a single Qualifying DAM Derating.</w:t>
      </w:r>
    </w:p>
    <w:p w:rsidR="00EE56BC" w:rsidRDefault="00202EB3"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w:t>
      </w:r>
      <w:r>
        <w:t>e Day-Ahead Market, meets each of the following requirements:</w:t>
      </w:r>
    </w:p>
    <w:p w:rsidR="00EE56BC" w:rsidRDefault="00202EB3"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202EB3" w:rsidP="00EE56BC">
      <w:pPr>
        <w:pStyle w:val="romannumeralpara"/>
      </w:pPr>
      <w:r>
        <w:t>(ii)</w:t>
      </w:r>
      <w:r>
        <w:tab/>
        <w:t>this lower rating is in whole or in part the result o</w:t>
      </w:r>
      <w:r>
        <w:t xml:space="preserve">f an Actual Qualifying DAM Outage </w:t>
      </w:r>
      <w:r>
        <w:rPr>
          <w:i/>
          <w:iCs/>
        </w:rPr>
        <w:t>o</w:t>
      </w:r>
      <w:r>
        <w:t xml:space="preserve"> or an Actual Qualifying DAM Return-to-Service </w:t>
      </w:r>
      <w:r>
        <w:rPr>
          <w:i/>
          <w:iCs/>
        </w:rPr>
        <w:t>o</w:t>
      </w:r>
      <w:r>
        <w:t xml:space="preserve"> for hour </w:t>
      </w:r>
      <w:r>
        <w:rPr>
          <w:i/>
          <w:iCs/>
        </w:rPr>
        <w:t>h</w:t>
      </w:r>
      <w:r>
        <w:t>;</w:t>
      </w:r>
    </w:p>
    <w:p w:rsidR="00EE56BC" w:rsidRDefault="00202EB3"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auctio</w:t>
      </w:r>
      <w:r>
        <w:t xml:space="preserve">n held for TCCs valid for hour </w:t>
      </w:r>
      <w:r>
        <w:rPr>
          <w:i/>
          <w:iCs/>
        </w:rPr>
        <w:t>h</w:t>
      </w:r>
      <w:r>
        <w:t>;</w:t>
      </w:r>
    </w:p>
    <w:p w:rsidR="00EE56BC" w:rsidRDefault="00202EB3"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was h</w:t>
      </w:r>
      <w:r>
        <w:t xml:space="preserve">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02EB3" w:rsidP="00EE56BC">
      <w:pPr>
        <w:pStyle w:val="romannumeralpara"/>
      </w:pPr>
      <w:r>
        <w:t>(v)</w:t>
      </w:r>
      <w:r>
        <w:tab/>
        <w:t xml:space="preserve">the constraint is binding in the Day-Ahead Market for hour </w:t>
      </w:r>
      <w:r>
        <w:rPr>
          <w:i/>
          <w:iCs/>
        </w:rPr>
        <w:t>h</w:t>
      </w:r>
      <w:r>
        <w:t>.</w:t>
      </w:r>
    </w:p>
    <w:p w:rsidR="00EE56BC" w:rsidRDefault="00202EB3" w:rsidP="00EE56BC">
      <w:pPr>
        <w:pStyle w:val="Bodypara"/>
      </w:pPr>
      <w:r>
        <w:t>A “</w:t>
      </w:r>
      <w:r>
        <w:rPr>
          <w:b/>
          <w:bCs/>
        </w:rPr>
        <w:t>Deemed Qual</w:t>
      </w:r>
      <w:r>
        <w:rPr>
          <w:b/>
          <w:bCs/>
        </w:rPr>
        <w:t>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202EB3" w:rsidP="00EE56BC">
      <w:pPr>
        <w:pStyle w:val="romannumeralpara"/>
      </w:pPr>
      <w:r>
        <w:t>(i)</w:t>
      </w:r>
      <w:r>
        <w:tab/>
        <w:t xml:space="preserve">the constraint has a lower rating in hour </w:t>
      </w:r>
      <w:r>
        <w:rPr>
          <w:i/>
          <w:iCs/>
        </w:rPr>
        <w:t>h</w:t>
      </w:r>
      <w:r>
        <w:t xml:space="preserve"> than it would have </w:t>
      </w:r>
      <w:r>
        <w:t xml:space="preserve">if all transmission facilities were modeled as in-service in hour </w:t>
      </w:r>
      <w:r>
        <w:rPr>
          <w:i/>
          <w:iCs/>
        </w:rPr>
        <w:t>h</w:t>
      </w:r>
      <w:r>
        <w:t>;</w:t>
      </w:r>
    </w:p>
    <w:p w:rsidR="00EE56BC" w:rsidRDefault="00202EB3"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202EB3" w:rsidP="00EE56BC">
      <w:pPr>
        <w:pStyle w:val="romannumeralpara"/>
      </w:pPr>
      <w:r>
        <w:t>(iii)</w:t>
      </w:r>
      <w:r>
        <w:tab/>
        <w:t>the lower rating resulting from</w:t>
      </w:r>
      <w:r>
        <w:t xml:space="preserve">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t>
      </w:r>
      <w:r>
        <w:t xml:space="preserve">wer rating for hour </w:t>
      </w:r>
      <w:r>
        <w:rPr>
          <w:i/>
          <w:iCs/>
        </w:rPr>
        <w:t>h</w:t>
      </w:r>
      <w:r>
        <w:t xml:space="preserve"> is assigned pursuant to Section 20.2.4.4 to a Transmission Owner (including the ISO when it is deemed a Transmission Owner pursuant to Section 20.2.4.4) other than the Transmission Owner responsible for the lower rating in the last au</w:t>
      </w:r>
      <w:r>
        <w:t xml:space="preserve">ction held for TCCs valid for hour </w:t>
      </w:r>
      <w:r>
        <w:rPr>
          <w:i/>
          <w:iCs/>
        </w:rPr>
        <w:t>h</w:t>
      </w:r>
      <w:r>
        <w:t xml:space="preserve">; </w:t>
      </w:r>
    </w:p>
    <w:p w:rsidR="00EE56BC" w:rsidRDefault="00202EB3" w:rsidP="00EE56BC">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 </w:t>
      </w:r>
      <w:r>
        <w:t xml:space="preserve">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02EB3" w:rsidP="00EE56BC">
      <w:pPr>
        <w:pStyle w:val="romannumeralpara"/>
      </w:pPr>
      <w:r>
        <w:t>(v)</w:t>
      </w:r>
      <w:r>
        <w:tab/>
        <w:t xml:space="preserve">the constraint is binding in the Day-Ahead Market for hour </w:t>
      </w:r>
      <w:r>
        <w:rPr>
          <w:i/>
          <w:iCs/>
        </w:rPr>
        <w:t>h</w:t>
      </w:r>
      <w:r>
        <w:t>.</w:t>
      </w:r>
    </w:p>
    <w:p w:rsidR="00EE56BC" w:rsidRDefault="00202EB3" w:rsidP="008A066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202EB3" w:rsidP="00EE56BC">
      <w:pPr>
        <w:pStyle w:val="Bodypara"/>
      </w:pPr>
      <w:r>
        <w:t>A “</w:t>
      </w:r>
      <w:r>
        <w:rPr>
          <w:b/>
          <w:bCs/>
        </w:rPr>
        <w:t>Qualifying DAM Uprating</w:t>
      </w:r>
      <w:r>
        <w:t>” shall be defined to mean either an Actual Qualifying DAM Uprating or a Deemed Qualifying DAM Uprating.  For purposes of this Attachment N, “</w:t>
      </w:r>
      <w:r>
        <w:rPr>
          <w:i/>
          <w:iCs/>
        </w:rPr>
        <w:t>r</w:t>
      </w:r>
      <w:r>
        <w:t>” shall refer to a single Qualifying DA</w:t>
      </w:r>
      <w:r>
        <w:t>M Uprating.</w:t>
      </w:r>
    </w:p>
    <w:p w:rsidR="00EE56BC" w:rsidRDefault="00202EB3" w:rsidP="00EE56BC">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202EB3" w:rsidP="00EE56BC">
      <w:pPr>
        <w:pStyle w:val="romannumeralpara"/>
      </w:pPr>
      <w:r>
        <w:t>(i)</w:t>
      </w:r>
      <w:r>
        <w:tab/>
        <w:t>the constraint has a higher rating fo</w:t>
      </w:r>
      <w:r>
        <w:t xml:space="preserve">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202EB3"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w:t>
      </w:r>
      <w:r>
        <w:t xml:space="preserve">modeled in the last auction held for TCCs valid for hour </w:t>
      </w:r>
      <w:r>
        <w:rPr>
          <w:i/>
          <w:iCs/>
        </w:rPr>
        <w:t>h</w:t>
      </w:r>
      <w:r>
        <w:t xml:space="preserve">; </w:t>
      </w:r>
    </w:p>
    <w:p w:rsidR="00EE56BC" w:rsidRDefault="00202EB3" w:rsidP="00EE56BC">
      <w:pPr>
        <w:pStyle w:val="romannumeralpara"/>
      </w:pPr>
      <w:r>
        <w:t>(iii)</w:t>
      </w:r>
      <w:r>
        <w:tab/>
        <w:t xml:space="preserve">this higher rating is included in the Reconfiguration Auction Interface Uprate/Derate Table in effect for the last Reconfiguration Auction in which TCCs valid in hour </w:t>
      </w:r>
      <w:r>
        <w:rPr>
          <w:i/>
          <w:iCs/>
        </w:rPr>
        <w:t>h</w:t>
      </w:r>
      <w:r>
        <w:t xml:space="preserve"> were sold (or if no </w:t>
      </w:r>
      <w:r>
        <w:t xml:space="preserve">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02EB3" w:rsidP="00EE56BC">
      <w:pPr>
        <w:pStyle w:val="romannumeralpara"/>
      </w:pPr>
      <w:r>
        <w:t>(iv)</w:t>
      </w:r>
      <w:r>
        <w:tab/>
        <w:t>the constraint is binding in the Day-Ahead Mar</w:t>
      </w:r>
      <w:r>
        <w:t xml:space="preserve">ket for hour </w:t>
      </w:r>
      <w:r>
        <w:rPr>
          <w:i/>
          <w:iCs/>
        </w:rPr>
        <w:t>h</w:t>
      </w:r>
      <w:r>
        <w:t xml:space="preserve">.  </w:t>
      </w:r>
    </w:p>
    <w:p w:rsidR="00EE56BC" w:rsidRDefault="00202EB3"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202EB3" w:rsidP="00EE56BC">
      <w:pPr>
        <w:pStyle w:val="romannumeralpara"/>
      </w:pPr>
      <w:r>
        <w:t>(i)</w:t>
      </w:r>
      <w:r>
        <w:tab/>
        <w:t>the constraint has a lower rati</w:t>
      </w:r>
      <w:r>
        <w:t xml:space="preserve">ng in hour </w:t>
      </w:r>
      <w:r>
        <w:rPr>
          <w:i/>
          <w:iCs/>
        </w:rPr>
        <w:t>h</w:t>
      </w:r>
      <w:r>
        <w:t xml:space="preserve"> than it would have if all transmission facilities were modeled as in-service in hour </w:t>
      </w:r>
      <w:r>
        <w:rPr>
          <w:i/>
          <w:iCs/>
        </w:rPr>
        <w:t>h</w:t>
      </w:r>
      <w:r>
        <w:t>;</w:t>
      </w:r>
    </w:p>
    <w:p w:rsidR="00EE56BC" w:rsidRDefault="00202EB3"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202EB3" w:rsidP="00EE56BC">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w:t>
      </w:r>
      <w:r>
        <w:t xml:space="preserve">-to-Service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 other than the Transmission Owner responsible for the lower rating in the last auction</w:t>
      </w:r>
      <w:r>
        <w:t xml:space="preserve"> held for TCCs valid for hour </w:t>
      </w:r>
      <w:r>
        <w:rPr>
          <w:i/>
          <w:iCs/>
        </w:rPr>
        <w:t>h</w:t>
      </w:r>
      <w:r>
        <w:t>;</w:t>
      </w:r>
    </w:p>
    <w:p w:rsidR="00EE56BC" w:rsidRDefault="00202EB3" w:rsidP="00EE56BC">
      <w:pPr>
        <w:pStyle w:val="romannumeralpara"/>
      </w:pPr>
      <w:r>
        <w:t>(iv)</w:t>
      </w:r>
      <w:r>
        <w:tab/>
        <w:t xml:space="preserve">this lower rating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w:t>
      </w:r>
      <w:r>
        <w:t xml:space="preserve">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202EB3" w:rsidP="00EE56BC">
      <w:pPr>
        <w:pStyle w:val="romannumeralpara"/>
      </w:pPr>
      <w:r>
        <w:t>(v)</w:t>
      </w:r>
      <w:r>
        <w:tab/>
        <w:t xml:space="preserve">the constraint is binding in the Day-Ahead Market for hour </w:t>
      </w:r>
      <w:r>
        <w:rPr>
          <w:i/>
          <w:iCs/>
        </w:rPr>
        <w:t>h</w:t>
      </w:r>
      <w:r>
        <w:t xml:space="preserve">.  </w:t>
      </w:r>
    </w:p>
    <w:p w:rsidR="00EE56BC" w:rsidRDefault="00202EB3" w:rsidP="008A066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t>.</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202EB3" w:rsidP="00EE56BC">
      <w:pPr>
        <w:pStyle w:val="Bodypara"/>
      </w:pPr>
      <w:r>
        <w:t>This Section 20.2.4.3.2 describes the allocation of U/D DAM Constraint Residuals</w:t>
      </w:r>
      <w:r>
        <w:rPr>
          <w:iCs/>
        </w:rPr>
        <w:t xml:space="preserve"> to Qualifying DAM Deratings and Qualifying DAM Upratings</w:t>
      </w:r>
      <w:r>
        <w:t>.</w:t>
      </w:r>
    </w:p>
    <w:p w:rsidR="00EE56BC" w:rsidRDefault="00202EB3" w:rsidP="00EE56BC">
      <w:pPr>
        <w:pStyle w:val="Bodypara"/>
      </w:pPr>
      <w:r>
        <w:t>When there are Qualifying DAM Deratings or Qualifying DAM Upratin</w:t>
      </w:r>
      <w:r>
        <w:t>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by first determining the net total impact on th</w:t>
      </w:r>
      <w:r>
        <w:t xml:space="preserve">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N-11 and then applying either Formula N-12 or Formula N-13, as specified herein, to assess U/D Congestion Rent Shortfall</w:t>
      </w:r>
      <w:r>
        <w:t xml:space="preserve"> Charges and U/D Congestion Rent Surplus Payments.  </w:t>
      </w:r>
    </w:p>
    <w:p w:rsidR="00EE56BC" w:rsidRDefault="00202EB3" w:rsidP="008A066C">
      <w:pPr>
        <w:pStyle w:val="subhead"/>
        <w:ind w:left="0"/>
        <w:jc w:val="center"/>
        <w:rPr>
          <w:bCs/>
        </w:rPr>
      </w:pPr>
      <w:bookmarkStart w:id="238" w:name="_Ref115552336"/>
      <w:r w:rsidRPr="00682CBC">
        <w:rPr>
          <w:bCs/>
        </w:rPr>
        <w:t>Formula N-11</w:t>
      </w:r>
    </w:p>
    <w:p w:rsidR="00F45DA1" w:rsidRPr="00F45DA1" w:rsidRDefault="008722A9"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202EB3" w:rsidP="00F45DA1"/>
    <w:bookmarkEnd w:id="238"/>
    <w:p w:rsidR="00EE56BC" w:rsidRDefault="00202EB3" w:rsidP="00EE56BC">
      <w:pPr>
        <w:pStyle w:val="Bodypara"/>
      </w:pPr>
      <w:r>
        <w:t>Where,</w:t>
      </w:r>
    </w:p>
    <w:p w:rsidR="00EE56BC" w:rsidRDefault="00202EB3">
      <w:pPr>
        <w:tabs>
          <w:tab w:val="left" w:pos="1920"/>
          <w:tab w:val="left" w:pos="9708"/>
        </w:tabs>
        <w:snapToGrid w:val="0"/>
        <w:spacing w:after="120"/>
        <w:ind w:left="2160" w:hanging="2160"/>
      </w:pPr>
      <w:r>
        <w:t>U/D NetDAMImpact</w:t>
      </w:r>
      <w:r>
        <w:rPr>
          <w:vertAlign w:val="subscript"/>
        </w:rPr>
        <w:t>a,h</w:t>
      </w:r>
      <w:r>
        <w:t xml:space="preserve"> = The net impact, in do</w:t>
      </w:r>
      <w:r>
        <w:t>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202EB3">
      <w:pPr>
        <w:tabs>
          <w:tab w:val="left" w:pos="1920"/>
        </w:tabs>
        <w:snapToGrid w:val="0"/>
        <w:spacing w:after="120"/>
        <w:ind w:left="2160" w:hanging="2160"/>
      </w:pPr>
      <w:r>
        <w:t>RatingChange</w:t>
      </w:r>
      <w:r>
        <w:rPr>
          <w:vertAlign w:val="subscript"/>
        </w:rPr>
        <w:t>a,h,r</w:t>
      </w:r>
      <w:r>
        <w:tab/>
        <w:t>=</w:t>
      </w:r>
      <w:r>
        <w:tab/>
        <w:t>Either</w:t>
      </w:r>
    </w:p>
    <w:p w:rsidR="00EE56BC" w:rsidRPr="00E32CC4" w:rsidRDefault="00202EB3"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w:t>
      </w:r>
      <w:r w:rsidRPr="00E32CC4">
        <w:t>ing of binding constraint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as shown in the Reconfiguration Auction Interface Uprate/Derate Table in effect for the Reconfigurati</w:t>
      </w:r>
      <w:r w:rsidRPr="00E32CC4">
        <w:t xml:space="preserve">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then the Centralized TCC Auction Interface Uprate/Derate Table in effect for the last Centralized TCC Auction held for TCCs valid in hou</w:t>
      </w:r>
      <w:r w:rsidRPr="00E32CC4">
        <w:t xml:space="preserve">r </w:t>
      </w:r>
      <w:r w:rsidRPr="00E32CC4">
        <w:rPr>
          <w:i/>
          <w:iCs/>
        </w:rPr>
        <w:t>h</w:t>
      </w:r>
      <w:r w:rsidRPr="00E32CC4">
        <w:t>); or</w:t>
      </w:r>
    </w:p>
    <w:p w:rsidR="00EE56BC" w:rsidRDefault="00202EB3"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w:t>
      </w:r>
      <w:r>
        <w:t>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w:t>
      </w:r>
      <w:r>
        <w:rPr>
          <w:i/>
          <w:iCs/>
        </w:rPr>
        <w:t>ed, however</w:t>
      </w:r>
      <w:r>
        <w:t>, RatingChange</w:t>
      </w:r>
      <w:r>
        <w:rPr>
          <w:vertAlign w:val="subscript"/>
        </w:rPr>
        <w:t>a,h,r</w:t>
      </w:r>
      <w:r>
        <w:t xml:space="preserve"> shall be subject to being set equal to zero as specified in the paragraph immediately following this Formula N-11</w:t>
      </w:r>
    </w:p>
    <w:p w:rsidR="00EE56BC" w:rsidRDefault="00202EB3">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w:t>
      </w:r>
      <w:r>
        <w:t xml:space="preserve"> </w:t>
      </w:r>
      <w:r>
        <w:rPr>
          <w:i/>
          <w:iCs/>
        </w:rPr>
        <w:t>h</w:t>
      </w:r>
    </w:p>
    <w:p w:rsidR="00EE56BC" w:rsidRDefault="00202EB3"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202EB3"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w:t>
      </w:r>
      <w:r>
        <w:t>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w:t>
      </w:r>
      <w:r>
        <w:t>nt to Formula N-12 or Formula N-13, as specified below.</w:t>
      </w:r>
    </w:p>
    <w:p w:rsidR="00EE56BC" w:rsidRDefault="00202EB3"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w:t>
      </w:r>
      <w:r>
        <w:t>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w:t>
      </w:r>
      <w:r>
        <w: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impact (U/D NetDAMImpact</w:t>
      </w:r>
      <w:r>
        <w:rPr>
          <w:vertAlign w:val="subscript"/>
        </w:rPr>
        <w:t>a,h</w:t>
      </w:r>
      <w:r>
        <w:t>) on constrai</w:t>
      </w:r>
      <w:r>
        <w:t>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less th</w:t>
      </w:r>
      <w:r>
        <w:t>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w:t>
      </w:r>
      <w:r>
        <w:t>n Rent Surplus Payment, U/D CRSP</w:t>
      </w:r>
      <w:r>
        <w:rPr>
          <w:vertAlign w:val="subscript"/>
        </w:rPr>
        <w:t>a,t,h</w:t>
      </w:r>
      <w:r>
        <w:t>, by using Formula N-13.</w:t>
      </w:r>
    </w:p>
    <w:p w:rsidR="00EE56BC" w:rsidRDefault="008722A9" w:rsidP="008A066C">
      <w:pPr>
        <w:pStyle w:val="subhead"/>
        <w:ind w:left="0"/>
        <w:jc w:val="center"/>
      </w:pPr>
      <w:bookmarkStart w:id="242" w:name="_Ref115552375"/>
      <w:r w:rsidRPr="008722A9">
        <w:rPr>
          <w:bCs/>
        </w:rPr>
        <w:pict>
          <v:shape id="_x0000_s1039" type="#_x0000_t86" style="position:absolute;left:0;text-align:left;margin-left:113.3pt;margin-top:26.7pt;width:3.55pt;height:67.2pt;flip:x;z-index:251673600"/>
        </w:pict>
      </w:r>
      <w:r w:rsidRPr="008722A9">
        <w:rPr>
          <w:bCs/>
        </w:rPr>
        <w:pict>
          <v:shape id="_x0000_s1040" type="#_x0000_t86" style="position:absolute;left:0;text-align:left;margin-left:383.35pt;margin-top:26.7pt;width:3.55pt;height:67.2pt;z-index:251672576"/>
        </w:pict>
      </w:r>
      <w:r w:rsidR="00202EB3" w:rsidRPr="008A066C">
        <w:rPr>
          <w:bCs/>
        </w:rPr>
        <w:t>Formula</w:t>
      </w:r>
      <w:r w:rsidR="00202EB3" w:rsidRPr="00682CBC">
        <w:t xml:space="preserve">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8722A9" w:rsidTr="0015320F">
        <w:trPr>
          <w:jc w:val="center"/>
        </w:trPr>
        <w:tc>
          <w:tcPr>
            <w:tcW w:w="2546" w:type="dxa"/>
            <w:vMerge w:val="restart"/>
            <w:tcBorders>
              <w:right w:val="nil"/>
            </w:tcBorders>
            <w:vAlign w:val="center"/>
          </w:tcPr>
          <w:p w:rsidR="00796C4C" w:rsidRPr="00796C4C" w:rsidRDefault="008722A9" w:rsidP="008A066C">
            <w:pPr>
              <w:keepNext/>
              <w:widowControl/>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202EB3" w:rsidP="008A066C">
            <w:pPr>
              <w:keepNext/>
              <w:widowControl/>
              <w:jc w:val="center"/>
              <w:rPr>
                <w:sz w:val="20"/>
              </w:rPr>
            </w:pPr>
          </w:p>
        </w:tc>
        <w:tc>
          <w:tcPr>
            <w:tcW w:w="5001" w:type="dxa"/>
            <w:tcBorders>
              <w:left w:val="nil"/>
              <w:right w:val="nil"/>
            </w:tcBorders>
          </w:tcPr>
          <w:p w:rsidR="00796C4C" w:rsidRPr="00796C4C" w:rsidRDefault="008722A9" w:rsidP="008A066C">
            <w:pPr>
              <w:keepNext/>
              <w:widowControl/>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202EB3" w:rsidP="008A066C">
            <w:pPr>
              <w:keepNext/>
              <w:widowControl/>
              <w:jc w:val="center"/>
              <w:rPr>
                <w:sz w:val="20"/>
              </w:rPr>
            </w:pPr>
          </w:p>
        </w:tc>
        <w:tc>
          <w:tcPr>
            <w:tcW w:w="1836" w:type="dxa"/>
            <w:vMerge w:val="restart"/>
            <w:tcBorders>
              <w:left w:val="nil"/>
            </w:tcBorders>
            <w:vAlign w:val="center"/>
          </w:tcPr>
          <w:p w:rsidR="00796C4C" w:rsidRPr="00796C4C" w:rsidRDefault="00202EB3" w:rsidP="008A066C">
            <w:pPr>
              <w:keepNext/>
              <w:widowControl/>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8722A9" w:rsidTr="0015320F">
        <w:trPr>
          <w:jc w:val="center"/>
        </w:trPr>
        <w:tc>
          <w:tcPr>
            <w:tcW w:w="2546" w:type="dxa"/>
            <w:vMerge/>
            <w:tcBorders>
              <w:right w:val="nil"/>
            </w:tcBorders>
          </w:tcPr>
          <w:p w:rsidR="00796C4C" w:rsidRPr="00796C4C" w:rsidRDefault="00202EB3" w:rsidP="008A066C">
            <w:pPr>
              <w:keepNext/>
              <w:widowControl/>
              <w:rPr>
                <w:sz w:val="20"/>
              </w:rPr>
            </w:pPr>
          </w:p>
        </w:tc>
        <w:tc>
          <w:tcPr>
            <w:tcW w:w="259" w:type="dxa"/>
            <w:vMerge/>
            <w:tcBorders>
              <w:top w:val="single" w:sz="4" w:space="0" w:color="auto"/>
              <w:left w:val="nil"/>
              <w:bottom w:val="nil"/>
              <w:right w:val="nil"/>
            </w:tcBorders>
          </w:tcPr>
          <w:p w:rsidR="00796C4C" w:rsidRPr="00796C4C" w:rsidRDefault="00202EB3" w:rsidP="008A066C">
            <w:pPr>
              <w:keepNext/>
              <w:widowControl/>
              <w:rPr>
                <w:sz w:val="20"/>
              </w:rPr>
            </w:pPr>
          </w:p>
        </w:tc>
        <w:tc>
          <w:tcPr>
            <w:tcW w:w="5001" w:type="dxa"/>
            <w:tcBorders>
              <w:left w:val="nil"/>
              <w:right w:val="nil"/>
            </w:tcBorders>
          </w:tcPr>
          <w:p w:rsidR="00796C4C" w:rsidRPr="00796C4C" w:rsidRDefault="008722A9" w:rsidP="008A066C">
            <w:pPr>
              <w:keepNext/>
              <w:widowControl/>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202EB3" w:rsidP="008A066C">
            <w:pPr>
              <w:keepNext/>
              <w:widowControl/>
              <w:rPr>
                <w:sz w:val="20"/>
              </w:rPr>
            </w:pPr>
          </w:p>
        </w:tc>
        <w:tc>
          <w:tcPr>
            <w:tcW w:w="1836" w:type="dxa"/>
            <w:vMerge/>
            <w:tcBorders>
              <w:left w:val="nil"/>
            </w:tcBorders>
          </w:tcPr>
          <w:p w:rsidR="00796C4C" w:rsidRPr="00796C4C" w:rsidRDefault="00202EB3" w:rsidP="008A066C">
            <w:pPr>
              <w:keepNext/>
              <w:widowControl/>
              <w:rPr>
                <w:sz w:val="20"/>
              </w:rPr>
            </w:pPr>
          </w:p>
        </w:tc>
      </w:tr>
    </w:tbl>
    <w:p w:rsidR="00796C4C" w:rsidRDefault="00202EB3" w:rsidP="00796C4C"/>
    <w:bookmarkEnd w:id="242"/>
    <w:p w:rsidR="00EE56BC" w:rsidRDefault="00202EB3" w:rsidP="00EE56BC">
      <w:pPr>
        <w:pStyle w:val="Bodypara"/>
      </w:pPr>
      <w:r>
        <w:t>Where,</w:t>
      </w:r>
    </w:p>
    <w:p w:rsidR="00EE56BC" w:rsidRDefault="00202EB3">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202EB3">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202EB3">
      <w:pPr>
        <w:tabs>
          <w:tab w:val="left" w:pos="2040"/>
        </w:tabs>
        <w:snapToGrid w:val="0"/>
        <w:spacing w:after="120"/>
        <w:ind w:left="2400"/>
      </w:pPr>
      <w:r>
        <w:t>(b)</w:t>
      </w:r>
      <w:r>
        <w:tab/>
        <w:t>If U/D Allocation</w:t>
      </w:r>
      <w:r>
        <w:rPr>
          <w:vertAlign w:val="subscript"/>
        </w:rPr>
        <w:t>a,t,h</w:t>
      </w:r>
      <w:r>
        <w:t xml:space="preserve"> is positive, then U/D Allocation</w:t>
      </w:r>
      <w:r>
        <w:rPr>
          <w:vertAlign w:val="subscript"/>
        </w:rPr>
        <w:t>a,t,h</w:t>
      </w:r>
      <w:r>
        <w:t xml:space="preserve"> shall be a U/D Congestion Rent </w:t>
      </w:r>
      <w:r>
        <w:t>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202EB3">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20.2.4.4</w:t>
      </w:r>
    </w:p>
    <w:p w:rsidR="00EE56BC" w:rsidRDefault="00202EB3" w:rsidP="00EE56BC">
      <w:pPr>
        <w:pStyle w:val="Bodypara"/>
        <w:ind w:firstLine="0"/>
      </w:pPr>
      <w:r>
        <w:t>and the variable U/D DCR</w:t>
      </w:r>
      <w:r>
        <w:rPr>
          <w:vertAlign w:val="subscript"/>
        </w:rPr>
        <w:t>a,h</w:t>
      </w:r>
      <w:r>
        <w:t xml:space="preserve"> is defi</w:t>
      </w:r>
      <w:r>
        <w:t xml:space="preserve">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32274" w:rsidRPr="008A066C" w:rsidRDefault="00202EB3" w:rsidP="008A066C">
      <w:pPr>
        <w:pStyle w:val="subhead"/>
        <w:ind w:left="0"/>
        <w:jc w:val="center"/>
        <w:rPr>
          <w:b w:val="0"/>
        </w:rPr>
      </w:pPr>
      <w:bookmarkStart w:id="243" w:name="_Ref115552486"/>
      <w:r w:rsidRPr="008A066C">
        <w:rPr>
          <w:bCs/>
        </w:rPr>
        <w:t>Formula</w:t>
      </w:r>
      <w:r w:rsidRPr="0080228A">
        <w:t xml:space="preserve"> N-13</w:t>
      </w:r>
    </w:p>
    <w:p w:rsidR="00E32274" w:rsidRPr="00E32274" w:rsidRDefault="008722A9"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202EB3">
      <w:pPr>
        <w:keepNext/>
      </w:pPr>
    </w:p>
    <w:p w:rsidR="00EE56BC" w:rsidRDefault="00202EB3" w:rsidP="00EE56BC">
      <w:pPr>
        <w:pStyle w:val="Bodypara"/>
        <w:keepNext/>
      </w:pPr>
      <w:r>
        <w:t>Where,</w:t>
      </w:r>
    </w:p>
    <w:p w:rsidR="00EE56BC" w:rsidRDefault="00202EB3"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w:t>
      </w:r>
      <w:r>
        <w:t xml:space="preserve">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202EB3" w:rsidP="008A066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202EB3" w:rsidP="008A066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Assigning Responsibility; Presumpt</w:t>
      </w:r>
      <w:r>
        <w:t>ion of Causation</w:t>
      </w:r>
      <w:bookmarkEnd w:id="291"/>
      <w:bookmarkEnd w:id="292"/>
      <w:bookmarkEnd w:id="293"/>
      <w:bookmarkEnd w:id="294"/>
      <w:bookmarkEnd w:id="295"/>
      <w:bookmarkEnd w:id="296"/>
      <w:bookmarkEnd w:id="297"/>
      <w:bookmarkEnd w:id="298"/>
      <w:bookmarkEnd w:id="299"/>
      <w:bookmarkEnd w:id="300"/>
    </w:p>
    <w:p w:rsidR="00EE56BC" w:rsidRDefault="00202EB3" w:rsidP="00EE56BC">
      <w:pPr>
        <w:pStyle w:val="Bodypara"/>
      </w:pPr>
      <w:r>
        <w:t xml:space="preserve">Unless the special rules set forth in Sections 20.2.4.4.2 through 20.2.4.4.4 apply, a Transmission Owner shall for purposes of this Section 20.2.4 be deemed responsible for a DAM Status Change to the extent that the Transmission Owner has </w:t>
      </w:r>
      <w:r>
        <w:t xml:space="preserve">caused the DAM Status Change by changing the in-service or out-of-service status of its transmission facility; </w:t>
      </w:r>
      <w:r>
        <w:rPr>
          <w:i/>
          <w:iCs/>
        </w:rPr>
        <w:t>provided, however</w:t>
      </w:r>
      <w:r>
        <w:t>, that where a DAM Status Change results from a change to the in-service or out-of-service status of a transmission facility own</w:t>
      </w:r>
      <w:r>
        <w:t xml:space="preserve">ed by more than one Transmission Owner, responsibility for such DAM Status Change shall be assigned to each owning Transmission Owner based on the percentage of the transmission facility that is owned by the Transmission Owner (as determined in accordance </w:t>
      </w:r>
      <w:r>
        <w:t>with Section 20.2.4.6.1) during the hour for which the DAM Status Change occurred.  For the sake of clarity, a Transmission Owner may, by changing the in-service or out-of-service status of its transmission facility, cause a DAM Status Change of another tr</w:t>
      </w:r>
      <w:r>
        <w:t>ansmission facility if the Transmission Owner’s change in the in-service or out-of-service status of its transmission facility causes (directly or as a result of Good Utility Practice) a change in the in-service or out-of-service status of the other transm</w:t>
      </w:r>
      <w:r>
        <w:t xml:space="preserve">ission facility.  </w:t>
      </w:r>
    </w:p>
    <w:p w:rsidR="00EE56BC" w:rsidRDefault="00202EB3" w:rsidP="00EE56BC">
      <w:pPr>
        <w:pStyle w:val="Bodypara"/>
      </w:pPr>
      <w:r>
        <w:t>The Transmission Owner that owns a transmission facility that qualifies as a DAM Status Change shall be deemed to have caused the DAM Status Change of that transmission facility unless (i) the Transmission Owner that owns the facility in</w:t>
      </w:r>
      <w:r>
        <w:t>forms the ISO that another Transmission Owner caused the DAM Status Change or that responsibility is to be shared among Transmission Owners in accordance with Sections 20.2.4.4.2, 20.2.4.4.3, or 20.2.4.4.4, and no party disputes such claim; (ii) in case of</w:t>
      </w:r>
      <w:r>
        <w:t xml:space="preserve"> a dispute over the assignment of responsibility, the ISO determines a Transmission Owner other than the owner of the transmission facility caused the DAM Status Change or that responsibility is to be shared among Transmission Owners in accordance with Sec</w:t>
      </w:r>
      <w:r>
        <w:t>tions 20.2.4.4.2, 20.2.4.4.3, or 20.2.4.4.4; or (iii) FERC orders otherwise.</w:t>
      </w:r>
    </w:p>
    <w:p w:rsidR="00EE56BC" w:rsidRDefault="00202EB3" w:rsidP="008A066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by the ISO</w:t>
      </w:r>
      <w:bookmarkEnd w:id="320"/>
      <w:bookmarkEnd w:id="321"/>
      <w:bookmarkEnd w:id="322"/>
      <w:bookmarkEnd w:id="323"/>
      <w:bookmarkEnd w:id="324"/>
      <w:bookmarkEnd w:id="325"/>
      <w:bookmarkEnd w:id="326"/>
      <w:bookmarkEnd w:id="327"/>
      <w:bookmarkEnd w:id="328"/>
    </w:p>
    <w:p w:rsidR="00EE56BC" w:rsidRDefault="00202EB3" w:rsidP="00EE56BC">
      <w:pPr>
        <w:pStyle w:val="Bodypara"/>
      </w:pPr>
      <w:r>
        <w:t>A Transmission O</w:t>
      </w:r>
      <w:r>
        <w:t xml:space="preserve">wner shall not be responsible for any DAM Status Change that qualifies as an ISO-Directed DAM Status Change or Deemed ISO-Directed DAM Status Change.  Instead, the ISO shall allocate any revenue impacts resulting from a DAM Status Change that qualifies as </w:t>
      </w:r>
      <w:r>
        <w:t xml:space="preserve">an ISO-Directed DAM Status Change or Deemed ISO-Directed DAM Status Change as part of Net Congestion Rents for hour </w:t>
      </w:r>
      <w:r>
        <w:rPr>
          <w:i/>
        </w:rPr>
        <w:t>h</w:t>
      </w:r>
      <w:r>
        <w:t>.  To do so, the ISO shall be treated as a Transmission Owner when allocating DAM Constraint Residuals pursuant to Section 20.2.4.2 and Sec</w:t>
      </w:r>
      <w:r>
        <w:t xml:space="preserve">tion 20.2.4.3, and any DAM Status Change that qualifies as an ISO-Directed DAM Status Change or Deemed ISO-Directed DAM Status Change shall be attributed to the ISO when performing the calculations described in Section 20.2.4.2 and Section 20.2.4.3; </w:t>
      </w:r>
      <w:r>
        <w:rPr>
          <w:i/>
          <w:iCs/>
        </w:rPr>
        <w:t>provid</w:t>
      </w:r>
      <w:r>
        <w:rPr>
          <w:i/>
          <w:iCs/>
        </w:rPr>
        <w:t>ed, however</w:t>
      </w:r>
      <w:r>
        <w:t>, any O/R-t-S Congestion Rent Shortfall Charge, U/D Congestion Rent Shortfall Charge, O/R-t-S Congestion Rent Surplus Payment, or U/D Congestion Rent Surplus Payment allocable to the ISO pursuant to this Section 20.2.4.4.2 shall ultimately be al</w:t>
      </w:r>
      <w:r>
        <w:t>located to the Transmission Owners as Net Congestion Rents pursuant to Section 20.2.5.</w:t>
      </w:r>
    </w:p>
    <w:p w:rsidR="00EE56BC" w:rsidRDefault="00202EB3" w:rsidP="00EE56BC">
      <w:pPr>
        <w:pStyle w:val="Bodypara"/>
      </w:pPr>
      <w:r>
        <w:t>Responsibility for a Qualifying DAM Return-to-Service or Qualifying DAM Uprating that is directed by the ISO but does not qualify as a Deemed ISO-Directed DAM Status Cha</w:t>
      </w:r>
      <w:r>
        <w:t>nge shall be assigned to the Transmission Owner that was responsible for the Qualifying Auction Outage or Qualifying Auction Derating in the last Reconfiguration Auction held for TCCs valid for the relevant hour or the last 6-</w:t>
      </w:r>
      <w:r w:rsidRPr="00387663">
        <w:t>month S</w:t>
      </w:r>
      <w:r w:rsidRPr="00387663">
        <w:rPr>
          <w:color w:val="000000"/>
        </w:rPr>
        <w:t>ub-</w:t>
      </w:r>
      <w:r w:rsidRPr="00387663">
        <w:t>A</w:t>
      </w:r>
      <w:r w:rsidRPr="00387663">
        <w:rPr>
          <w:color w:val="000000"/>
        </w:rPr>
        <w:t>uction</w:t>
      </w:r>
      <w:r>
        <w:t xml:space="preserve"> of a Central</w:t>
      </w:r>
      <w:r>
        <w:t>ized TCC Auction held for TCCs valid for the relevant hour.</w:t>
      </w:r>
    </w:p>
    <w:p w:rsidR="00EE56BC" w:rsidRDefault="00202EB3" w:rsidP="008A066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202EB3" w:rsidP="00EE56BC">
      <w:pPr>
        <w:pStyle w:val="Bodypara"/>
      </w:pPr>
      <w:r>
        <w:t>A Transmission Owner shall not be responsible for a DAM Status Change occurring inside the NYCA that is caused by a change in the in-service or</w:t>
      </w:r>
      <w:r>
        <w:t xml:space="preserve"> out-of-service status or rating of a transmission facility located outside the NYCA.  Instead,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pursuant to Section 20.2.4.2 and Section 20.2.4.3 and any DAM Status Change caused by such an event outside the NYCA shall be attributed to the ISO when</w:t>
      </w:r>
      <w:r>
        <w:t xml:space="preserve"> performing the calculations described in Section 20.2.4.2 and Section 20.2.4.3; </w:t>
      </w:r>
      <w:r>
        <w:rPr>
          <w:i/>
          <w:iCs/>
        </w:rPr>
        <w:t>provided, however</w:t>
      </w:r>
      <w:r>
        <w:t xml:space="preserve">, any O/R-t-S Congestion Rent Shortfall Charge, U/D Congestion Rent Shortfall Charge, O/R-t-S Congestion Rent Surplus Payment, or U/D Congestion Rent Surplus </w:t>
      </w:r>
      <w:r>
        <w:t>Payment allocable to the ISO pursuant to this Section 20.2.4.4.3 shall ultimately be allocated to the Transmission Owners as Net Congestion Rents pursuant to Section 20.2.5.</w:t>
      </w:r>
    </w:p>
    <w:p w:rsidR="00EE56BC" w:rsidRDefault="00202EB3" w:rsidP="008A066C">
      <w:pPr>
        <w:pStyle w:val="Heading4"/>
        <w:rPr>
          <w:rFonts w:eastAsia="Arial Unicode MS"/>
        </w:rPr>
      </w:pPr>
      <w:bookmarkStart w:id="357" w:name="_Toc115547760"/>
      <w:bookmarkStart w:id="358" w:name="_Toc115574873"/>
      <w:bookmarkStart w:id="359" w:name="_Toc115773998"/>
      <w:bookmarkStart w:id="360" w:name="_Toc115840239"/>
      <w:bookmarkStart w:id="361" w:name="_Toc115840443"/>
      <w:bookmarkStart w:id="362" w:name="_Toc115840635"/>
      <w:bookmarkStart w:id="363" w:name="_Toc115845836"/>
      <w:bookmarkStart w:id="364" w:name="_Toc115846373"/>
      <w:bookmarkStart w:id="365" w:name="_Toc115846637"/>
      <w:bookmarkStart w:id="366" w:name="_Toc115847071"/>
      <w:bookmarkStart w:id="367" w:name="_Toc115847330"/>
      <w:bookmarkStart w:id="368" w:name="_Toc116195334"/>
      <w:bookmarkStart w:id="369" w:name="_Toc116196601"/>
      <w:bookmarkStart w:id="370" w:name="_Toc116196778"/>
      <w:bookmarkStart w:id="371" w:name="_Toc116197265"/>
      <w:bookmarkStart w:id="372" w:name="_Toc119143720"/>
      <w:bookmarkStart w:id="373" w:name="_Ref124132222"/>
      <w:bookmarkStart w:id="374" w:name="_Ref124132367"/>
      <w:bookmarkStart w:id="375" w:name="_Ref124679319"/>
      <w:bookmarkStart w:id="376" w:name="_Toc124754736"/>
      <w:bookmarkStart w:id="377" w:name="_Toc124858894"/>
      <w:bookmarkStart w:id="378" w:name="_Toc124859000"/>
      <w:bookmarkStart w:id="379" w:name="_Toc124908515"/>
      <w:bookmarkStart w:id="380" w:name="_Toc124908616"/>
      <w:bookmarkStart w:id="381" w:name="_Toc124909387"/>
      <w:bookmarkStart w:id="382" w:name="_Toc124909491"/>
      <w:bookmarkStart w:id="383" w:name="_Toc125885632"/>
      <w:bookmarkStart w:id="384" w:name="_Toc263346032"/>
      <w:r>
        <w:t>20.</w:t>
      </w:r>
      <w:r>
        <w:rPr>
          <w:rFonts w:eastAsia="Arial Unicode MS"/>
        </w:rPr>
        <w:t>2.4.4.4</w:t>
      </w:r>
      <w:r>
        <w:rPr>
          <w:rFonts w:eastAsia="Arial Unicode MS"/>
        </w:rPr>
        <w:tab/>
      </w:r>
      <w:r>
        <w:t xml:space="preserve">Shared Responsibility For Returns-to-Service and Upratings </w:t>
      </w:r>
      <w:r w:rsidRPr="00D377BB">
        <w:rPr>
          <w:rFonts w:eastAsia="Arial Unicode MS"/>
        </w:rPr>
        <w:t>During</w:t>
      </w:r>
      <w:r>
        <w:t xml:space="preserve"> a Tra</w:t>
      </w:r>
      <w:r>
        <w:t>nsitional Period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EE56BC" w:rsidRDefault="00202EB3" w:rsidP="00EE56BC">
      <w:pPr>
        <w:pStyle w:val="Bodypara"/>
      </w:pPr>
      <w:r>
        <w:t>Notwithstanding any other provision of this Attachment N, a Transmission Owner shall be deemed to be not responsible for a Qualifying DAM Return-to-Service, Qualifying DAM Derating, or Qualifying DAM Uprating for an hour of the Day-Ahead Market if this Att</w:t>
      </w:r>
      <w:r>
        <w:t>achment N was not in effect at the time of the last Reconfiguration Auction held for TCCs valid for the hour.  Instead, the ISO shall allocate any revenue impacts resulting from such a Qualifying DAM Return-to-Service, Qualifying DAM Derating, or Qualifyin</w:t>
      </w:r>
      <w:r>
        <w:t xml:space="preserve">g DAM Uprating as part of Net Congestion Rents for hour </w:t>
      </w:r>
      <w:r>
        <w:rPr>
          <w:i/>
        </w:rPr>
        <w:t>h</w:t>
      </w:r>
      <w:r>
        <w:t>.  To do so, the ISO shall be treated as a Transmission Owner when allocating DAM Constraint Residuals pursuant to Section 20.2.4.2 and Section 20.2.4.3, and any such Qualifying DAM Return-to-Service</w:t>
      </w:r>
      <w:r>
        <w:t xml:space="preserve">, Qualifying DAM Derating, or Qualifying DAM Uprating during this transitional period shall be attributed to the ISO when performing the calculations described in Section 20.2.4.2 and Section 20.2.4.3; </w:t>
      </w:r>
      <w:r>
        <w:rPr>
          <w:i/>
          <w:iCs/>
        </w:rPr>
        <w:t>provided, however</w:t>
      </w:r>
      <w:r>
        <w:t>, any O/R-t-S Congestion Rent Shortfa</w:t>
      </w:r>
      <w:r>
        <w:t>ll Charge, U/D Congestion Rent Shortfall Charge, O/R-t-S Congestion Rent Surplus Payment, or U/D Congestion Rent Surplus Payment allocable to the ISO pursuant to this Section 20.2.4.4.4 shall ultimately be allocated to the Transmission Owners as Net Conges</w:t>
      </w:r>
      <w:r>
        <w:t>tion Rents pursuant to Section 20.2.5.</w:t>
      </w:r>
    </w:p>
    <w:p w:rsidR="00EE56BC" w:rsidRDefault="00202EB3" w:rsidP="008A066C">
      <w:pPr>
        <w:pStyle w:val="Heading4"/>
        <w:rPr>
          <w:rFonts w:eastAsia="Arial Unicode MS"/>
        </w:rPr>
      </w:pPr>
      <w:bookmarkStart w:id="385" w:name="_Toc116195332"/>
      <w:bookmarkStart w:id="386" w:name="_Toc116196599"/>
      <w:bookmarkStart w:id="387" w:name="_Toc116196776"/>
      <w:bookmarkStart w:id="388" w:name="_Toc116197263"/>
      <w:bookmarkStart w:id="389" w:name="_Toc119143718"/>
      <w:bookmarkStart w:id="390" w:name="_Toc124754737"/>
      <w:bookmarkStart w:id="391" w:name="_Toc124858895"/>
      <w:bookmarkStart w:id="392" w:name="_Toc124859001"/>
      <w:bookmarkStart w:id="393" w:name="_Toc124908516"/>
      <w:bookmarkStart w:id="394" w:name="_Toc124908617"/>
      <w:bookmarkStart w:id="395" w:name="_Toc124909388"/>
      <w:bookmarkStart w:id="396" w:name="_Toc124909492"/>
      <w:bookmarkStart w:id="397" w:name="_Toc125885633"/>
      <w:bookmarkStart w:id="398" w:name="_Toc263346033"/>
      <w:bookmarkStart w:id="399" w:name="_Toc115547759"/>
      <w:bookmarkStart w:id="400" w:name="_Ref115548948"/>
      <w:bookmarkStart w:id="401" w:name="_Ref115549472"/>
      <w:bookmarkStart w:id="402" w:name="_Ref115549623"/>
      <w:bookmarkStart w:id="403" w:name="_Toc115574872"/>
      <w:bookmarkStart w:id="404" w:name="_Toc115773997"/>
      <w:bookmarkStart w:id="405" w:name="_Toc115840238"/>
      <w:bookmarkStart w:id="406" w:name="_Toc115840442"/>
      <w:bookmarkStart w:id="407" w:name="_Toc115840634"/>
      <w:bookmarkStart w:id="408" w:name="_Toc115845835"/>
      <w:bookmarkStart w:id="409" w:name="_Toc115846372"/>
      <w:bookmarkStart w:id="410" w:name="_Toc115846636"/>
      <w:bookmarkStart w:id="411" w:name="_Toc115847070"/>
      <w:bookmarkStart w:id="412" w:name="_Toc115847329"/>
      <w:r>
        <w:t>20.</w:t>
      </w:r>
      <w:r>
        <w:rPr>
          <w:rFonts w:eastAsia="Arial Unicode MS"/>
        </w:rPr>
        <w:t>2.4.5</w:t>
      </w:r>
      <w:r>
        <w:rPr>
          <w:rFonts w:eastAsia="Arial Unicode MS"/>
        </w:rPr>
        <w:tab/>
        <w:t>Exceptions: Setting Charges and Payments to Zero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E56BC" w:rsidRDefault="00202EB3" w:rsidP="008A066C">
      <w:pPr>
        <w:pStyle w:val="Heading4"/>
        <w:rPr>
          <w:rFonts w:eastAsia="Arial Unicode MS"/>
        </w:rPr>
      </w:pPr>
      <w:bookmarkStart w:id="413" w:name="_Toc116195333"/>
      <w:bookmarkStart w:id="414" w:name="_Toc116196600"/>
      <w:bookmarkStart w:id="415" w:name="_Toc116196777"/>
      <w:bookmarkStart w:id="416" w:name="_Toc116197264"/>
      <w:bookmarkStart w:id="417" w:name="_Toc119143719"/>
      <w:bookmarkStart w:id="418" w:name="_Ref124126993"/>
      <w:bookmarkStart w:id="419" w:name="_Toc124754738"/>
      <w:bookmarkStart w:id="420" w:name="_Toc124858896"/>
      <w:bookmarkStart w:id="421" w:name="_Toc124859002"/>
      <w:bookmarkStart w:id="422" w:name="_Toc124908517"/>
      <w:bookmarkStart w:id="423" w:name="_Toc124908618"/>
      <w:bookmarkStart w:id="424" w:name="_Toc124909389"/>
      <w:bookmarkStart w:id="425" w:name="_Toc124909493"/>
      <w:bookmarkStart w:id="426" w:name="_Toc125885634"/>
      <w:bookmarkStart w:id="427" w:name="_Toc263346034"/>
      <w:r>
        <w:t>20.</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EE56BC" w:rsidRDefault="00202EB3" w:rsidP="00EE56BC">
      <w:pPr>
        <w:pStyle w:val="Bodypara"/>
      </w:pPr>
      <w:r>
        <w:t xml:space="preserve">The ISO </w:t>
      </w:r>
      <w:r>
        <w:t>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for Transmission Owner</w:t>
      </w:r>
      <w:r>
        <w:t xml:space="preserve">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all constraints for hour </w:t>
      </w:r>
      <w:r>
        <w:rPr>
          <w:i/>
          <w:iCs/>
        </w:rPr>
        <w:t>h</w:t>
      </w:r>
      <w:r>
        <w:t xml:space="preserve"> if (i) NetDAMAllo</w:t>
      </w:r>
      <w:r>
        <w:t>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NetDAMAllocations</w:t>
      </w:r>
      <w:r>
        <w:rPr>
          <w:vertAlign w:val="subscript"/>
        </w:rPr>
        <w:t>t,h</w:t>
      </w:r>
      <w:r>
        <w:t xml:space="preserve"> is negative and Transmission O</w:t>
      </w:r>
      <w:r>
        <w:t xml:space="preserve">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the ISO shall not set equal to zero pursuant to this Section 20.2.4.5.1 any O/R-t-S CRSC</w:t>
      </w:r>
      <w:r>
        <w:rPr>
          <w:vertAlign w:val="subscript"/>
        </w:rPr>
        <w:t>a,t,</w:t>
      </w:r>
      <w:r>
        <w:rPr>
          <w:vertAlign w:val="subscript"/>
        </w:rPr>
        <w: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Section 20.2.4.4.3, or an event occurring during a</w:t>
      </w:r>
      <w:r>
        <w:t xml:space="preserve"> transitional period as described in Section 20.2.4.4.4.</w:t>
      </w:r>
    </w:p>
    <w:p w:rsidR="00EE56BC" w:rsidRDefault="00202EB3" w:rsidP="008A066C">
      <w:pPr>
        <w:pStyle w:val="subhead"/>
        <w:ind w:left="0"/>
        <w:jc w:val="center"/>
        <w:rPr>
          <w:bCs/>
        </w:rPr>
      </w:pPr>
      <w:bookmarkStart w:id="428" w:name="_Ref115548849"/>
      <w:r w:rsidRPr="0079303B">
        <w:rPr>
          <w:bCs/>
        </w:rPr>
        <w:t>Formula N-14</w:t>
      </w:r>
    </w:p>
    <w:p w:rsidR="0074070F" w:rsidRPr="0074070F" w:rsidRDefault="008722A9"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202EB3" w:rsidP="0074070F"/>
    <w:bookmarkEnd w:id="428"/>
    <w:p w:rsidR="00EE56BC" w:rsidRDefault="00202EB3">
      <w:pPr>
        <w:spacing w:after="120"/>
      </w:pPr>
      <w:r>
        <w:t>Where,</w:t>
      </w:r>
    </w:p>
    <w:p w:rsidR="00EE56BC" w:rsidRDefault="00202EB3" w:rsidP="00EE56BC">
      <w:pPr>
        <w:tabs>
          <w:tab w:val="left" w:pos="2070"/>
          <w:tab w:val="left" w:pos="2610"/>
        </w:tabs>
        <w:snapToGrid w:val="0"/>
        <w:spacing w:after="120"/>
        <w:ind w:left="2640" w:hanging="2640"/>
      </w:pPr>
      <w:r>
        <w:t>NetDAMAllocations</w:t>
      </w:r>
      <w:r>
        <w:rPr>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202EB3" w:rsidP="00EE56BC">
      <w:pPr>
        <w:tabs>
          <w:tab w:val="left" w:pos="2070"/>
          <w:tab w:val="left" w:pos="2610"/>
        </w:tabs>
        <w:snapToGrid w:val="0"/>
        <w:spacing w:after="120"/>
        <w:ind w:left="2640" w:hanging="2640"/>
      </w:pPr>
      <w:r>
        <w:t>O/R-t-S CRSC</w:t>
      </w:r>
      <w:r>
        <w:rPr>
          <w:vertAlign w:val="subscript"/>
        </w:rPr>
        <w:t>a,t,h</w:t>
      </w:r>
      <w:r>
        <w:tab/>
        <w:t>=</w:t>
      </w:r>
      <w:r>
        <w:tab/>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202EB3" w:rsidP="00EE56BC">
      <w:pPr>
        <w:tabs>
          <w:tab w:val="left" w:pos="2070"/>
          <w:tab w:val="left" w:pos="2610"/>
        </w:tabs>
        <w:snapToGrid w:val="0"/>
        <w:spacing w:after="120"/>
        <w:ind w:left="2640" w:hanging="2640"/>
      </w:pPr>
      <w:r>
        <w:t>U/D CRSC</w:t>
      </w:r>
      <w:r>
        <w:rPr>
          <w:vertAlign w:val="subscript"/>
        </w:rPr>
        <w:t>a,t,h</w:t>
      </w:r>
      <w:r>
        <w:tab/>
        <w:t>=</w:t>
      </w:r>
      <w:r>
        <w:tab/>
        <w:t xml:space="preserve">A U/D Congestion Rent Shortfall Charge allocated to Transmission Owner </w:t>
      </w:r>
      <w:r>
        <w:rPr>
          <w:i/>
          <w:iCs/>
        </w:rPr>
        <w:t>t</w:t>
      </w:r>
      <w:r>
        <w:rPr>
          <w:i/>
          <w:iCs/>
        </w:rPr>
        <w:t xml:space="preserve"> </w:t>
      </w:r>
      <w:r>
        <w:t>for binding constraint</w:t>
      </w:r>
      <w:r>
        <w:rPr>
          <w:i/>
        </w:rPr>
        <w:t xml:space="preserve"> a</w:t>
      </w:r>
      <w:r>
        <w:t xml:space="preserve"> in hour </w:t>
      </w:r>
      <w:r>
        <w:rPr>
          <w:i/>
          <w:iCs/>
        </w:rPr>
        <w:t xml:space="preserve">h </w:t>
      </w:r>
      <w:r>
        <w:t>of the Day-Ahead Market, calculated pursuant to Section 20.2.4.3</w:t>
      </w:r>
    </w:p>
    <w:p w:rsidR="00EE56BC" w:rsidRDefault="00202EB3"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Market</w:t>
      </w:r>
      <w:r>
        <w:t>, calculated pursuant to Section 20.2.4.2</w:t>
      </w:r>
    </w:p>
    <w:p w:rsidR="00EE56BC" w:rsidRDefault="00202EB3"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202EB3" w:rsidP="008A066C">
      <w:pPr>
        <w:pStyle w:val="Heading4"/>
        <w:rPr>
          <w:rFonts w:eastAsia="Arial Unicode MS"/>
        </w:rPr>
      </w:pPr>
      <w:bookmarkStart w:id="429" w:name="_Toc115547761"/>
      <w:bookmarkStart w:id="430" w:name="_Ref115548976"/>
      <w:bookmarkStart w:id="431" w:name="_Ref115549495"/>
      <w:bookmarkStart w:id="432" w:name="_Ref115549667"/>
      <w:bookmarkStart w:id="433" w:name="_Toc115574874"/>
      <w:bookmarkStart w:id="434" w:name="_Toc115773999"/>
      <w:bookmarkStart w:id="435" w:name="_Toc115840240"/>
      <w:bookmarkStart w:id="436" w:name="_Toc115840444"/>
      <w:bookmarkStart w:id="437" w:name="_Toc115840636"/>
      <w:bookmarkStart w:id="438" w:name="_Toc115845837"/>
      <w:bookmarkStart w:id="439" w:name="_Toc115846374"/>
      <w:bookmarkStart w:id="440" w:name="_Toc115846638"/>
      <w:bookmarkStart w:id="441" w:name="_Toc115847072"/>
      <w:bookmarkStart w:id="442" w:name="_Toc115847331"/>
      <w:bookmarkStart w:id="443" w:name="_Toc116195335"/>
      <w:bookmarkStart w:id="444" w:name="_Toc116196602"/>
      <w:bookmarkStart w:id="445" w:name="_Toc116196779"/>
      <w:bookmarkStart w:id="446" w:name="_Toc116197266"/>
      <w:bookmarkStart w:id="447" w:name="_Toc119143721"/>
      <w:bookmarkStart w:id="448" w:name="_Toc124754739"/>
      <w:bookmarkStart w:id="449" w:name="_Toc124858897"/>
      <w:bookmarkStart w:id="450" w:name="_Toc124859003"/>
      <w:bookmarkStart w:id="451" w:name="_Toc124908518"/>
      <w:bookmarkStart w:id="452" w:name="_Toc124908619"/>
      <w:bookmarkStart w:id="453" w:name="_Toc124909390"/>
      <w:bookmarkStart w:id="454" w:name="_Toc124909494"/>
      <w:bookmarkStart w:id="455" w:name="_Toc125885635"/>
      <w:bookmarkStart w:id="456" w:name="_Toc263346035"/>
      <w:r>
        <w:t>20.</w:t>
      </w:r>
      <w:r>
        <w:rPr>
          <w:rFonts w:eastAsia="Arial Unicode MS"/>
        </w:rPr>
        <w:t>2.4.5.2</w:t>
      </w:r>
      <w:r>
        <w:rPr>
          <w:rFonts w:eastAsia="Arial Unicode MS"/>
        </w:rPr>
        <w:tab/>
      </w:r>
      <w:r>
        <w:t>Zeroing Out o</w:t>
      </w:r>
      <w:r>
        <w:t>f Charges and Payments Resulting from Formula Failure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EE56BC" w:rsidRDefault="00202EB3" w:rsidP="00EE56BC">
      <w:pPr>
        <w:pStyle w:val="Bodypara"/>
      </w:pPr>
      <w:r>
        <w:t>Notwithstanding any other provision of this Attachment N, the ISO shall set equal to zero any O/R-t-S Congestion Rent Shortfall Charge, U/D Congestion Rent Shortfall Charge, O/R-t-S Congestion Rent Surp</w:t>
      </w:r>
      <w:r>
        <w:t xml:space="preserve">lus Payment, or U/D Congestion Rent Surplus Payment allocated to a Transmission Owner for an hour of the Day-Ahead Market if either: </w:t>
      </w:r>
    </w:p>
    <w:p w:rsidR="00EE56BC" w:rsidRDefault="00202EB3" w:rsidP="00EE56BC">
      <w:pPr>
        <w:pStyle w:val="romannumeralpara"/>
      </w:pPr>
      <w:r>
        <w:t>(i)</w:t>
      </w:r>
      <w:r>
        <w:tab/>
        <w:t>data necessary to compute such a charge or payment, as specified in the formulas set forth in Section 20.2.4, is not k</w:t>
      </w:r>
      <w:r>
        <w:t>nown by the ISO and cannot be computed by the ISO (in interpreting this clause, equipment failure shall not preclude computation by the ISO unless necessary data is irretrievably lost); or</w:t>
      </w:r>
    </w:p>
    <w:p w:rsidR="00EE56BC" w:rsidRDefault="00202EB3" w:rsidP="00EE56BC">
      <w:pPr>
        <w:pStyle w:val="romannumeralpara"/>
      </w:pPr>
      <w:r>
        <w:t>(ii)</w:t>
      </w:r>
      <w:r>
        <w:tab/>
        <w:t>both (a) the charge or payment is clearly and materially incon</w:t>
      </w:r>
      <w:r>
        <w:t xml:space="preserve">sistent with cost causation principles; and (b) this inconsistency is the result of factors not taken into account in the formulas used to calculate the charge or payment; </w:t>
      </w:r>
    </w:p>
    <w:p w:rsidR="00EE56BC" w:rsidRDefault="00202EB3" w:rsidP="00EE56BC">
      <w:pPr>
        <w:pStyle w:val="Bodypara"/>
        <w:ind w:firstLine="0"/>
      </w:pPr>
      <w:r>
        <w:rPr>
          <w:i/>
          <w:iCs/>
        </w:rPr>
        <w:t>provided, however</w:t>
      </w:r>
      <w:r>
        <w:t>, if the amount of charges or payments set equal to zero as a resu</w:t>
      </w:r>
      <w:r>
        <w:t>lt of the unknown data or inaccurate formula is greater than twenty five thousand dollars ($25,000) in any given month or greater than one hundred thousand dollars ($100,000) over multiple months, the ISO will inform the Transmission Owners of the identifi</w:t>
      </w:r>
      <w:r>
        <w:t>ed problem and will work with the Transmission Owners to determine if an alternative allocation method is needed and whether it will apply to all months for which the intended formula does not work.  Alternate methods would be subject to market participant</w:t>
      </w:r>
      <w:r>
        <w:t xml:space="preserve"> review and subsequent filing with FERC, as appropriate.</w:t>
      </w:r>
      <w:r>
        <w:tab/>
      </w:r>
    </w:p>
    <w:p w:rsidR="00EE56BC" w:rsidRDefault="00202EB3" w:rsidP="00EE56BC">
      <w:pPr>
        <w:pStyle w:val="Bodypara"/>
      </w:pPr>
      <w:r>
        <w:t>For the sake of clarity, the ISO shall not pursuant to this Section 20.2.4.5.2 set equal to zero any O/R-t-S Congestion Rent Shortfall Charge, U/D Congestion Rent Shortfall Charge, O/R-t-S Congestio</w:t>
      </w:r>
      <w:r>
        <w:t>n Rent Surplus Payment, or U/D Congestion Rent Surplus Payment that fails to meet these conditions, even if another O/R-t-S Congestion Rent Shortfall Charge, U/D Congestion Rent Shortfall Charge, O/R-t-S Congestion Rent Surplus Payment, or U/D Congestion R</w:t>
      </w:r>
      <w:r>
        <w:t>ent Surplus Payment is set equal to zero pursuant to this Section 20.2.4.5.2 in the same hour of the Day-Ahead Market.</w:t>
      </w:r>
    </w:p>
    <w:p w:rsidR="00EE56BC" w:rsidRPr="00F7006D" w:rsidRDefault="00202EB3" w:rsidP="008A066C">
      <w:pPr>
        <w:pStyle w:val="Heading4"/>
        <w:rPr>
          <w:rFonts w:eastAsia="Arial Unicode MS"/>
        </w:rPr>
      </w:pPr>
      <w:bookmarkStart w:id="457" w:name="_Toc263346036"/>
      <w:r>
        <w:t>20.</w:t>
      </w:r>
      <w:r w:rsidRPr="00F7006D">
        <w:rPr>
          <w:rFonts w:eastAsia="Arial Unicode MS"/>
        </w:rPr>
        <w:t>2.4.</w:t>
      </w:r>
      <w:r>
        <w:rPr>
          <w:rFonts w:eastAsia="Arial Unicode MS"/>
        </w:rPr>
        <w:t>6</w:t>
      </w:r>
      <w:r w:rsidRPr="00F7006D">
        <w:rPr>
          <w:rFonts w:eastAsia="Arial Unicode MS"/>
        </w:rPr>
        <w:tab/>
      </w:r>
      <w:bookmarkStart w:id="458" w:name="_Toc115774000"/>
      <w:bookmarkStart w:id="459" w:name="_Toc115840241"/>
      <w:bookmarkStart w:id="460" w:name="_Toc115840445"/>
      <w:bookmarkStart w:id="461" w:name="_Toc115840637"/>
      <w:bookmarkStart w:id="462" w:name="_Toc115845838"/>
      <w:bookmarkStart w:id="463" w:name="_Toc115846375"/>
      <w:bookmarkStart w:id="464" w:name="_Toc115846639"/>
      <w:bookmarkStart w:id="465" w:name="_Toc115847073"/>
      <w:bookmarkStart w:id="466" w:name="_Toc115847332"/>
      <w:bookmarkStart w:id="467" w:name="_Toc116195336"/>
      <w:bookmarkStart w:id="468" w:name="_Toc116196603"/>
      <w:bookmarkStart w:id="469" w:name="_Toc116196780"/>
      <w:bookmarkStart w:id="470" w:name="_Toc116197267"/>
      <w:bookmarkStart w:id="471" w:name="_Toc119143722"/>
      <w:bookmarkStart w:id="472" w:name="_Toc124754740"/>
      <w:bookmarkStart w:id="473" w:name="_Toc124858898"/>
      <w:bookmarkStart w:id="474" w:name="_Toc124859004"/>
      <w:bookmarkStart w:id="475" w:name="_Toc124908519"/>
      <w:bookmarkStart w:id="476" w:name="_Toc124908620"/>
      <w:bookmarkStart w:id="477" w:name="_Toc124909391"/>
      <w:bookmarkStart w:id="478" w:name="_Toc124909495"/>
      <w:bookmarkStart w:id="479" w:name="_Ref125514632"/>
      <w:bookmarkStart w:id="480" w:name="_Toc125885636"/>
      <w:r w:rsidRPr="00F7006D">
        <w:t>Information Requirements</w:t>
      </w:r>
      <w:bookmarkEnd w:id="239"/>
      <w:bookmarkEnd w:id="240"/>
      <w:bookmarkEnd w:id="241"/>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EE56BC" w:rsidRPr="00F7006D" w:rsidRDefault="00202EB3" w:rsidP="008A066C">
      <w:pPr>
        <w:pStyle w:val="Heading4"/>
        <w:rPr>
          <w:rFonts w:eastAsia="Arial Unicode MS"/>
        </w:rPr>
      </w:pPr>
      <w:bookmarkStart w:id="481" w:name="_Toc115547763"/>
      <w:bookmarkStart w:id="482" w:name="_Toc115574876"/>
      <w:bookmarkStart w:id="483" w:name="_Toc115774001"/>
      <w:bookmarkStart w:id="484" w:name="_Toc115840242"/>
      <w:bookmarkStart w:id="485" w:name="_Toc115840446"/>
      <w:bookmarkStart w:id="486" w:name="_Toc115840638"/>
      <w:bookmarkStart w:id="487" w:name="_Toc115845839"/>
      <w:bookmarkStart w:id="488" w:name="_Toc115846376"/>
      <w:bookmarkStart w:id="489" w:name="_Toc115846640"/>
      <w:bookmarkStart w:id="490" w:name="_Toc115847074"/>
      <w:bookmarkStart w:id="491" w:name="_Toc115847333"/>
      <w:bookmarkStart w:id="492" w:name="_Toc116195337"/>
      <w:bookmarkStart w:id="493" w:name="_Toc116196604"/>
      <w:bookmarkStart w:id="494" w:name="_Toc116196781"/>
      <w:bookmarkStart w:id="495" w:name="_Toc116197268"/>
      <w:bookmarkStart w:id="496" w:name="_Toc119143723"/>
      <w:bookmarkStart w:id="497" w:name="_Toc124754741"/>
      <w:bookmarkStart w:id="498" w:name="_Toc124858899"/>
      <w:bookmarkStart w:id="499" w:name="_Toc124859005"/>
      <w:bookmarkStart w:id="500" w:name="_Toc124908520"/>
      <w:bookmarkStart w:id="501" w:name="_Toc124908621"/>
      <w:bookmarkStart w:id="502" w:name="_Toc124909392"/>
      <w:bookmarkStart w:id="503" w:name="_Toc124909496"/>
      <w:bookmarkStart w:id="504" w:name="_Ref124912850"/>
      <w:bookmarkStart w:id="505" w:name="_Toc125885637"/>
      <w:bookmarkStart w:id="506" w:name="_Toc263346037"/>
      <w:r>
        <w:t>20.</w:t>
      </w:r>
      <w:r>
        <w:rPr>
          <w:rFonts w:eastAsia="Arial Unicode MS"/>
        </w:rPr>
        <w:t>2.4.6.1</w:t>
      </w:r>
      <w:r w:rsidRPr="00F7006D">
        <w:rPr>
          <w:rFonts w:eastAsia="Arial Unicode MS"/>
        </w:rPr>
        <w:tab/>
      </w:r>
      <w:r w:rsidRPr="00F7006D">
        <w:t>Information Regarding</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F7006D">
        <w:t xml:space="preserve"> Facility Ownership</w:t>
      </w:r>
      <w:bookmarkEnd w:id="505"/>
      <w:bookmarkEnd w:id="506"/>
    </w:p>
    <w:p w:rsidR="00EE56BC" w:rsidRPr="00F7006D" w:rsidRDefault="00202EB3" w:rsidP="00EE56BC">
      <w:pPr>
        <w:pStyle w:val="Bodypara"/>
      </w:pPr>
      <w:r w:rsidRPr="00F7006D">
        <w:t xml:space="preserve">A Transmission Owner shall be responsible for </w:t>
      </w:r>
      <w:r w:rsidRPr="00F7006D">
        <w:t>informing the ISO of any change in the ownership of a transmission facility.  The ISO shall allocate responsibility for DAM Status Changes based on the transmission facility ownership information available to it at the time of initial settlement.</w:t>
      </w:r>
    </w:p>
    <w:p w:rsidR="00EE56BC" w:rsidRPr="00F7006D" w:rsidRDefault="00202EB3" w:rsidP="008A066C">
      <w:pPr>
        <w:pStyle w:val="Heading4"/>
        <w:rPr>
          <w:rFonts w:eastAsia="Arial Unicode MS"/>
        </w:rPr>
      </w:pPr>
      <w:bookmarkStart w:id="507" w:name="_Toc115547764"/>
      <w:bookmarkStart w:id="508" w:name="_Toc115574877"/>
      <w:bookmarkStart w:id="509" w:name="_Toc115774002"/>
      <w:bookmarkStart w:id="510" w:name="_Toc115840243"/>
      <w:bookmarkStart w:id="511" w:name="_Toc115840447"/>
      <w:bookmarkStart w:id="512" w:name="_Toc115840639"/>
      <w:bookmarkStart w:id="513" w:name="_Toc115845840"/>
      <w:bookmarkStart w:id="514" w:name="_Toc115846377"/>
      <w:bookmarkStart w:id="515" w:name="_Toc115846641"/>
      <w:bookmarkStart w:id="516" w:name="_Toc115847075"/>
      <w:bookmarkStart w:id="517" w:name="_Toc115847334"/>
      <w:bookmarkStart w:id="518" w:name="_Toc116195338"/>
      <w:bookmarkStart w:id="519" w:name="_Toc116196605"/>
      <w:bookmarkStart w:id="520" w:name="_Toc116196782"/>
      <w:bookmarkStart w:id="521" w:name="_Toc116197269"/>
      <w:bookmarkStart w:id="522" w:name="_Toc119143724"/>
      <w:bookmarkStart w:id="523" w:name="_Toc124754742"/>
      <w:bookmarkStart w:id="524" w:name="_Toc124858900"/>
      <w:bookmarkStart w:id="525" w:name="_Toc124859006"/>
      <w:bookmarkStart w:id="526" w:name="_Toc124908521"/>
      <w:bookmarkStart w:id="527" w:name="_Toc124908622"/>
      <w:bookmarkStart w:id="528" w:name="_Toc124909393"/>
      <w:bookmarkStart w:id="529" w:name="_Toc124909497"/>
      <w:bookmarkStart w:id="530" w:name="_Toc125885638"/>
      <w:bookmarkStart w:id="531" w:name="_Toc263346038"/>
      <w:r>
        <w:t>20.</w:t>
      </w:r>
      <w:r>
        <w:rPr>
          <w:rFonts w:eastAsia="Arial Unicode MS"/>
        </w:rPr>
        <w:t>2.4.6.2</w:t>
      </w:r>
      <w:r w:rsidRPr="00F7006D">
        <w:rPr>
          <w:rFonts w:eastAsia="Arial Unicode MS"/>
        </w:rPr>
        <w:tab/>
      </w:r>
      <w:r w:rsidRPr="00F7006D">
        <w:t>Calculation of Settlements Without DCR Allocation Threshold</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E56BC" w:rsidRPr="00F7006D" w:rsidRDefault="00202EB3" w:rsidP="00EE56BC">
      <w:pPr>
        <w:pStyle w:val="Bodypara"/>
      </w:pPr>
      <w:r w:rsidRPr="00F7006D">
        <w:t>One month each year, the ISO shall, for informational purposes only, calculate the DAM</w:t>
      </w:r>
      <w:r w:rsidRPr="00B26827">
        <w:rPr>
          <w:u w:val="double"/>
        </w:rPr>
        <w:t xml:space="preserve"> </w:t>
      </w:r>
      <w:r w:rsidRPr="00F7006D">
        <w:t xml:space="preserve">Constraint Residuals for each constraint for each hour without applying the DCR Allocation Threshold </w:t>
      </w:r>
      <w:r w:rsidRPr="00F7006D">
        <w:t>and shall calculate all O/R-t-S Congestion Rent Shortfall Charges, O/R-t-S Congestion Rent Surplus Payments, U/D Congestion Rent Shortfall Charges, and U/D Congestion Rent Surplus Payments.  Before choosing the month for which it will perform these calcula</w:t>
      </w:r>
      <w:r w:rsidRPr="00F7006D">
        <w:t xml:space="preserve">tions, the ISO will consult with the Transmission Owners.  </w:t>
      </w:r>
    </w:p>
    <w:p w:rsidR="00EE56BC" w:rsidRDefault="00202EB3" w:rsidP="00EE56BC">
      <w:pPr>
        <w:pStyle w:val="Heading3"/>
      </w:pPr>
      <w:bookmarkStart w:id="532" w:name="_Toc263346039"/>
      <w:r>
        <w:t>20.2.5</w:t>
      </w:r>
      <w:r>
        <w:tab/>
        <w:t>Allocation of Net Congestion Rents to Transmission Owners</w:t>
      </w:r>
      <w:bookmarkEnd w:id="532"/>
    </w:p>
    <w:p w:rsidR="00EE56BC" w:rsidRDefault="00202EB3" w:rsidP="00EE56BC">
      <w:pPr>
        <w:pStyle w:val="Bodypara"/>
      </w:pPr>
      <w:r>
        <w:t xml:space="preserve">The Net Congestion Rents for each hour of month </w:t>
      </w:r>
      <w:r>
        <w:rPr>
          <w:i/>
          <w:iCs/>
        </w:rPr>
        <w:t>m</w:t>
      </w:r>
      <w:r>
        <w:t xml:space="preserve"> shall be summed over the month, so that positive and negative values net to a mon</w:t>
      </w:r>
      <w:r>
        <w:t>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202EB3" w:rsidP="00EE56BC">
      <w:pPr>
        <w:spacing w:line="480" w:lineRule="auto"/>
      </w:pPr>
      <w:r>
        <w:t>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w:t>
      </w:r>
      <w:r>
        <w:t>pursuant to Formula N-15.</w:t>
      </w:r>
    </w:p>
    <w:p w:rsidR="00EE56BC" w:rsidRDefault="00202EB3" w:rsidP="008A066C">
      <w:pPr>
        <w:pStyle w:val="subhead"/>
        <w:ind w:left="0"/>
        <w:jc w:val="center"/>
      </w:pPr>
      <w:r w:rsidRPr="008A066C">
        <w:rPr>
          <w:bCs/>
        </w:rPr>
        <w:t>Formula</w:t>
      </w:r>
      <w:r>
        <w:t xml:space="preserve"> N-15</w:t>
      </w:r>
    </w:p>
    <w:tbl>
      <w:tblPr>
        <w:tblStyle w:val="TableGrid"/>
        <w:tblW w:w="0" w:type="auto"/>
        <w:tblInd w:w="288" w:type="dxa"/>
        <w:tblBorders>
          <w:top w:val="nil"/>
          <w:left w:val="nil"/>
          <w:bottom w:val="nil"/>
          <w:right w:val="nil"/>
        </w:tblBorders>
        <w:tblLook w:val="04A0"/>
      </w:tblPr>
      <w:tblGrid>
        <w:gridCol w:w="2430"/>
        <w:gridCol w:w="6858"/>
      </w:tblGrid>
      <w:tr w:rsidR="008722A9" w:rsidTr="00C07BE0">
        <w:tc>
          <w:tcPr>
            <w:tcW w:w="2430" w:type="dxa"/>
            <w:vMerge w:val="restart"/>
            <w:tcBorders>
              <w:right w:val="nil"/>
            </w:tcBorders>
            <w:vAlign w:val="center"/>
          </w:tcPr>
          <w:p w:rsidR="0015320F" w:rsidRPr="00C07BE0" w:rsidRDefault="008722A9" w:rsidP="0015320F">
            <w:pPr>
              <w:jc w:val="center"/>
              <w:rPr>
                <w:sz w:val="20"/>
              </w:rPr>
            </w:pPr>
            <m:oMathPara>
              <m:oMath>
                <m:sSub>
                  <m:sSubPr>
                    <m:ctrlPr>
                      <w:del w:id="533" w:author="bissellge" w:date="2016-08-10T16:56:00Z">
                        <w:rPr>
                          <w:rFonts w:ascii="Cambria Math" w:hAnsi="Cambria Math"/>
                          <w:i/>
                          <w:sz w:val="20"/>
                        </w:rPr>
                      </w:del>
                    </m:ctrlPr>
                  </m:sSubPr>
                  <m:e>
                    <w:del w:id="534" w:author="bissellge" w:date="2016-08-10T16:56:00Z">
                      <m:r>
                        <w:rPr>
                          <w:rFonts w:ascii="Cambria Math" w:hAnsi="Cambria Math"/>
                          <w:sz w:val="20"/>
                        </w:rPr>
                        <m:t>AllocationFactor</m:t>
                      </m:r>
                    </w:del>
                  </m:e>
                  <m:sub>
                    <w:del w:id="535" w:author="bissellge" w:date="2016-08-10T16:56:00Z">
                      <m:r>
                        <w:rPr>
                          <w:rFonts w:ascii="Cambria Math" w:hAnsi="Cambria Math"/>
                          <w:sz w:val="20"/>
                        </w:rPr>
                        <m:t>t, m</m:t>
                      </m:r>
                    </w:del>
                  </m:sub>
                </m:sSub>
                <w:del w:id="536" w:author="bissellge" w:date="2016-08-10T16:56:00Z">
                  <m:r>
                    <w:rPr>
                      <w:rFonts w:ascii="Cambria Math" w:hAnsi="Cambria Math"/>
                      <w:sz w:val="20"/>
                    </w:rPr>
                    <m:t>=</m:t>
                  </m:r>
                </w:del>
              </m:oMath>
            </m:oMathPara>
          </w:p>
        </w:tc>
        <w:tc>
          <w:tcPr>
            <w:tcW w:w="6858" w:type="dxa"/>
            <w:tcBorders>
              <w:top w:val="nil"/>
              <w:left w:val="nil"/>
              <w:bottom w:val="single" w:sz="4" w:space="0" w:color="auto"/>
            </w:tcBorders>
          </w:tcPr>
          <w:p w:rsidR="0015320F" w:rsidRPr="00C07BE0" w:rsidRDefault="008722A9" w:rsidP="0015320F">
            <w:pPr>
              <w:rPr>
                <w:sz w:val="20"/>
              </w:rPr>
            </w:pPr>
            <m:oMathPara>
              <m:oMath>
                <m:d>
                  <m:dPr>
                    <m:ctrlPr>
                      <w:del w:id="537" w:author="bissellge" w:date="2016-08-10T16:57:00Z">
                        <w:rPr>
                          <w:rFonts w:ascii="Cambria Math" w:hAnsi="Cambria Math"/>
                          <w:i/>
                          <w:sz w:val="20"/>
                        </w:rPr>
                      </w:del>
                    </m:ctrlPr>
                  </m:dPr>
                  <m:e>
                    <m:sSub>
                      <m:sSubPr>
                        <m:ctrlPr>
                          <w:del w:id="538" w:author="bissellge" w:date="2016-08-10T16:57:00Z">
                            <w:rPr>
                              <w:rFonts w:ascii="Cambria Math" w:hAnsi="Cambria Math"/>
                              <w:i/>
                              <w:sz w:val="20"/>
                            </w:rPr>
                          </w:del>
                        </m:ctrlPr>
                      </m:sSubPr>
                      <m:e>
                        <w:del w:id="539" w:author="bissellge" w:date="2016-08-10T16:57:00Z">
                          <m:r>
                            <w:rPr>
                              <w:rFonts w:ascii="Cambria Math" w:hAnsi="Cambria Math"/>
                              <w:sz w:val="20"/>
                            </w:rPr>
                            <m:t>OriginalResidual</m:t>
                          </m:r>
                        </w:del>
                      </m:e>
                      <m:sub>
                        <w:del w:id="540" w:author="bissellge" w:date="2016-08-10T16:57:00Z">
                          <m:r>
                            <w:rPr>
                              <w:rFonts w:ascii="Cambria Math" w:hAnsi="Cambria Math"/>
                              <w:sz w:val="20"/>
                            </w:rPr>
                            <m:t>t, m</m:t>
                          </m:r>
                        </w:del>
                      </m:sub>
                    </m:sSub>
                    <w:del w:id="541" w:author="bissellge" w:date="2016-08-10T16:57:00Z">
                      <m:r>
                        <w:rPr>
                          <w:rFonts w:ascii="Cambria Math" w:hAnsi="Cambria Math"/>
                          <w:sz w:val="20"/>
                        </w:rPr>
                        <m:t>+</m:t>
                      </m:r>
                    </w:del>
                    <m:sSub>
                      <m:sSubPr>
                        <m:ctrlPr>
                          <w:del w:id="542" w:author="bissellge" w:date="2016-08-10T16:57:00Z">
                            <w:rPr>
                              <w:rFonts w:ascii="Cambria Math" w:hAnsi="Cambria Math"/>
                              <w:i/>
                              <w:sz w:val="20"/>
                            </w:rPr>
                          </w:del>
                        </m:ctrlPr>
                      </m:sSubPr>
                      <m:e>
                        <w:del w:id="543" w:author="bissellge" w:date="2016-08-10T16:57:00Z">
                          <m:r>
                            <w:rPr>
                              <w:rFonts w:ascii="Cambria Math" w:hAnsi="Cambria Math"/>
                              <w:sz w:val="20"/>
                            </w:rPr>
                            <m:t>ETCNL</m:t>
                          </m:r>
                        </w:del>
                      </m:e>
                      <m:sub>
                        <w:del w:id="544" w:author="bissellge" w:date="2016-08-10T16:57:00Z">
                          <m:r>
                            <w:rPr>
                              <w:rFonts w:ascii="Cambria Math" w:hAnsi="Cambria Math"/>
                              <w:sz w:val="20"/>
                            </w:rPr>
                            <m:t>t, m</m:t>
                          </m:r>
                        </w:del>
                      </m:sub>
                    </m:sSub>
                    <w:del w:id="545" w:author="bissellge" w:date="2016-08-10T16:57:00Z">
                      <m:r>
                        <w:rPr>
                          <w:rFonts w:ascii="Cambria Math" w:hAnsi="Cambria Math"/>
                          <w:sz w:val="20"/>
                        </w:rPr>
                        <m:t>+</m:t>
                      </m:r>
                    </w:del>
                    <m:sSub>
                      <m:sSubPr>
                        <m:ctrlPr>
                          <w:del w:id="546" w:author="bissellge" w:date="2016-08-10T16:57:00Z">
                            <w:rPr>
                              <w:rFonts w:ascii="Cambria Math" w:hAnsi="Cambria Math"/>
                              <w:i/>
                              <w:sz w:val="20"/>
                            </w:rPr>
                          </w:del>
                        </m:ctrlPr>
                      </m:sSubPr>
                      <m:e>
                        <w:del w:id="547" w:author="bissellge" w:date="2016-08-10T16:57:00Z">
                          <m:r>
                            <w:rPr>
                              <w:rFonts w:ascii="Cambria Math" w:hAnsi="Cambria Math"/>
                              <w:sz w:val="20"/>
                            </w:rPr>
                            <m:t>NARs</m:t>
                          </m:r>
                        </w:del>
                      </m:e>
                      <m:sub>
                        <w:del w:id="548" w:author="bissellge" w:date="2016-08-10T16:57:00Z">
                          <m:r>
                            <w:rPr>
                              <w:rFonts w:ascii="Cambria Math" w:hAnsi="Cambria Math"/>
                              <w:sz w:val="20"/>
                            </w:rPr>
                            <m:t>t, m</m:t>
                          </m:r>
                        </w:del>
                      </m:sub>
                    </m:sSub>
                    <w:del w:id="549" w:author="bissellge" w:date="2016-08-10T16:57:00Z">
                      <m:r>
                        <w:rPr>
                          <w:rFonts w:ascii="Cambria Math" w:hAnsi="Cambria Math"/>
                          <w:sz w:val="20"/>
                        </w:rPr>
                        <m:t>+</m:t>
                      </m:r>
                    </w:del>
                    <m:sSub>
                      <m:sSubPr>
                        <m:ctrlPr>
                          <w:del w:id="550" w:author="bissellge" w:date="2016-08-10T16:57:00Z">
                            <w:rPr>
                              <w:rFonts w:ascii="Cambria Math" w:hAnsi="Cambria Math"/>
                              <w:i/>
                              <w:sz w:val="20"/>
                            </w:rPr>
                          </w:del>
                        </m:ctrlPr>
                      </m:sSubPr>
                      <m:e>
                        <w:del w:id="551" w:author="bissellge" w:date="2016-08-10T16:57:00Z">
                          <m:r>
                            <w:rPr>
                              <w:rFonts w:ascii="Cambria Math" w:hAnsi="Cambria Math"/>
                              <w:sz w:val="20"/>
                            </w:rPr>
                            <m:t>GF</m:t>
                          </m:r>
                        </w:del>
                        <w:del w:id="552" w:author="bissellge" w:date="2016-08-10T16:56:00Z">
                          <m:r>
                            <w:rPr>
                              <w:rFonts w:ascii="Cambria Math" w:hAnsi="Cambria Math"/>
                              <w:sz w:val="20"/>
                            </w:rPr>
                            <m:t>R</m:t>
                          </m:r>
                        </w:del>
                        <w:del w:id="553" w:author="bissellge" w:date="2016-08-10T16:57:00Z">
                          <m:r>
                            <w:rPr>
                              <w:rFonts w:ascii="Cambria Math" w:hAnsi="Cambria Math"/>
                              <w:sz w:val="20"/>
                            </w:rPr>
                            <m:t>&amp;GFTCC</m:t>
                          </m:r>
                        </w:del>
                      </m:e>
                      <m:sub>
                        <w:del w:id="554" w:author="bissellge" w:date="2016-08-10T16:57:00Z">
                          <m:r>
                            <w:rPr>
                              <w:rFonts w:ascii="Cambria Math" w:hAnsi="Cambria Math"/>
                              <w:sz w:val="20"/>
                            </w:rPr>
                            <m:t>t, m</m:t>
                          </m:r>
                        </w:del>
                      </m:sub>
                    </m:sSub>
                  </m:e>
                </m:d>
              </m:oMath>
            </m:oMathPara>
          </w:p>
        </w:tc>
      </w:tr>
      <w:tr w:rsidR="008722A9" w:rsidTr="00C07BE0">
        <w:tc>
          <w:tcPr>
            <w:tcW w:w="2430" w:type="dxa"/>
            <w:vMerge/>
            <w:tcBorders>
              <w:right w:val="nil"/>
            </w:tcBorders>
          </w:tcPr>
          <w:p w:rsidR="0015320F" w:rsidRPr="00C07BE0" w:rsidRDefault="00202EB3" w:rsidP="0015320F">
            <w:pPr>
              <w:rPr>
                <w:sz w:val="20"/>
              </w:rPr>
            </w:pPr>
          </w:p>
        </w:tc>
        <w:tc>
          <w:tcPr>
            <w:tcW w:w="6858" w:type="dxa"/>
            <w:tcBorders>
              <w:top w:val="single" w:sz="4" w:space="0" w:color="auto"/>
              <w:left w:val="nil"/>
              <w:bottom w:val="nil"/>
            </w:tcBorders>
          </w:tcPr>
          <w:p w:rsidR="0015320F" w:rsidRPr="00C07BE0" w:rsidRDefault="008722A9" w:rsidP="0015320F">
            <w:pPr>
              <w:rPr>
                <w:sz w:val="20"/>
                <w:szCs w:val="22"/>
              </w:rPr>
            </w:pPr>
            <m:oMathPara>
              <m:oMath>
                <m:nary>
                  <m:naryPr>
                    <m:chr m:val="∑"/>
                    <m:limLoc m:val="undOvr"/>
                    <m:supHide m:val="on"/>
                    <m:ctrlPr>
                      <w:del w:id="555" w:author="bissellge" w:date="2016-08-10T16:56:00Z">
                        <w:rPr>
                          <w:rFonts w:ascii="Cambria Math" w:hAnsi="Cambria Math"/>
                          <w:i/>
                          <w:sz w:val="20"/>
                          <w:szCs w:val="22"/>
                        </w:rPr>
                      </w:del>
                    </m:ctrlPr>
                  </m:naryPr>
                  <m:sub>
                    <w:del w:id="556" w:author="bissellge" w:date="2016-08-10T16:56:00Z">
                      <m:r>
                        <w:rPr>
                          <w:rFonts w:ascii="Cambria Math" w:hAnsi="Cambria Math"/>
                          <w:sz w:val="20"/>
                          <w:szCs w:val="22"/>
                        </w:rPr>
                        <m:t>q∈T</m:t>
                      </m:r>
                    </w:del>
                  </m:sub>
                  <m:sup/>
                  <m:e>
                    <m:d>
                      <m:dPr>
                        <m:ctrlPr>
                          <w:del w:id="557" w:author="bissellge" w:date="2016-08-10T16:56:00Z">
                            <w:rPr>
                              <w:rFonts w:ascii="Cambria Math" w:hAnsi="Cambria Math"/>
                              <w:i/>
                              <w:sz w:val="20"/>
                              <w:szCs w:val="22"/>
                            </w:rPr>
                          </w:del>
                        </m:ctrlPr>
                      </m:dPr>
                      <m:e>
                        <m:sSub>
                          <m:sSubPr>
                            <m:ctrlPr>
                              <w:del w:id="558" w:author="bissellge" w:date="2016-08-10T16:56:00Z">
                                <w:rPr>
                                  <w:rFonts w:ascii="Cambria Math" w:hAnsi="Cambria Math"/>
                                  <w:i/>
                                  <w:sz w:val="20"/>
                                  <w:szCs w:val="22"/>
                                </w:rPr>
                              </w:del>
                            </m:ctrlPr>
                          </m:sSubPr>
                          <m:e>
                            <w:del w:id="559" w:author="bissellge" w:date="2016-08-10T16:56:00Z">
                              <m:r>
                                <w:rPr>
                                  <w:rFonts w:ascii="Cambria Math" w:hAnsi="Cambria Math"/>
                                  <w:sz w:val="20"/>
                                  <w:szCs w:val="22"/>
                                </w:rPr>
                                <m:t>OriginalResidual</m:t>
                              </m:r>
                            </w:del>
                          </m:e>
                          <m:sub>
                            <w:del w:id="560" w:author="bissellge" w:date="2016-08-10T16:56:00Z">
                              <m:r>
                                <w:rPr>
                                  <w:rFonts w:ascii="Cambria Math" w:hAnsi="Cambria Math"/>
                                  <w:sz w:val="20"/>
                                  <w:szCs w:val="22"/>
                                </w:rPr>
                                <m:t>q, m</m:t>
                              </m:r>
                            </w:del>
                          </m:sub>
                        </m:sSub>
                        <w:del w:id="561" w:author="bissellge" w:date="2016-08-10T16:56:00Z">
                          <m:r>
                            <w:rPr>
                              <w:rFonts w:ascii="Cambria Math" w:hAnsi="Cambria Math"/>
                              <w:sz w:val="20"/>
                              <w:szCs w:val="22"/>
                            </w:rPr>
                            <m:t>+</m:t>
                          </m:r>
                        </w:del>
                        <m:sSub>
                          <m:sSubPr>
                            <m:ctrlPr>
                              <w:del w:id="562" w:author="bissellge" w:date="2016-08-10T16:56:00Z">
                                <w:rPr>
                                  <w:rFonts w:ascii="Cambria Math" w:hAnsi="Cambria Math"/>
                                  <w:i/>
                                  <w:sz w:val="20"/>
                                  <w:szCs w:val="22"/>
                                </w:rPr>
                              </w:del>
                            </m:ctrlPr>
                          </m:sSubPr>
                          <m:e>
                            <w:del w:id="563" w:author="bissellge" w:date="2016-08-10T16:56:00Z">
                              <m:r>
                                <w:rPr>
                                  <w:rFonts w:ascii="Cambria Math" w:hAnsi="Cambria Math"/>
                                  <w:sz w:val="20"/>
                                  <w:szCs w:val="22"/>
                                </w:rPr>
                                <m:t>ETCNL</m:t>
                              </m:r>
                            </w:del>
                          </m:e>
                          <m:sub>
                            <w:del w:id="564" w:author="bissellge" w:date="2016-08-10T16:56:00Z">
                              <m:r>
                                <w:rPr>
                                  <w:rFonts w:ascii="Cambria Math" w:hAnsi="Cambria Math"/>
                                  <w:sz w:val="20"/>
                                  <w:szCs w:val="22"/>
                                </w:rPr>
                                <m:t>q, m</m:t>
                              </m:r>
                            </w:del>
                          </m:sub>
                        </m:sSub>
                        <w:del w:id="565" w:author="bissellge" w:date="2016-08-10T16:56:00Z">
                          <m:r>
                            <w:rPr>
                              <w:rFonts w:ascii="Cambria Math" w:hAnsi="Cambria Math"/>
                              <w:sz w:val="20"/>
                              <w:szCs w:val="22"/>
                            </w:rPr>
                            <m:t>+</m:t>
                          </m:r>
                        </w:del>
                        <m:sSub>
                          <m:sSubPr>
                            <m:ctrlPr>
                              <w:del w:id="566" w:author="bissellge" w:date="2016-08-10T16:56:00Z">
                                <w:rPr>
                                  <w:rFonts w:ascii="Cambria Math" w:hAnsi="Cambria Math"/>
                                  <w:i/>
                                  <w:sz w:val="20"/>
                                  <w:szCs w:val="22"/>
                                </w:rPr>
                              </w:del>
                            </m:ctrlPr>
                          </m:sSubPr>
                          <m:e>
                            <w:del w:id="567" w:author="bissellge" w:date="2016-08-10T16:56:00Z">
                              <m:r>
                                <w:rPr>
                                  <w:rFonts w:ascii="Cambria Math" w:hAnsi="Cambria Math"/>
                                  <w:sz w:val="20"/>
                                  <w:szCs w:val="22"/>
                                </w:rPr>
                                <m:t>NARs</m:t>
                              </m:r>
                            </w:del>
                          </m:e>
                          <m:sub>
                            <w:del w:id="568" w:author="bissellge" w:date="2016-08-10T16:56:00Z">
                              <m:r>
                                <w:rPr>
                                  <w:rFonts w:ascii="Cambria Math" w:hAnsi="Cambria Math"/>
                                  <w:sz w:val="20"/>
                                  <w:szCs w:val="22"/>
                                </w:rPr>
                                <m:t>q, m</m:t>
                              </m:r>
                            </w:del>
                          </m:sub>
                        </m:sSub>
                        <w:del w:id="569" w:author="bissellge" w:date="2016-08-10T16:56:00Z">
                          <m:r>
                            <w:rPr>
                              <w:rFonts w:ascii="Cambria Math" w:hAnsi="Cambria Math"/>
                              <w:sz w:val="20"/>
                              <w:szCs w:val="22"/>
                            </w:rPr>
                            <m:t>+</m:t>
                          </m:r>
                        </w:del>
                        <m:sSub>
                          <m:sSubPr>
                            <m:ctrlPr>
                              <w:del w:id="570" w:author="bissellge" w:date="2016-08-10T16:56:00Z">
                                <w:rPr>
                                  <w:rFonts w:ascii="Cambria Math" w:hAnsi="Cambria Math"/>
                                  <w:i/>
                                  <w:sz w:val="20"/>
                                  <w:szCs w:val="22"/>
                                </w:rPr>
                              </w:del>
                            </m:ctrlPr>
                          </m:sSubPr>
                          <m:e>
                            <w:del w:id="571" w:author="bissellge" w:date="2016-08-10T16:56:00Z">
                              <m:r>
                                <w:rPr>
                                  <w:rFonts w:ascii="Cambria Math" w:hAnsi="Cambria Math"/>
                                  <w:sz w:val="20"/>
                                  <w:szCs w:val="22"/>
                                </w:rPr>
                                <m:t>GFR&amp;GFTCC</m:t>
                              </m:r>
                            </w:del>
                          </m:e>
                          <m:sub>
                            <w:del w:id="572" w:author="bissellge" w:date="2016-08-10T16:56:00Z">
                              <m:r>
                                <w:rPr>
                                  <w:rFonts w:ascii="Cambria Math" w:hAnsi="Cambria Math"/>
                                  <w:sz w:val="20"/>
                                  <w:szCs w:val="22"/>
                                </w:rPr>
                                <m:t>q, m</m:t>
                              </m:r>
                            </w:del>
                          </m:sub>
                        </m:sSub>
                      </m:e>
                    </m:d>
                  </m:e>
                </m:nary>
              </m:oMath>
            </m:oMathPara>
          </w:p>
        </w:tc>
      </w:tr>
    </w:tbl>
    <w:p w:rsidR="0015320F" w:rsidRDefault="00202EB3" w:rsidP="0015320F">
      <w:pPr>
        <w:rPr>
          <w:ins w:id="573" w:author="bissellge" w:date="2016-08-10T16:57:00Z"/>
        </w:rPr>
      </w:pPr>
    </w:p>
    <w:tbl>
      <w:tblPr>
        <w:tblStyle w:val="TableGrid"/>
        <w:tblW w:w="10179" w:type="dxa"/>
        <w:jc w:val="center"/>
        <w:tblLook w:val="04A0"/>
      </w:tblPr>
      <w:tblGrid>
        <w:gridCol w:w="2079"/>
        <w:gridCol w:w="366"/>
        <w:gridCol w:w="7734"/>
      </w:tblGrid>
      <w:tr w:rsidR="008722A9" w:rsidTr="00EE007F">
        <w:trPr>
          <w:jc w:val="center"/>
          <w:ins w:id="574" w:author="bissellge" w:date="2016-08-10T16:58:00Z"/>
        </w:trPr>
        <w:tc>
          <w:tcPr>
            <w:tcW w:w="2079" w:type="dxa"/>
            <w:vMerge w:val="restart"/>
            <w:tcBorders>
              <w:top w:val="nil"/>
              <w:left w:val="nil"/>
              <w:bottom w:val="nil"/>
              <w:right w:val="nil"/>
            </w:tcBorders>
            <w:vAlign w:val="center"/>
          </w:tcPr>
          <w:p w:rsidR="0028776D" w:rsidRPr="00E464B0" w:rsidRDefault="008722A9" w:rsidP="00EE007F">
            <w:pPr>
              <w:pStyle w:val="equationtext"/>
              <w:tabs>
                <w:tab w:val="clear" w:pos="1800"/>
              </w:tabs>
              <w:ind w:left="0" w:firstLine="0"/>
              <w:jc w:val="right"/>
              <w:rPr>
                <w:ins w:id="575" w:author="bissellge" w:date="2016-08-10T16:58:00Z"/>
                <w:sz w:val="20"/>
                <w:szCs w:val="20"/>
              </w:rPr>
            </w:pPr>
            <m:oMathPara>
              <m:oMath>
                <m:sSub>
                  <m:sSubPr>
                    <m:ctrlPr>
                      <w:ins w:id="576" w:author="bissellge" w:date="2016-08-10T16:58:00Z">
                        <w:rPr>
                          <w:rFonts w:ascii="Cambria Math" w:hAnsi="Cambria Math"/>
                          <w:i/>
                          <w:sz w:val="20"/>
                          <w:szCs w:val="20"/>
                        </w:rPr>
                      </w:ins>
                    </m:ctrlPr>
                  </m:sSubPr>
                  <m:e>
                    <w:ins w:id="577" w:author="bissellge" w:date="2016-08-10T16:58:00Z">
                      <m:r>
                        <w:rPr>
                          <w:rFonts w:ascii="Cambria Math" w:hAnsi="Cambria Math"/>
                          <w:sz w:val="20"/>
                          <w:szCs w:val="20"/>
                        </w:rPr>
                        <m:t>AllocationFactor</m:t>
                      </m:r>
                    </w:ins>
                  </m:e>
                  <m:sub>
                    <w:ins w:id="578" w:author="bissellge" w:date="2016-08-10T16:58:00Z">
                      <m:r>
                        <w:rPr>
                          <w:rFonts w:ascii="Cambria Math" w:hAnsi="Cambria Math"/>
                          <w:sz w:val="20"/>
                          <w:szCs w:val="20"/>
                        </w:rPr>
                        <m:t>t,m</m:t>
                      </m:r>
                    </w:ins>
                  </m:sub>
                </m:sSub>
              </m:oMath>
            </m:oMathPara>
          </w:p>
        </w:tc>
        <w:tc>
          <w:tcPr>
            <w:tcW w:w="366" w:type="dxa"/>
            <w:vMerge w:val="restart"/>
            <w:tcBorders>
              <w:top w:val="nil"/>
              <w:left w:val="nil"/>
              <w:bottom w:val="nil"/>
              <w:right w:val="nil"/>
            </w:tcBorders>
            <w:vAlign w:val="center"/>
          </w:tcPr>
          <w:p w:rsidR="0028776D" w:rsidRPr="00E464B0" w:rsidRDefault="00202EB3" w:rsidP="00EE007F">
            <w:pPr>
              <w:pStyle w:val="equationtext"/>
              <w:tabs>
                <w:tab w:val="clear" w:pos="1800"/>
              </w:tabs>
              <w:ind w:left="0" w:firstLine="0"/>
              <w:jc w:val="center"/>
              <w:rPr>
                <w:ins w:id="579" w:author="bissellge" w:date="2016-08-10T16:58:00Z"/>
                <w:sz w:val="20"/>
                <w:szCs w:val="20"/>
              </w:rPr>
            </w:pPr>
            <m:oMathPara>
              <m:oMath>
                <w:ins w:id="580" w:author="bissellge" w:date="2016-08-10T16:58:00Z">
                  <m:r>
                    <w:rPr>
                      <w:rFonts w:ascii="Cambria Math" w:hAnsi="Cambria Math"/>
                      <w:sz w:val="20"/>
                      <w:szCs w:val="20"/>
                    </w:rPr>
                    <m:t>=</m:t>
                  </m:r>
                </w:ins>
              </m:oMath>
            </m:oMathPara>
          </w:p>
        </w:tc>
        <w:tc>
          <w:tcPr>
            <w:tcW w:w="7734" w:type="dxa"/>
            <w:tcBorders>
              <w:top w:val="nil"/>
              <w:left w:val="nil"/>
              <w:bottom w:val="single" w:sz="4" w:space="0" w:color="auto"/>
              <w:right w:val="nil"/>
            </w:tcBorders>
          </w:tcPr>
          <w:p w:rsidR="0028776D" w:rsidRPr="00E464B0" w:rsidRDefault="008722A9" w:rsidP="00EE007F">
            <w:pPr>
              <w:pStyle w:val="equationtext"/>
              <w:tabs>
                <w:tab w:val="clear" w:pos="1800"/>
              </w:tabs>
              <w:ind w:left="0" w:firstLine="0"/>
              <w:rPr>
                <w:ins w:id="581" w:author="bissellge" w:date="2016-08-10T16:58:00Z"/>
                <w:sz w:val="20"/>
                <w:szCs w:val="20"/>
              </w:rPr>
            </w:pPr>
            <m:oMathPara>
              <m:oMath>
                <m:d>
                  <m:dPr>
                    <m:ctrlPr>
                      <w:ins w:id="582" w:author="bissellge" w:date="2016-08-10T16:58:00Z">
                        <w:rPr>
                          <w:rFonts w:ascii="Cambria Math" w:hAnsi="Cambria Math"/>
                          <w:i/>
                          <w:sz w:val="20"/>
                          <w:szCs w:val="20"/>
                        </w:rPr>
                      </w:ins>
                    </m:ctrlPr>
                  </m:dPr>
                  <m:e>
                    <m:sSub>
                      <m:sSubPr>
                        <m:ctrlPr>
                          <w:ins w:id="583" w:author="bissellge" w:date="2016-08-10T16:58:00Z">
                            <w:rPr>
                              <w:rFonts w:ascii="Cambria Math" w:hAnsi="Cambria Math"/>
                              <w:i/>
                              <w:sz w:val="20"/>
                              <w:szCs w:val="20"/>
                            </w:rPr>
                          </w:ins>
                        </m:ctrlPr>
                      </m:sSubPr>
                      <m:e>
                        <w:ins w:id="584" w:author="bissellge" w:date="2016-08-10T16:58:00Z">
                          <m:r>
                            <w:rPr>
                              <w:rFonts w:ascii="Cambria Math" w:hAnsi="Cambria Math"/>
                              <w:sz w:val="20"/>
                              <w:szCs w:val="20"/>
                            </w:rPr>
                            <m:t>OriginalResidual</m:t>
                          </m:r>
                        </w:ins>
                      </m:e>
                      <m:sub>
                        <w:ins w:id="585" w:author="bissellge" w:date="2016-08-10T16:58:00Z">
                          <m:r>
                            <w:rPr>
                              <w:rFonts w:ascii="Cambria Math" w:hAnsi="Cambria Math"/>
                              <w:sz w:val="20"/>
                              <w:szCs w:val="20"/>
                            </w:rPr>
                            <m:t>t,m</m:t>
                          </m:r>
                        </w:ins>
                      </m:sub>
                    </m:sSub>
                    <w:ins w:id="586" w:author="bissellge" w:date="2016-08-10T16:58:00Z">
                      <m:r>
                        <w:rPr>
                          <w:rFonts w:ascii="Cambria Math" w:hAnsi="Cambria Math"/>
                          <w:sz w:val="20"/>
                          <w:szCs w:val="20"/>
                        </w:rPr>
                        <m:t>+</m:t>
                      </m:r>
                    </w:ins>
                    <m:sSub>
                      <m:sSubPr>
                        <m:ctrlPr>
                          <w:ins w:id="587" w:author="bissellge" w:date="2016-08-10T16:58:00Z">
                            <w:rPr>
                              <w:rFonts w:ascii="Cambria Math" w:hAnsi="Cambria Math"/>
                              <w:i/>
                              <w:sz w:val="20"/>
                              <w:szCs w:val="20"/>
                            </w:rPr>
                          </w:ins>
                        </m:ctrlPr>
                      </m:sSubPr>
                      <m:e>
                        <w:ins w:id="588" w:author="bissellge" w:date="2016-08-10T16:58:00Z">
                          <m:r>
                            <w:rPr>
                              <w:rFonts w:ascii="Cambria Math" w:hAnsi="Cambria Math"/>
                              <w:sz w:val="20"/>
                              <w:szCs w:val="20"/>
                            </w:rPr>
                            <m:t>ETCNL</m:t>
                          </m:r>
                        </w:ins>
                      </m:e>
                      <m:sub>
                        <w:ins w:id="589" w:author="bissellge" w:date="2016-08-10T16:58:00Z">
                          <m:r>
                            <w:rPr>
                              <w:rFonts w:ascii="Cambria Math" w:hAnsi="Cambria Math"/>
                              <w:sz w:val="20"/>
                              <w:szCs w:val="20"/>
                            </w:rPr>
                            <m:t>t,m</m:t>
                          </m:r>
                        </w:ins>
                      </m:sub>
                    </m:sSub>
                    <w:ins w:id="590" w:author="bissellge" w:date="2016-08-10T16:58:00Z">
                      <m:r>
                        <w:rPr>
                          <w:rFonts w:ascii="Cambria Math" w:hAnsi="Cambria Math"/>
                          <w:sz w:val="20"/>
                          <w:szCs w:val="20"/>
                        </w:rPr>
                        <m:t>+</m:t>
                      </m:r>
                    </w:ins>
                    <m:sSub>
                      <m:sSubPr>
                        <m:ctrlPr>
                          <w:ins w:id="591" w:author="bissellge" w:date="2016-08-10T16:58:00Z">
                            <w:rPr>
                              <w:rFonts w:ascii="Cambria Math" w:hAnsi="Cambria Math"/>
                              <w:i/>
                              <w:sz w:val="20"/>
                              <w:szCs w:val="20"/>
                            </w:rPr>
                          </w:ins>
                        </m:ctrlPr>
                      </m:sSubPr>
                      <m:e>
                        <w:ins w:id="592" w:author="bissellge" w:date="2016-08-10T16:58:00Z">
                          <m:r>
                            <w:rPr>
                              <w:rFonts w:ascii="Cambria Math" w:hAnsi="Cambria Math"/>
                              <w:sz w:val="20"/>
                              <w:szCs w:val="20"/>
                            </w:rPr>
                            <m:t>NARs</m:t>
                          </m:r>
                        </w:ins>
                      </m:e>
                      <m:sub>
                        <w:ins w:id="593" w:author="bissellge" w:date="2016-08-10T16:58:00Z">
                          <m:r>
                            <w:rPr>
                              <w:rFonts w:ascii="Cambria Math" w:hAnsi="Cambria Math"/>
                              <w:sz w:val="20"/>
                              <w:szCs w:val="20"/>
                            </w:rPr>
                            <m:t>t,m</m:t>
                          </m:r>
                        </w:ins>
                      </m:sub>
                    </m:sSub>
                    <w:ins w:id="594" w:author="bissellge" w:date="2016-08-10T16:58:00Z">
                      <m:r>
                        <w:rPr>
                          <w:rFonts w:ascii="Cambria Math" w:hAnsi="Cambria Math"/>
                          <w:sz w:val="20"/>
                          <w:szCs w:val="20"/>
                        </w:rPr>
                        <m:t>+</m:t>
                      </m:r>
                    </w:ins>
                    <m:sSub>
                      <m:sSubPr>
                        <m:ctrlPr>
                          <w:ins w:id="595" w:author="bissellge" w:date="2016-08-10T16:58:00Z">
                            <w:rPr>
                              <w:rFonts w:ascii="Cambria Math" w:hAnsi="Cambria Math"/>
                              <w:i/>
                              <w:sz w:val="20"/>
                              <w:szCs w:val="20"/>
                            </w:rPr>
                          </w:ins>
                        </m:ctrlPr>
                      </m:sSubPr>
                      <m:e>
                        <w:ins w:id="596" w:author="bissellge" w:date="2016-08-10T16:58:00Z">
                          <m:r>
                            <w:rPr>
                              <w:rFonts w:ascii="Cambria Math" w:hAnsi="Cambria Math"/>
                              <w:sz w:val="20"/>
                              <w:szCs w:val="20"/>
                            </w:rPr>
                            <m:t>GFR&amp;GFTCC</m:t>
                          </m:r>
                        </w:ins>
                      </m:e>
                      <m:sub>
                        <w:ins w:id="597" w:author="bissellge" w:date="2016-08-10T16:58:00Z">
                          <m:r>
                            <w:rPr>
                              <w:rFonts w:ascii="Cambria Math" w:hAnsi="Cambria Math"/>
                              <w:sz w:val="20"/>
                              <w:szCs w:val="20"/>
                            </w:rPr>
                            <m:t>t,m</m:t>
                          </m:r>
                        </w:ins>
                      </m:sub>
                    </m:sSub>
                    <w:ins w:id="598" w:author="bissellge" w:date="2016-08-10T16:58:00Z">
                      <m:r>
                        <w:rPr>
                          <w:rFonts w:ascii="Cambria Math" w:hAnsi="Cambria Math"/>
                          <w:sz w:val="20"/>
                          <w:szCs w:val="20"/>
                        </w:rPr>
                        <m:t>+</m:t>
                      </m:r>
                    </w:ins>
                    <m:sSub>
                      <m:sSubPr>
                        <m:ctrlPr>
                          <w:ins w:id="599" w:author="bissellge" w:date="2016-08-10T16:58:00Z">
                            <w:rPr>
                              <w:rFonts w:ascii="Cambria Math" w:hAnsi="Cambria Math"/>
                              <w:i/>
                              <w:sz w:val="20"/>
                              <w:szCs w:val="20"/>
                            </w:rPr>
                          </w:ins>
                        </m:ctrlPr>
                      </m:sSubPr>
                      <m:e>
                        <w:ins w:id="600" w:author="bissellge" w:date="2016-08-10T16:58:00Z">
                          <m:r>
                            <w:rPr>
                              <w:rFonts w:ascii="Cambria Math" w:hAnsi="Cambria Math"/>
                              <w:sz w:val="20"/>
                              <w:szCs w:val="20"/>
                            </w:rPr>
                            <m:t>HFPTCC</m:t>
                          </m:r>
                        </w:ins>
                      </m:e>
                      <m:sub>
                        <w:ins w:id="601" w:author="bissellge" w:date="2016-08-10T16:58:00Z">
                          <m:r>
                            <w:rPr>
                              <w:rFonts w:ascii="Cambria Math" w:hAnsi="Cambria Math"/>
                              <w:sz w:val="20"/>
                              <w:szCs w:val="20"/>
                            </w:rPr>
                            <m:t>t,m</m:t>
                          </m:r>
                        </w:ins>
                      </m:sub>
                    </m:sSub>
                  </m:e>
                </m:d>
              </m:oMath>
            </m:oMathPara>
          </w:p>
        </w:tc>
      </w:tr>
      <w:tr w:rsidR="008722A9" w:rsidTr="00EE007F">
        <w:trPr>
          <w:jc w:val="center"/>
          <w:ins w:id="602" w:author="bissellge" w:date="2016-08-10T16:58:00Z"/>
        </w:trPr>
        <w:tc>
          <w:tcPr>
            <w:tcW w:w="2079" w:type="dxa"/>
            <w:vMerge/>
            <w:tcBorders>
              <w:top w:val="nil"/>
              <w:left w:val="nil"/>
              <w:bottom w:val="nil"/>
              <w:right w:val="nil"/>
            </w:tcBorders>
            <w:vAlign w:val="center"/>
          </w:tcPr>
          <w:p w:rsidR="0028776D" w:rsidRPr="00E464B0" w:rsidRDefault="00202EB3" w:rsidP="00EE007F">
            <w:pPr>
              <w:pStyle w:val="equationtext"/>
              <w:tabs>
                <w:tab w:val="clear" w:pos="1800"/>
              </w:tabs>
              <w:ind w:left="0" w:firstLine="0"/>
              <w:jc w:val="right"/>
              <w:rPr>
                <w:ins w:id="603" w:author="bissellge" w:date="2016-08-10T16:58:00Z"/>
                <w:sz w:val="20"/>
                <w:szCs w:val="20"/>
              </w:rPr>
            </w:pPr>
          </w:p>
        </w:tc>
        <w:tc>
          <w:tcPr>
            <w:tcW w:w="366" w:type="dxa"/>
            <w:vMerge/>
            <w:tcBorders>
              <w:top w:val="nil"/>
              <w:left w:val="nil"/>
              <w:bottom w:val="nil"/>
              <w:right w:val="nil"/>
            </w:tcBorders>
            <w:vAlign w:val="center"/>
          </w:tcPr>
          <w:p w:rsidR="0028776D" w:rsidRPr="00E464B0" w:rsidRDefault="00202EB3" w:rsidP="00EE007F">
            <w:pPr>
              <w:pStyle w:val="equationtext"/>
              <w:tabs>
                <w:tab w:val="clear" w:pos="1800"/>
              </w:tabs>
              <w:ind w:left="0" w:firstLine="0"/>
              <w:jc w:val="center"/>
              <w:rPr>
                <w:ins w:id="604" w:author="bissellge" w:date="2016-08-10T16:58:00Z"/>
                <w:sz w:val="20"/>
                <w:szCs w:val="20"/>
              </w:rPr>
            </w:pPr>
          </w:p>
        </w:tc>
        <w:tc>
          <w:tcPr>
            <w:tcW w:w="7734" w:type="dxa"/>
            <w:tcBorders>
              <w:left w:val="nil"/>
              <w:bottom w:val="nil"/>
              <w:right w:val="nil"/>
            </w:tcBorders>
          </w:tcPr>
          <w:p w:rsidR="0028776D" w:rsidRPr="00E464B0" w:rsidRDefault="008722A9" w:rsidP="00EE007F">
            <w:pPr>
              <w:pStyle w:val="equationtext"/>
              <w:tabs>
                <w:tab w:val="clear" w:pos="1800"/>
              </w:tabs>
              <w:ind w:left="0" w:firstLine="0"/>
              <w:rPr>
                <w:ins w:id="605" w:author="bissellge" w:date="2016-08-10T16:58:00Z"/>
                <w:sz w:val="20"/>
                <w:szCs w:val="20"/>
              </w:rPr>
            </w:pPr>
            <m:oMathPara>
              <m:oMath>
                <m:nary>
                  <m:naryPr>
                    <m:chr m:val="∑"/>
                    <m:limLoc m:val="undOvr"/>
                    <m:supHide m:val="on"/>
                    <m:ctrlPr>
                      <w:ins w:id="606" w:author="bissellge" w:date="2016-08-10T16:58:00Z">
                        <w:rPr>
                          <w:rFonts w:ascii="Cambria Math" w:hAnsi="Cambria Math"/>
                          <w:i/>
                          <w:sz w:val="20"/>
                          <w:szCs w:val="20"/>
                        </w:rPr>
                      </w:ins>
                    </m:ctrlPr>
                  </m:naryPr>
                  <m:sub>
                    <w:ins w:id="607" w:author="bissellge" w:date="2016-08-10T16:58:00Z">
                      <m:r>
                        <w:rPr>
                          <w:rFonts w:ascii="Cambria Math" w:hAnsi="Cambria Math"/>
                          <w:sz w:val="20"/>
                          <w:szCs w:val="20"/>
                        </w:rPr>
                        <m:t>q∈T</m:t>
                      </m:r>
                    </w:ins>
                  </m:sub>
                  <m:sup/>
                  <m:e>
                    <m:d>
                      <m:dPr>
                        <m:ctrlPr>
                          <w:ins w:id="608" w:author="bissellge" w:date="2016-08-10T16:58:00Z">
                            <w:rPr>
                              <w:rFonts w:ascii="Cambria Math" w:hAnsi="Cambria Math"/>
                              <w:i/>
                              <w:sz w:val="20"/>
                              <w:szCs w:val="20"/>
                            </w:rPr>
                          </w:ins>
                        </m:ctrlPr>
                      </m:dPr>
                      <m:e>
                        <m:sSub>
                          <m:sSubPr>
                            <m:ctrlPr>
                              <w:ins w:id="609" w:author="bissellge" w:date="2016-08-10T16:58:00Z">
                                <w:rPr>
                                  <w:rFonts w:ascii="Cambria Math" w:hAnsi="Cambria Math"/>
                                  <w:i/>
                                  <w:sz w:val="20"/>
                                  <w:szCs w:val="20"/>
                                </w:rPr>
                              </w:ins>
                            </m:ctrlPr>
                          </m:sSubPr>
                          <m:e>
                            <w:ins w:id="610" w:author="bissellge" w:date="2016-08-10T16:58:00Z">
                              <m:r>
                                <w:rPr>
                                  <w:rFonts w:ascii="Cambria Math" w:hAnsi="Cambria Math"/>
                                  <w:sz w:val="20"/>
                                  <w:szCs w:val="20"/>
                                </w:rPr>
                                <m:t>OriginalResidual</m:t>
                              </m:r>
                            </w:ins>
                          </m:e>
                          <m:sub>
                            <w:ins w:id="611" w:author="bissellge" w:date="2016-08-10T16:58:00Z">
                              <m:r>
                                <w:rPr>
                                  <w:rFonts w:ascii="Cambria Math" w:hAnsi="Cambria Math"/>
                                  <w:sz w:val="20"/>
                                  <w:szCs w:val="20"/>
                                </w:rPr>
                                <m:t>q,m</m:t>
                              </m:r>
                            </w:ins>
                          </m:sub>
                        </m:sSub>
                        <w:ins w:id="612" w:author="bissellge" w:date="2016-08-10T16:58:00Z">
                          <m:r>
                            <w:rPr>
                              <w:rFonts w:ascii="Cambria Math" w:hAnsi="Cambria Math"/>
                              <w:sz w:val="20"/>
                              <w:szCs w:val="20"/>
                            </w:rPr>
                            <m:t>+</m:t>
                          </m:r>
                        </w:ins>
                        <m:sSub>
                          <m:sSubPr>
                            <m:ctrlPr>
                              <w:ins w:id="613" w:author="bissellge" w:date="2016-08-10T16:58:00Z">
                                <w:rPr>
                                  <w:rFonts w:ascii="Cambria Math" w:hAnsi="Cambria Math"/>
                                  <w:i/>
                                  <w:sz w:val="20"/>
                                  <w:szCs w:val="20"/>
                                </w:rPr>
                              </w:ins>
                            </m:ctrlPr>
                          </m:sSubPr>
                          <m:e>
                            <w:ins w:id="614" w:author="bissellge" w:date="2016-08-10T16:58:00Z">
                              <m:r>
                                <w:rPr>
                                  <w:rFonts w:ascii="Cambria Math" w:hAnsi="Cambria Math"/>
                                  <w:sz w:val="20"/>
                                  <w:szCs w:val="20"/>
                                </w:rPr>
                                <m:t>ETCNL</m:t>
                              </m:r>
                            </w:ins>
                          </m:e>
                          <m:sub>
                            <w:ins w:id="615" w:author="bissellge" w:date="2016-08-10T16:58:00Z">
                              <m:r>
                                <w:rPr>
                                  <w:rFonts w:ascii="Cambria Math" w:hAnsi="Cambria Math"/>
                                  <w:sz w:val="20"/>
                                  <w:szCs w:val="20"/>
                                </w:rPr>
                                <m:t>q,m</m:t>
                              </m:r>
                            </w:ins>
                          </m:sub>
                        </m:sSub>
                        <w:ins w:id="616" w:author="bissellge" w:date="2016-08-10T16:58:00Z">
                          <m:r>
                            <w:rPr>
                              <w:rFonts w:ascii="Cambria Math" w:hAnsi="Cambria Math"/>
                              <w:sz w:val="20"/>
                              <w:szCs w:val="20"/>
                            </w:rPr>
                            <m:t>+</m:t>
                          </m:r>
                        </w:ins>
                        <m:sSub>
                          <m:sSubPr>
                            <m:ctrlPr>
                              <w:ins w:id="617" w:author="bissellge" w:date="2016-08-10T16:58:00Z">
                                <w:rPr>
                                  <w:rFonts w:ascii="Cambria Math" w:hAnsi="Cambria Math"/>
                                  <w:i/>
                                  <w:sz w:val="20"/>
                                  <w:szCs w:val="20"/>
                                </w:rPr>
                              </w:ins>
                            </m:ctrlPr>
                          </m:sSubPr>
                          <m:e>
                            <w:ins w:id="618" w:author="bissellge" w:date="2016-08-10T16:58:00Z">
                              <m:r>
                                <w:rPr>
                                  <w:rFonts w:ascii="Cambria Math" w:hAnsi="Cambria Math"/>
                                  <w:sz w:val="20"/>
                                  <w:szCs w:val="20"/>
                                </w:rPr>
                                <m:t>NARs</m:t>
                              </m:r>
                            </w:ins>
                          </m:e>
                          <m:sub>
                            <w:ins w:id="619" w:author="bissellge" w:date="2016-08-10T16:58:00Z">
                              <m:r>
                                <w:rPr>
                                  <w:rFonts w:ascii="Cambria Math" w:hAnsi="Cambria Math"/>
                                  <w:sz w:val="20"/>
                                  <w:szCs w:val="20"/>
                                </w:rPr>
                                <m:t>q,m</m:t>
                              </m:r>
                            </w:ins>
                          </m:sub>
                        </m:sSub>
                        <w:ins w:id="620" w:author="bissellge" w:date="2016-08-10T16:58:00Z">
                          <m:r>
                            <w:rPr>
                              <w:rFonts w:ascii="Cambria Math" w:hAnsi="Cambria Math"/>
                              <w:sz w:val="20"/>
                              <w:szCs w:val="20"/>
                            </w:rPr>
                            <m:t>+</m:t>
                          </m:r>
                        </w:ins>
                        <m:sSub>
                          <m:sSubPr>
                            <m:ctrlPr>
                              <w:ins w:id="621" w:author="bissellge" w:date="2016-08-10T16:58:00Z">
                                <w:rPr>
                                  <w:rFonts w:ascii="Cambria Math" w:hAnsi="Cambria Math"/>
                                  <w:i/>
                                  <w:sz w:val="20"/>
                                  <w:szCs w:val="20"/>
                                </w:rPr>
                              </w:ins>
                            </m:ctrlPr>
                          </m:sSubPr>
                          <m:e>
                            <w:ins w:id="622" w:author="bissellge" w:date="2016-08-10T16:58:00Z">
                              <m:r>
                                <w:rPr>
                                  <w:rFonts w:ascii="Cambria Math" w:hAnsi="Cambria Math"/>
                                  <w:sz w:val="20"/>
                                  <w:szCs w:val="20"/>
                                </w:rPr>
                                <m:t>GFR&amp;GFTCC</m:t>
                              </m:r>
                            </w:ins>
                          </m:e>
                          <m:sub>
                            <w:ins w:id="623" w:author="bissellge" w:date="2016-08-10T16:58:00Z">
                              <m:r>
                                <w:rPr>
                                  <w:rFonts w:ascii="Cambria Math" w:hAnsi="Cambria Math"/>
                                  <w:sz w:val="20"/>
                                  <w:szCs w:val="20"/>
                                </w:rPr>
                                <m:t>q,m</m:t>
                              </m:r>
                            </w:ins>
                          </m:sub>
                        </m:sSub>
                        <w:ins w:id="624" w:author="bissellge" w:date="2016-08-10T16:58:00Z">
                          <m:r>
                            <w:rPr>
                              <w:rFonts w:ascii="Cambria Math" w:hAnsi="Cambria Math"/>
                              <w:sz w:val="20"/>
                              <w:szCs w:val="20"/>
                            </w:rPr>
                            <m:t>+</m:t>
                          </m:r>
                        </w:ins>
                        <m:sSub>
                          <m:sSubPr>
                            <m:ctrlPr>
                              <w:ins w:id="625" w:author="bissellge" w:date="2016-08-10T16:58:00Z">
                                <w:rPr>
                                  <w:rFonts w:ascii="Cambria Math" w:hAnsi="Cambria Math"/>
                                  <w:i/>
                                  <w:sz w:val="20"/>
                                  <w:szCs w:val="20"/>
                                </w:rPr>
                              </w:ins>
                            </m:ctrlPr>
                          </m:sSubPr>
                          <m:e>
                            <w:ins w:id="626" w:author="bissellge" w:date="2016-08-10T16:58:00Z">
                              <m:r>
                                <w:rPr>
                                  <w:rFonts w:ascii="Cambria Math" w:hAnsi="Cambria Math"/>
                                  <w:sz w:val="20"/>
                                  <w:szCs w:val="20"/>
                                </w:rPr>
                                <m:t>HFPTCC</m:t>
                              </m:r>
                            </w:ins>
                          </m:e>
                          <m:sub>
                            <w:ins w:id="627" w:author="bissellge" w:date="2016-08-10T16:58:00Z">
                              <m:r>
                                <w:rPr>
                                  <w:rFonts w:ascii="Cambria Math" w:hAnsi="Cambria Math"/>
                                  <w:sz w:val="20"/>
                                  <w:szCs w:val="20"/>
                                </w:rPr>
                                <m:t>q,m</m:t>
                              </m:r>
                            </w:ins>
                          </m:sub>
                        </m:sSub>
                      </m:e>
                    </m:d>
                  </m:e>
                </m:nary>
              </m:oMath>
            </m:oMathPara>
          </w:p>
        </w:tc>
      </w:tr>
    </w:tbl>
    <w:p w:rsidR="0028776D" w:rsidRPr="0015320F" w:rsidRDefault="00202EB3" w:rsidP="0015320F"/>
    <w:p w:rsidR="00EE56BC" w:rsidRDefault="00202EB3" w:rsidP="00EE56BC">
      <w:pPr>
        <w:pStyle w:val="Bodypara"/>
      </w:pPr>
      <w:r>
        <w:t>Where,</w:t>
      </w:r>
    </w:p>
    <w:tbl>
      <w:tblPr>
        <w:tblW w:w="0" w:type="auto"/>
        <w:tblInd w:w="18" w:type="dxa"/>
        <w:tblLayout w:type="fixed"/>
        <w:tblLook w:val="0000"/>
      </w:tblPr>
      <w:tblGrid>
        <w:gridCol w:w="2520"/>
        <w:gridCol w:w="270"/>
        <w:gridCol w:w="6750"/>
      </w:tblGrid>
      <w:tr w:rsidR="008722A9" w:rsidTr="00EE56BC">
        <w:tc>
          <w:tcPr>
            <w:tcW w:w="2520" w:type="dxa"/>
          </w:tcPr>
          <w:p w:rsidR="00EE56BC" w:rsidRDefault="00202EB3" w:rsidP="00EE56BC">
            <w:pPr>
              <w:keepNext/>
            </w:pPr>
            <w:r>
              <w:t>Allocation Factor</w:t>
            </w:r>
            <w:r>
              <w:rPr>
                <w:vertAlign w:val="subscript"/>
              </w:rPr>
              <w:t>t,m</w:t>
            </w:r>
          </w:p>
        </w:tc>
        <w:tc>
          <w:tcPr>
            <w:tcW w:w="270" w:type="dxa"/>
          </w:tcPr>
          <w:p w:rsidR="00EE56BC" w:rsidRDefault="00202EB3" w:rsidP="00EE56BC">
            <w:r>
              <w:t>=</w:t>
            </w:r>
          </w:p>
        </w:tc>
        <w:tc>
          <w:tcPr>
            <w:tcW w:w="6750" w:type="dxa"/>
          </w:tcPr>
          <w:p w:rsidR="00EE56BC" w:rsidRDefault="00202EB3"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8722A9" w:rsidTr="00EE56BC">
        <w:tc>
          <w:tcPr>
            <w:tcW w:w="2520" w:type="dxa"/>
          </w:tcPr>
          <w:p w:rsidR="00EE56BC" w:rsidRDefault="00202EB3" w:rsidP="00EE56BC">
            <w:r>
              <w:t>Original Residual</w:t>
            </w:r>
            <w:r>
              <w:rPr>
                <w:vertAlign w:val="subscript"/>
              </w:rPr>
              <w:t>q,m</w:t>
            </w:r>
          </w:p>
        </w:tc>
        <w:tc>
          <w:tcPr>
            <w:tcW w:w="270" w:type="dxa"/>
          </w:tcPr>
          <w:p w:rsidR="00EE56BC" w:rsidRDefault="00202EB3" w:rsidP="00EE56BC">
            <w:r>
              <w:t>=</w:t>
            </w:r>
          </w:p>
        </w:tc>
        <w:tc>
          <w:tcPr>
            <w:tcW w:w="6750" w:type="dxa"/>
          </w:tcPr>
          <w:p w:rsidR="00EE56BC" w:rsidRDefault="00202EB3" w:rsidP="00EE56BC">
            <w:pPr>
              <w:spacing w:after="120"/>
            </w:pPr>
            <w:r w:rsidRPr="00387663">
              <w:t xml:space="preserve">The one-month portion of the revenue </w:t>
            </w:r>
            <w:r w:rsidRPr="00387663">
              <w:t>imputed to the Direct Sale or the sale in any Centralized TCC Auction S</w:t>
            </w:r>
            <w:r w:rsidRPr="00387663">
              <w:rPr>
                <w:color w:val="000000"/>
              </w:rPr>
              <w:t>ub-</w:t>
            </w:r>
            <w:r w:rsidRPr="00387663">
              <w:t>A</w:t>
            </w:r>
            <w:r w:rsidRPr="00387663">
              <w:rPr>
                <w:color w:val="000000"/>
              </w:rPr>
              <w:t>uction</w:t>
            </w:r>
            <w:r w:rsidRPr="00387663">
              <w:t xml:space="preserve"> of Original Residual TCCs that are valid in month </w:t>
            </w:r>
            <w:r w:rsidRPr="00387663">
              <w:rPr>
                <w:i/>
                <w:iCs/>
              </w:rPr>
              <w:t>m</w:t>
            </w:r>
            <w:r w:rsidRPr="00387663">
              <w:t>.  The one-month portion of the revenue imputed to the Direct Sale of these Original Residual TCCs shall be the market clea</w:t>
            </w:r>
            <w:r w:rsidRPr="00387663">
              <w:t xml:space="preserve">ring price of the TCCs in the Reconfiguration Auction held for month </w:t>
            </w:r>
            <w:r w:rsidRPr="00387663">
              <w:rPr>
                <w:i/>
                <w:iCs/>
              </w:rPr>
              <w:t>m</w:t>
            </w:r>
            <w:r w:rsidRPr="00387663">
              <w:t xml:space="preserve"> (or one-sixth of the average market 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 Auction was held for month </w:t>
            </w:r>
            <w:r w:rsidRPr="00387663">
              <w:rPr>
                <w:i/>
                <w:iCs/>
              </w:rPr>
              <w:t>m.</w:t>
            </w:r>
            <w:r w:rsidRPr="00F25E55">
              <w:rPr>
                <w:i/>
                <w:iCs/>
              </w:rPr>
              <w:t xml:space="preserve"> </w:t>
            </w:r>
            <w:r w:rsidRPr="00F25E55">
              <w:rPr>
                <w:rStyle w:val="BodyparaChar"/>
                <w:bCs/>
              </w:rPr>
              <w:t xml:space="preserve">For </w:t>
            </w:r>
            <w:r w:rsidRPr="00F25E55">
              <w:rPr>
                <w:bCs/>
              </w:rPr>
              <w:t>C</w:t>
            </w:r>
            <w:r w:rsidRPr="00F25E55">
              <w:rPr>
                <w:bCs/>
              </w:rPr>
              <w:t xml:space="preserve">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t>).</w:t>
            </w:r>
            <w:r w:rsidRPr="00387663">
              <w:t xml:space="preserve"> The one-month portion of the revenue imputed to the sale in a</w:t>
            </w:r>
            <w:r w:rsidRPr="00387663">
              <w:t>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8722A9" w:rsidTr="00EE56BC">
        <w:tc>
          <w:tcPr>
            <w:tcW w:w="2520" w:type="dxa"/>
          </w:tcPr>
          <w:p w:rsidR="00EE56BC" w:rsidRDefault="00202EB3" w:rsidP="00EE56BC">
            <w:r>
              <w:t>ETCNL</w:t>
            </w:r>
            <w:r>
              <w:rPr>
                <w:vertAlign w:val="subscript"/>
              </w:rPr>
              <w:t>q,m</w:t>
            </w:r>
          </w:p>
        </w:tc>
        <w:tc>
          <w:tcPr>
            <w:tcW w:w="270" w:type="dxa"/>
          </w:tcPr>
          <w:p w:rsidR="00EE56BC" w:rsidRDefault="00202EB3" w:rsidP="00EE56BC">
            <w:r>
              <w:t>=</w:t>
            </w:r>
          </w:p>
        </w:tc>
        <w:tc>
          <w:tcPr>
            <w:tcW w:w="6750" w:type="dxa"/>
          </w:tcPr>
          <w:p w:rsidR="00EE56BC" w:rsidRPr="00B91D22" w:rsidRDefault="00202EB3" w:rsidP="00EE56BC">
            <w:pPr>
              <w:spacing w:after="120"/>
              <w:rPr>
                <w:vertAlign w:val="superscript"/>
              </w:rPr>
            </w:pPr>
            <w:r w:rsidRPr="00B91D22">
              <w:t>The sum of the one-month portion of the revenue the Transmission Owner has received as payment for the Direct Sale of ETCNL or for its ETCNL released in th</w:t>
            </w:r>
            <w:r w:rsidRPr="00B91D22">
              <w:t>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Each one-month portion of the revenue for ETCNL released in such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w:t>
            </w:r>
            <w:r w:rsidRPr="00B91D22">
              <w:t>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r>
              <w:rPr>
                <w:rStyle w:val="FootnoteReference"/>
                <w:vertAlign w:val="superscript"/>
              </w:rPr>
              <w:footnoteReference w:id="2"/>
            </w:r>
            <w:r w:rsidRPr="00B91D22">
              <w:rPr>
                <w:vertAlign w:val="superscript"/>
              </w:rPr>
              <w:t xml:space="preserve"> </w:t>
            </w:r>
            <w:r w:rsidRPr="00B91D22">
              <w:t>The one-month portion of the revenue imputed to the Direct Sale of ETCNL shall be the value of the TCCs correspondi</w:t>
            </w:r>
            <w:r w:rsidRPr="00B91D22">
              <w:t xml:space="preserve">ng to that ETCNL in the Reconfiguration Auction held for month </w:t>
            </w:r>
            <w:r w:rsidRPr="00B91D22">
              <w:rPr>
                <w:i/>
                <w:iCs/>
              </w:rPr>
              <w:t>m</w:t>
            </w:r>
            <w:r w:rsidRPr="00B91D22">
              <w:t xml:space="preserve"> (or one-sixth of the average market 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month </w:t>
            </w:r>
            <w:r w:rsidRPr="00F25E55">
              <w:rPr>
                <w:i/>
                <w:iCs/>
              </w:rPr>
              <w:t>m</w:t>
            </w:r>
            <w:r w:rsidRPr="00F25E55">
              <w:t>).</w:t>
            </w:r>
            <w:r w:rsidRPr="00F25E55">
              <w:rPr>
                <w:rStyle w:val="BodyparaChar"/>
                <w:bCs/>
                <w:color w:val="0000FF"/>
              </w:rPr>
              <w:t xml:space="preserve"> </w:t>
            </w:r>
            <w:r w:rsidRPr="00F25E55">
              <w:rPr>
                <w:rStyle w:val="BodyparaChar"/>
                <w:bCs/>
              </w:rPr>
              <w:t xml:space="preserve">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r w:rsidRPr="00F25E55">
              <w:rPr>
                <w:bCs/>
                <w:color w:val="FF0000"/>
              </w:rPr>
              <w:t xml:space="preserve"> </w:t>
            </w:r>
          </w:p>
        </w:tc>
      </w:tr>
      <w:tr w:rsidR="008722A9" w:rsidTr="00EE56BC">
        <w:tc>
          <w:tcPr>
            <w:tcW w:w="2520" w:type="dxa"/>
          </w:tcPr>
          <w:p w:rsidR="00EE56BC" w:rsidRDefault="00202EB3" w:rsidP="00EE56BC">
            <w:r>
              <w:t>NARs</w:t>
            </w:r>
            <w:r>
              <w:rPr>
                <w:vertAlign w:val="subscript"/>
              </w:rPr>
              <w:t>q,m</w:t>
            </w:r>
          </w:p>
        </w:tc>
        <w:tc>
          <w:tcPr>
            <w:tcW w:w="270" w:type="dxa"/>
          </w:tcPr>
          <w:p w:rsidR="00EE56BC" w:rsidRDefault="00202EB3" w:rsidP="00EE56BC">
            <w:r>
              <w:t>=</w:t>
            </w:r>
          </w:p>
        </w:tc>
        <w:tc>
          <w:tcPr>
            <w:tcW w:w="6750" w:type="dxa"/>
          </w:tcPr>
          <w:p w:rsidR="00EE56BC" w:rsidRPr="00B91D22" w:rsidRDefault="00202EB3" w:rsidP="00EE56BC">
            <w:pPr>
              <w:spacing w:after="120"/>
            </w:pPr>
            <w:r w:rsidRPr="00B91D22">
              <w:t xml:space="preserve">The one-month portion of the Net Auction </w:t>
            </w:r>
            <w:r w:rsidRPr="00B91D22">
              <w:t>Revenues the Transmission Owner has received in Centralized TCC Auction S</w:t>
            </w:r>
            <w:r w:rsidRPr="00B91D22">
              <w:rPr>
                <w:color w:val="000000"/>
              </w:rPr>
              <w:t>ub-</w:t>
            </w:r>
            <w:r w:rsidRPr="00B91D22">
              <w:t>A</w:t>
            </w:r>
            <w:r w:rsidRPr="00B91D22">
              <w:rPr>
                <w:color w:val="000000"/>
              </w:rPr>
              <w:t>uction</w:t>
            </w:r>
            <w:r w:rsidRPr="00B91D22">
              <w:t xml:space="preserve"> and Reconfiguration Auctions held for TCCs valid for month </w:t>
            </w:r>
            <w:r w:rsidRPr="00B91D22">
              <w:rPr>
                <w:i/>
                <w:iCs/>
              </w:rPr>
              <w:t>m</w:t>
            </w:r>
            <w:r w:rsidRPr="00B91D22">
              <w:t xml:space="preserve"> (which shall not include any revenue from the sale of Original Residual TCCs).  The one-month portion of the re</w:t>
            </w:r>
            <w:r w:rsidRPr="00B91D22">
              <w:t xml:space="preserve">venues shall be calculated by summing (i) the revenue Transmission Owner </w:t>
            </w:r>
            <w:r w:rsidRPr="00B91D22">
              <w:rPr>
                <w:i/>
                <w:iCs/>
              </w:rPr>
              <w:t xml:space="preserve">q </w:t>
            </w:r>
            <w:r w:rsidRPr="00B91D22">
              <w:t>received in each Centralized TCC Auction S</w:t>
            </w:r>
            <w:r w:rsidRPr="00B91D22">
              <w:rPr>
                <w:color w:val="000000"/>
              </w:rPr>
              <w:t>ub-</w:t>
            </w:r>
            <w:r w:rsidRPr="00B91D22">
              <w:t>A</w:t>
            </w:r>
            <w:r w:rsidRPr="00B91D22">
              <w:rPr>
                <w:color w:val="000000"/>
              </w:rPr>
              <w:t>uction</w:t>
            </w:r>
            <w:r w:rsidRPr="00B91D22">
              <w:t xml:space="preserve"> or Reconfiguration Auction from the allocation of Net Auction Revenue pursuant to Section 20.3.7, divided by the duration in mon</w:t>
            </w:r>
            <w:r w:rsidRPr="00B91D22">
              <w:t>ths of the TCCs sold in the Centralized TCC Auction S</w:t>
            </w:r>
            <w:r w:rsidRPr="00B91D22">
              <w:rPr>
                <w:color w:val="000000"/>
              </w:rPr>
              <w:t>ub-</w:t>
            </w:r>
            <w:r w:rsidRPr="00B91D22">
              <w:t>A</w:t>
            </w:r>
            <w:r w:rsidRPr="00B91D22">
              <w:rPr>
                <w:color w:val="000000"/>
              </w:rPr>
              <w:t>uction</w:t>
            </w:r>
            <w:r w:rsidRPr="00B91D22">
              <w:t xml:space="preserve"> or Reconfiguration Auction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w:t>
            </w:r>
            <w:r w:rsidRPr="00B91D22">
              <w:t xml:space="preserve">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w:t>
            </w:r>
            <w:r w:rsidRPr="00B91D22">
              <w:t xml:space="preserve">uant to a different methodology, the net of such revenue impacts for Transmission Owner </w:t>
            </w:r>
            <w:r w:rsidRPr="00B91D22">
              <w:rPr>
                <w:i/>
                <w:iCs/>
              </w:rPr>
              <w:t>q</w:t>
            </w:r>
            <w:r w:rsidRPr="00B91D22">
              <w:t>), minus (iii) NetAuctionAllocations</w:t>
            </w:r>
            <w:r w:rsidRPr="00B91D22">
              <w:rPr>
                <w:vertAlign w:val="subscript"/>
              </w:rPr>
              <w:t>t,n</w:t>
            </w:r>
            <w:r w:rsidRPr="00B91D22">
              <w:t xml:space="preserve"> as calculated pursuant to Formula N-27 and as adjusted for any charges or payments that are zeroed out for Transmission Owner </w:t>
            </w:r>
            <w:r w:rsidRPr="00B91D22">
              <w:rPr>
                <w:i/>
                <w:iCs/>
              </w:rPr>
              <w:t>q</w:t>
            </w:r>
            <w:r w:rsidRPr="00B91D22">
              <w:t xml:space="preserve"> for the Reconfiguration Auction </w:t>
            </w:r>
            <w:r w:rsidRPr="00B91D22">
              <w:rPr>
                <w:i/>
                <w:iCs/>
              </w:rPr>
              <w:t>n</w:t>
            </w:r>
            <w:r w:rsidRPr="00B91D22">
              <w:t xml:space="preserve"> held for 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w:t>
            </w:r>
            <w:r w:rsidRPr="00B91D22">
              <w:t xml:space="preserve">for Transmission Owner </w:t>
            </w:r>
            <w:r w:rsidRPr="00B91D22">
              <w:rPr>
                <w:i/>
                <w:iCs/>
              </w:rPr>
              <w:t>q</w:t>
            </w:r>
            <w:r w:rsidRPr="00B91D22">
              <w:t xml:space="preserve">).  For Centralized TCC Auctions conducted before May 1, 2010, the calculation of (ii) shall incorporate only Stage 1 six month rounds. </w:t>
            </w:r>
          </w:p>
        </w:tc>
      </w:tr>
      <w:tr w:rsidR="008722A9" w:rsidTr="00EE56BC">
        <w:tc>
          <w:tcPr>
            <w:tcW w:w="2520" w:type="dxa"/>
          </w:tcPr>
          <w:p w:rsidR="00EE56BC" w:rsidRDefault="00202EB3" w:rsidP="00EE56BC">
            <w:r>
              <w:t>GFR&amp;GFTCC</w:t>
            </w:r>
            <w:r>
              <w:rPr>
                <w:vertAlign w:val="subscript"/>
              </w:rPr>
              <w:t>q,m</w:t>
            </w:r>
          </w:p>
        </w:tc>
        <w:tc>
          <w:tcPr>
            <w:tcW w:w="270" w:type="dxa"/>
          </w:tcPr>
          <w:p w:rsidR="00EE56BC" w:rsidRPr="00B91D22" w:rsidRDefault="00202EB3" w:rsidP="00EE56BC">
            <w:r w:rsidRPr="00B91D22">
              <w:t>=</w:t>
            </w:r>
          </w:p>
        </w:tc>
        <w:tc>
          <w:tcPr>
            <w:tcW w:w="6750" w:type="dxa"/>
          </w:tcPr>
          <w:p w:rsidR="00EE56BC" w:rsidRPr="00B91D22" w:rsidRDefault="00202EB3" w:rsidP="00EE56BC">
            <w:pPr>
              <w:spacing w:after="120"/>
            </w:pPr>
            <w:r w:rsidRPr="00B91D22">
              <w:t>The one-month portion of the imputed value of Grandfathered TCCs and Grandfathe</w:t>
            </w:r>
            <w:r w:rsidRPr="00B91D22">
              <w:t xml:space="preserve">red Rights, valued at their market clearing prices in the Reconfiguration Auction for 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w:t>
            </w:r>
            <w:r w:rsidRPr="00B91D22">
              <w:t xml:space="preserve">d for month </w:t>
            </w:r>
            <w:r w:rsidRPr="00B91D22">
              <w:rPr>
                <w:i/>
                <w:iCs/>
              </w:rPr>
              <w:t>m</w:t>
            </w:r>
            <w:r w:rsidRPr="00B91D22">
              <w:t>), provided that the Transmission Owner is the selling party and the Existing Transmission Agreement related to each G</w:t>
            </w:r>
            <w:r w:rsidRPr="00F25E55">
              <w:t xml:space="preserve">randfathered TCC and Grandfathered Right remains valid in month </w:t>
            </w:r>
            <w:r w:rsidRPr="00F25E55">
              <w:rPr>
                <w:i/>
                <w:iCs/>
              </w:rPr>
              <w:t>m</w:t>
            </w:r>
            <w:r w:rsidRPr="00F25E55">
              <w:rPr>
                <w:iCs/>
              </w:rPr>
              <w:t>.</w:t>
            </w:r>
            <w:r w:rsidRPr="00F25E55">
              <w:rPr>
                <w:rStyle w:val="BodyparaChar"/>
                <w:bCs/>
              </w:rPr>
              <w:t xml:space="preserve"> For </w:t>
            </w:r>
            <w:r w:rsidRPr="00F25E55">
              <w:rPr>
                <w:bCs/>
              </w:rPr>
              <w:t xml:space="preserve">Centralized TCC Auctions conducted before May 1, 2010, the calculation of </w:t>
            </w:r>
            <w:r w:rsidRPr="00F25E55">
              <w:t xml:space="preserve">the average market clearing price in rounds of the 6-month Sub-Auction shall incorporate only </w:t>
            </w:r>
            <w:r w:rsidRPr="00F25E55">
              <w:rPr>
                <w:bCs/>
              </w:rPr>
              <w:t>Stage 1 six month rounds.</w:t>
            </w:r>
          </w:p>
        </w:tc>
      </w:tr>
      <w:tr w:rsidR="008722A9" w:rsidTr="00EE56BC">
        <w:tc>
          <w:tcPr>
            <w:tcW w:w="2520" w:type="dxa"/>
          </w:tcPr>
          <w:p w:rsidR="0028776D" w:rsidRDefault="00202EB3" w:rsidP="00EE56BC">
            <w:ins w:id="628" w:author="bissellge" w:date="2016-08-10T16:59:00Z">
              <w:r w:rsidRPr="0006183F">
                <w:rPr>
                  <w:szCs w:val="24"/>
                </w:rPr>
                <w:t>HFPTCC</w:t>
              </w:r>
              <w:r w:rsidRPr="0006183F">
                <w:rPr>
                  <w:szCs w:val="24"/>
                  <w:vertAlign w:val="subscript"/>
                </w:rPr>
                <w:t>q,m</w:t>
              </w:r>
            </w:ins>
          </w:p>
        </w:tc>
        <w:tc>
          <w:tcPr>
            <w:tcW w:w="270" w:type="dxa"/>
          </w:tcPr>
          <w:p w:rsidR="0028776D" w:rsidRPr="00B91D22" w:rsidRDefault="00202EB3" w:rsidP="00EE56BC">
            <w:ins w:id="629" w:author="bissellge" w:date="2016-08-10T16:59:00Z">
              <w:r>
                <w:t>=</w:t>
              </w:r>
            </w:ins>
          </w:p>
        </w:tc>
        <w:tc>
          <w:tcPr>
            <w:tcW w:w="6750" w:type="dxa"/>
          </w:tcPr>
          <w:p w:rsidR="0028776D" w:rsidRPr="00B91D22" w:rsidRDefault="00202EB3" w:rsidP="00EE56BC">
            <w:pPr>
              <w:spacing w:after="120"/>
            </w:pPr>
            <w:ins w:id="630" w:author="bissellge" w:date="2016-08-10T16:59:00Z">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pursuant to Section 20.4 of t</w:t>
              </w:r>
              <w:r w:rsidRPr="0006183F">
                <w:rPr>
                  <w:bCs/>
                  <w:szCs w:val="24"/>
                </w:rPr>
                <w:t xml:space="preserve">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2016</w:t>
              </w:r>
              <w:r w:rsidRPr="008044B5">
                <w:rPr>
                  <w:bCs/>
                  <w:szCs w:val="24"/>
                </w:rPr>
                <w:t>.</w:t>
              </w:r>
            </w:ins>
          </w:p>
        </w:tc>
      </w:tr>
      <w:tr w:rsidR="008722A9" w:rsidTr="00EE56BC">
        <w:tc>
          <w:tcPr>
            <w:tcW w:w="2520" w:type="dxa"/>
          </w:tcPr>
          <w:p w:rsidR="00EE56BC" w:rsidRDefault="00202EB3" w:rsidP="00EE56BC">
            <w:pPr>
              <w:rPr>
                <w:lang w:val="fr-FR"/>
              </w:rPr>
            </w:pPr>
            <w:r>
              <w:rPr>
                <w:lang w:val="fr-FR"/>
              </w:rPr>
              <w:t>t</w:t>
            </w:r>
          </w:p>
        </w:tc>
        <w:tc>
          <w:tcPr>
            <w:tcW w:w="270" w:type="dxa"/>
          </w:tcPr>
          <w:p w:rsidR="00EE56BC" w:rsidRDefault="00202EB3" w:rsidP="00EE56BC">
            <w:pPr>
              <w:rPr>
                <w:lang w:val="fr-FR"/>
              </w:rPr>
            </w:pPr>
            <w:r>
              <w:rPr>
                <w:lang w:val="fr-FR"/>
              </w:rPr>
              <w:t>=</w:t>
            </w:r>
          </w:p>
        </w:tc>
        <w:tc>
          <w:tcPr>
            <w:tcW w:w="6750" w:type="dxa"/>
          </w:tcPr>
          <w:p w:rsidR="00EE56BC" w:rsidRDefault="00202EB3" w:rsidP="00EE56BC">
            <w:pPr>
              <w:spacing w:after="120"/>
              <w:rPr>
                <w:lang w:val="fr-FR"/>
              </w:rPr>
            </w:pPr>
            <w:r>
              <w:rPr>
                <w:lang w:val="fr-FR"/>
              </w:rPr>
              <w:t xml:space="preserve">Transmission Owner </w:t>
            </w:r>
            <w:r>
              <w:rPr>
                <w:i/>
                <w:iCs/>
                <w:lang w:val="fr-FR"/>
              </w:rPr>
              <w:t>t</w:t>
            </w:r>
          </w:p>
        </w:tc>
      </w:tr>
      <w:tr w:rsidR="008722A9" w:rsidTr="00EE56BC">
        <w:tc>
          <w:tcPr>
            <w:tcW w:w="2520" w:type="dxa"/>
          </w:tcPr>
          <w:p w:rsidR="00EE56BC" w:rsidRDefault="00202EB3" w:rsidP="00EE56BC">
            <w:r>
              <w:t>T</w:t>
            </w:r>
          </w:p>
        </w:tc>
        <w:tc>
          <w:tcPr>
            <w:tcW w:w="270" w:type="dxa"/>
          </w:tcPr>
          <w:p w:rsidR="00EE56BC" w:rsidRDefault="00202EB3" w:rsidP="00EE56BC">
            <w:r>
              <w:t>=</w:t>
            </w:r>
          </w:p>
        </w:tc>
        <w:tc>
          <w:tcPr>
            <w:tcW w:w="6750" w:type="dxa"/>
          </w:tcPr>
          <w:p w:rsidR="00EE56BC" w:rsidRDefault="00202EB3" w:rsidP="00EE56BC">
            <w:pPr>
              <w:spacing w:after="240"/>
            </w:pPr>
            <w:r>
              <w:t xml:space="preserve">The set of all Transmission Owners </w:t>
            </w:r>
            <w:r>
              <w:rPr>
                <w:i/>
                <w:iCs/>
              </w:rPr>
              <w:t>q</w:t>
            </w:r>
            <w:r>
              <w:t>.</w:t>
            </w:r>
          </w:p>
        </w:tc>
      </w:tr>
    </w:tbl>
    <w:p w:rsidR="00EE56BC" w:rsidRDefault="00202EB3"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2A9" w:rsidRDefault="008722A9" w:rsidP="008722A9">
      <w:r>
        <w:separator/>
      </w:r>
    </w:p>
  </w:endnote>
  <w:endnote w:type="continuationSeparator" w:id="0">
    <w:p w:rsidR="008722A9" w:rsidRDefault="008722A9" w:rsidP="00872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722A9">
      <w:rPr>
        <w:rFonts w:ascii="Arial" w:eastAsia="Arial" w:hAnsi="Arial" w:cs="Arial"/>
        <w:color w:val="000000"/>
        <w:sz w:val="16"/>
      </w:rPr>
      <w:fldChar w:fldCharType="begin"/>
    </w:r>
    <w:r>
      <w:rPr>
        <w:rFonts w:ascii="Arial" w:eastAsia="Arial" w:hAnsi="Arial" w:cs="Arial"/>
        <w:color w:val="000000"/>
        <w:sz w:val="16"/>
      </w:rPr>
      <w:instrText>PAGE</w:instrText>
    </w:r>
    <w:r w:rsidR="008722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jc w:val="right"/>
      <w:rPr>
        <w:rFonts w:ascii="Arial" w:eastAsia="Arial" w:hAnsi="Arial" w:cs="Arial"/>
        <w:color w:val="000000"/>
        <w:sz w:val="16"/>
      </w:rPr>
    </w:pPr>
    <w:r>
      <w:rPr>
        <w:rFonts w:ascii="Arial" w:eastAsia="Arial" w:hAnsi="Arial" w:cs="Arial"/>
        <w:color w:val="000000"/>
        <w:sz w:val="16"/>
      </w:rPr>
      <w:t>Effective Date: 10/18/2016 - Docket #: ER16-2444-000 - Page</w:t>
    </w:r>
    <w:r>
      <w:rPr>
        <w:rFonts w:ascii="Arial" w:eastAsia="Arial" w:hAnsi="Arial" w:cs="Arial"/>
        <w:color w:val="000000"/>
        <w:sz w:val="16"/>
      </w:rPr>
      <w:t xml:space="preserve"> </w:t>
    </w:r>
    <w:r w:rsidR="008722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22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8722A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8722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1B" w:rsidRDefault="00202EB3">
      <w:r>
        <w:separator/>
      </w:r>
    </w:p>
  </w:footnote>
  <w:footnote w:type="continuationSeparator" w:id="0">
    <w:p w:rsidR="00D1111B" w:rsidRDefault="00202EB3">
      <w:r>
        <w:continuationSeparator/>
      </w:r>
    </w:p>
  </w:footnote>
  <w:footnote w:id="1">
    <w:p w:rsidR="00D1111B" w:rsidRDefault="00202EB3">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w:t>
      </w:r>
      <w:r>
        <w:t>y of Energy withdrawn at each location matches the number of TCCs and Grandfathered Rights specifying that location as a POW.</w:t>
      </w:r>
    </w:p>
  </w:footnote>
  <w:footnote w:id="2">
    <w:p w:rsidR="00D1111B" w:rsidRDefault="00202EB3"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A9" w:rsidRDefault="00202EB3">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19E84F82">
      <w:start w:val="1"/>
      <w:numFmt w:val="bullet"/>
      <w:pStyle w:val="Bulletpara"/>
      <w:lvlText w:val=""/>
      <w:lvlJc w:val="left"/>
      <w:pPr>
        <w:tabs>
          <w:tab w:val="num" w:pos="720"/>
        </w:tabs>
        <w:ind w:left="720" w:hanging="360"/>
      </w:pPr>
      <w:rPr>
        <w:rFonts w:ascii="Symbol" w:hAnsi="Symbol" w:hint="default"/>
      </w:rPr>
    </w:lvl>
    <w:lvl w:ilvl="1" w:tplc="B73AE102" w:tentative="1">
      <w:start w:val="1"/>
      <w:numFmt w:val="bullet"/>
      <w:lvlText w:val="o"/>
      <w:lvlJc w:val="left"/>
      <w:pPr>
        <w:tabs>
          <w:tab w:val="num" w:pos="1440"/>
        </w:tabs>
        <w:ind w:left="1440" w:hanging="360"/>
      </w:pPr>
      <w:rPr>
        <w:rFonts w:ascii="Courier New" w:hAnsi="Courier New" w:cs="Courier New" w:hint="default"/>
      </w:rPr>
    </w:lvl>
    <w:lvl w:ilvl="2" w:tplc="9DAA3310" w:tentative="1">
      <w:start w:val="1"/>
      <w:numFmt w:val="bullet"/>
      <w:lvlText w:val=""/>
      <w:lvlJc w:val="left"/>
      <w:pPr>
        <w:tabs>
          <w:tab w:val="num" w:pos="2160"/>
        </w:tabs>
        <w:ind w:left="2160" w:hanging="360"/>
      </w:pPr>
      <w:rPr>
        <w:rFonts w:ascii="Wingdings" w:hAnsi="Wingdings" w:hint="default"/>
      </w:rPr>
    </w:lvl>
    <w:lvl w:ilvl="3" w:tplc="576AE678" w:tentative="1">
      <w:start w:val="1"/>
      <w:numFmt w:val="bullet"/>
      <w:lvlText w:val=""/>
      <w:lvlJc w:val="left"/>
      <w:pPr>
        <w:tabs>
          <w:tab w:val="num" w:pos="2880"/>
        </w:tabs>
        <w:ind w:left="2880" w:hanging="360"/>
      </w:pPr>
      <w:rPr>
        <w:rFonts w:ascii="Symbol" w:hAnsi="Symbol" w:hint="default"/>
      </w:rPr>
    </w:lvl>
    <w:lvl w:ilvl="4" w:tplc="3EACAB02" w:tentative="1">
      <w:start w:val="1"/>
      <w:numFmt w:val="bullet"/>
      <w:lvlText w:val="o"/>
      <w:lvlJc w:val="left"/>
      <w:pPr>
        <w:tabs>
          <w:tab w:val="num" w:pos="3600"/>
        </w:tabs>
        <w:ind w:left="3600" w:hanging="360"/>
      </w:pPr>
      <w:rPr>
        <w:rFonts w:ascii="Courier New" w:hAnsi="Courier New" w:cs="Courier New" w:hint="default"/>
      </w:rPr>
    </w:lvl>
    <w:lvl w:ilvl="5" w:tplc="D99CE34E" w:tentative="1">
      <w:start w:val="1"/>
      <w:numFmt w:val="bullet"/>
      <w:lvlText w:val=""/>
      <w:lvlJc w:val="left"/>
      <w:pPr>
        <w:tabs>
          <w:tab w:val="num" w:pos="4320"/>
        </w:tabs>
        <w:ind w:left="4320" w:hanging="360"/>
      </w:pPr>
      <w:rPr>
        <w:rFonts w:ascii="Wingdings" w:hAnsi="Wingdings" w:hint="default"/>
      </w:rPr>
    </w:lvl>
    <w:lvl w:ilvl="6" w:tplc="CC14CFA0" w:tentative="1">
      <w:start w:val="1"/>
      <w:numFmt w:val="bullet"/>
      <w:lvlText w:val=""/>
      <w:lvlJc w:val="left"/>
      <w:pPr>
        <w:tabs>
          <w:tab w:val="num" w:pos="5040"/>
        </w:tabs>
        <w:ind w:left="5040" w:hanging="360"/>
      </w:pPr>
      <w:rPr>
        <w:rFonts w:ascii="Symbol" w:hAnsi="Symbol" w:hint="default"/>
      </w:rPr>
    </w:lvl>
    <w:lvl w:ilvl="7" w:tplc="AE30065A" w:tentative="1">
      <w:start w:val="1"/>
      <w:numFmt w:val="bullet"/>
      <w:lvlText w:val="o"/>
      <w:lvlJc w:val="left"/>
      <w:pPr>
        <w:tabs>
          <w:tab w:val="num" w:pos="5760"/>
        </w:tabs>
        <w:ind w:left="5760" w:hanging="360"/>
      </w:pPr>
      <w:rPr>
        <w:rFonts w:ascii="Courier New" w:hAnsi="Courier New" w:cs="Courier New" w:hint="default"/>
      </w:rPr>
    </w:lvl>
    <w:lvl w:ilvl="8" w:tplc="F084923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1A5A5E9C">
      <w:start w:val="1"/>
      <w:numFmt w:val="bullet"/>
      <w:lvlText w:val="­"/>
      <w:lvlJc w:val="left"/>
      <w:pPr>
        <w:tabs>
          <w:tab w:val="num" w:pos="720"/>
        </w:tabs>
        <w:ind w:left="720" w:hanging="360"/>
      </w:pPr>
      <w:rPr>
        <w:rFonts w:ascii="Courier New" w:hAnsi="Courier New" w:hint="default"/>
      </w:rPr>
    </w:lvl>
    <w:lvl w:ilvl="1" w:tplc="11146A1E" w:tentative="1">
      <w:start w:val="1"/>
      <w:numFmt w:val="bullet"/>
      <w:lvlText w:val="o"/>
      <w:lvlJc w:val="left"/>
      <w:pPr>
        <w:tabs>
          <w:tab w:val="num" w:pos="1440"/>
        </w:tabs>
        <w:ind w:left="1440" w:hanging="360"/>
      </w:pPr>
      <w:rPr>
        <w:rFonts w:ascii="Courier New" w:hAnsi="Courier New" w:cs="Courier New" w:hint="default"/>
      </w:rPr>
    </w:lvl>
    <w:lvl w:ilvl="2" w:tplc="64E06004" w:tentative="1">
      <w:start w:val="1"/>
      <w:numFmt w:val="bullet"/>
      <w:lvlText w:val=""/>
      <w:lvlJc w:val="left"/>
      <w:pPr>
        <w:tabs>
          <w:tab w:val="num" w:pos="2160"/>
        </w:tabs>
        <w:ind w:left="2160" w:hanging="360"/>
      </w:pPr>
      <w:rPr>
        <w:rFonts w:ascii="Wingdings" w:hAnsi="Wingdings" w:hint="default"/>
      </w:rPr>
    </w:lvl>
    <w:lvl w:ilvl="3" w:tplc="07E42312" w:tentative="1">
      <w:start w:val="1"/>
      <w:numFmt w:val="bullet"/>
      <w:lvlText w:val=""/>
      <w:lvlJc w:val="left"/>
      <w:pPr>
        <w:tabs>
          <w:tab w:val="num" w:pos="2880"/>
        </w:tabs>
        <w:ind w:left="2880" w:hanging="360"/>
      </w:pPr>
      <w:rPr>
        <w:rFonts w:ascii="Symbol" w:hAnsi="Symbol" w:hint="default"/>
      </w:rPr>
    </w:lvl>
    <w:lvl w:ilvl="4" w:tplc="BFBC03FE" w:tentative="1">
      <w:start w:val="1"/>
      <w:numFmt w:val="bullet"/>
      <w:lvlText w:val="o"/>
      <w:lvlJc w:val="left"/>
      <w:pPr>
        <w:tabs>
          <w:tab w:val="num" w:pos="3600"/>
        </w:tabs>
        <w:ind w:left="3600" w:hanging="360"/>
      </w:pPr>
      <w:rPr>
        <w:rFonts w:ascii="Courier New" w:hAnsi="Courier New" w:cs="Courier New" w:hint="default"/>
      </w:rPr>
    </w:lvl>
    <w:lvl w:ilvl="5" w:tplc="7F346B22" w:tentative="1">
      <w:start w:val="1"/>
      <w:numFmt w:val="bullet"/>
      <w:lvlText w:val=""/>
      <w:lvlJc w:val="left"/>
      <w:pPr>
        <w:tabs>
          <w:tab w:val="num" w:pos="4320"/>
        </w:tabs>
        <w:ind w:left="4320" w:hanging="360"/>
      </w:pPr>
      <w:rPr>
        <w:rFonts w:ascii="Wingdings" w:hAnsi="Wingdings" w:hint="default"/>
      </w:rPr>
    </w:lvl>
    <w:lvl w:ilvl="6" w:tplc="6CF444C8" w:tentative="1">
      <w:start w:val="1"/>
      <w:numFmt w:val="bullet"/>
      <w:lvlText w:val=""/>
      <w:lvlJc w:val="left"/>
      <w:pPr>
        <w:tabs>
          <w:tab w:val="num" w:pos="5040"/>
        </w:tabs>
        <w:ind w:left="5040" w:hanging="360"/>
      </w:pPr>
      <w:rPr>
        <w:rFonts w:ascii="Symbol" w:hAnsi="Symbol" w:hint="default"/>
      </w:rPr>
    </w:lvl>
    <w:lvl w:ilvl="7" w:tplc="2E803CC8" w:tentative="1">
      <w:start w:val="1"/>
      <w:numFmt w:val="bullet"/>
      <w:lvlText w:val="o"/>
      <w:lvlJc w:val="left"/>
      <w:pPr>
        <w:tabs>
          <w:tab w:val="num" w:pos="5760"/>
        </w:tabs>
        <w:ind w:left="5760" w:hanging="360"/>
      </w:pPr>
      <w:rPr>
        <w:rFonts w:ascii="Courier New" w:hAnsi="Courier New" w:cs="Courier New" w:hint="default"/>
      </w:rPr>
    </w:lvl>
    <w:lvl w:ilvl="8" w:tplc="399C9FB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2B4BB3E">
      <w:start w:val="1"/>
      <w:numFmt w:val="lowerRoman"/>
      <w:lvlText w:val="(%1)"/>
      <w:lvlJc w:val="left"/>
      <w:pPr>
        <w:tabs>
          <w:tab w:val="num" w:pos="2448"/>
        </w:tabs>
        <w:ind w:left="2448" w:hanging="648"/>
      </w:pPr>
      <w:rPr>
        <w:rFonts w:hint="default"/>
        <w:b w:val="0"/>
        <w:i w:val="0"/>
        <w:u w:val="none"/>
      </w:rPr>
    </w:lvl>
    <w:lvl w:ilvl="1" w:tplc="B1A20DF4" w:tentative="1">
      <w:start w:val="1"/>
      <w:numFmt w:val="lowerLetter"/>
      <w:lvlText w:val="%2."/>
      <w:lvlJc w:val="left"/>
      <w:pPr>
        <w:tabs>
          <w:tab w:val="num" w:pos="1440"/>
        </w:tabs>
        <w:ind w:left="1440" w:hanging="360"/>
      </w:pPr>
    </w:lvl>
    <w:lvl w:ilvl="2" w:tplc="C4AEE6B2" w:tentative="1">
      <w:start w:val="1"/>
      <w:numFmt w:val="lowerRoman"/>
      <w:lvlText w:val="%3."/>
      <w:lvlJc w:val="right"/>
      <w:pPr>
        <w:tabs>
          <w:tab w:val="num" w:pos="2160"/>
        </w:tabs>
        <w:ind w:left="2160" w:hanging="180"/>
      </w:pPr>
    </w:lvl>
    <w:lvl w:ilvl="3" w:tplc="E8661B38" w:tentative="1">
      <w:start w:val="1"/>
      <w:numFmt w:val="decimal"/>
      <w:lvlText w:val="%4."/>
      <w:lvlJc w:val="left"/>
      <w:pPr>
        <w:tabs>
          <w:tab w:val="num" w:pos="2880"/>
        </w:tabs>
        <w:ind w:left="2880" w:hanging="360"/>
      </w:pPr>
    </w:lvl>
    <w:lvl w:ilvl="4" w:tplc="A74225F8" w:tentative="1">
      <w:start w:val="1"/>
      <w:numFmt w:val="lowerLetter"/>
      <w:lvlText w:val="%5."/>
      <w:lvlJc w:val="left"/>
      <w:pPr>
        <w:tabs>
          <w:tab w:val="num" w:pos="3600"/>
        </w:tabs>
        <w:ind w:left="3600" w:hanging="360"/>
      </w:pPr>
    </w:lvl>
    <w:lvl w:ilvl="5" w:tplc="FFDA0272" w:tentative="1">
      <w:start w:val="1"/>
      <w:numFmt w:val="lowerRoman"/>
      <w:lvlText w:val="%6."/>
      <w:lvlJc w:val="right"/>
      <w:pPr>
        <w:tabs>
          <w:tab w:val="num" w:pos="4320"/>
        </w:tabs>
        <w:ind w:left="4320" w:hanging="180"/>
      </w:pPr>
    </w:lvl>
    <w:lvl w:ilvl="6" w:tplc="0F92A634" w:tentative="1">
      <w:start w:val="1"/>
      <w:numFmt w:val="decimal"/>
      <w:lvlText w:val="%7."/>
      <w:lvlJc w:val="left"/>
      <w:pPr>
        <w:tabs>
          <w:tab w:val="num" w:pos="5040"/>
        </w:tabs>
        <w:ind w:left="5040" w:hanging="360"/>
      </w:pPr>
    </w:lvl>
    <w:lvl w:ilvl="7" w:tplc="A5565C10" w:tentative="1">
      <w:start w:val="1"/>
      <w:numFmt w:val="lowerLetter"/>
      <w:lvlText w:val="%8."/>
      <w:lvlJc w:val="left"/>
      <w:pPr>
        <w:tabs>
          <w:tab w:val="num" w:pos="5760"/>
        </w:tabs>
        <w:ind w:left="5760" w:hanging="360"/>
      </w:pPr>
    </w:lvl>
    <w:lvl w:ilvl="8" w:tplc="38C6850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3B94277A">
      <w:start w:val="1"/>
      <w:numFmt w:val="bullet"/>
      <w:lvlText w:val=""/>
      <w:lvlJc w:val="left"/>
      <w:pPr>
        <w:tabs>
          <w:tab w:val="num" w:pos="5760"/>
        </w:tabs>
        <w:ind w:left="5760" w:hanging="360"/>
      </w:pPr>
      <w:rPr>
        <w:rFonts w:ascii="Symbol" w:hAnsi="Symbol" w:hint="default"/>
        <w:color w:val="auto"/>
        <w:u w:val="none"/>
      </w:rPr>
    </w:lvl>
    <w:lvl w:ilvl="1" w:tplc="E04667E2" w:tentative="1">
      <w:start w:val="1"/>
      <w:numFmt w:val="bullet"/>
      <w:lvlText w:val="o"/>
      <w:lvlJc w:val="left"/>
      <w:pPr>
        <w:tabs>
          <w:tab w:val="num" w:pos="3600"/>
        </w:tabs>
        <w:ind w:left="3600" w:hanging="360"/>
      </w:pPr>
      <w:rPr>
        <w:rFonts w:ascii="Courier New" w:hAnsi="Courier New" w:hint="default"/>
      </w:rPr>
    </w:lvl>
    <w:lvl w:ilvl="2" w:tplc="E8D85C50" w:tentative="1">
      <w:start w:val="1"/>
      <w:numFmt w:val="bullet"/>
      <w:lvlText w:val=""/>
      <w:lvlJc w:val="left"/>
      <w:pPr>
        <w:tabs>
          <w:tab w:val="num" w:pos="4320"/>
        </w:tabs>
        <w:ind w:left="4320" w:hanging="360"/>
      </w:pPr>
      <w:rPr>
        <w:rFonts w:ascii="Wingdings" w:hAnsi="Wingdings" w:hint="default"/>
      </w:rPr>
    </w:lvl>
    <w:lvl w:ilvl="3" w:tplc="053C3A0E">
      <w:start w:val="1"/>
      <w:numFmt w:val="bullet"/>
      <w:lvlText w:val=""/>
      <w:lvlJc w:val="left"/>
      <w:pPr>
        <w:tabs>
          <w:tab w:val="num" w:pos="5040"/>
        </w:tabs>
        <w:ind w:left="5040" w:hanging="360"/>
      </w:pPr>
      <w:rPr>
        <w:rFonts w:ascii="Symbol" w:hAnsi="Symbol" w:hint="default"/>
      </w:rPr>
    </w:lvl>
    <w:lvl w:ilvl="4" w:tplc="774C26AA" w:tentative="1">
      <w:start w:val="1"/>
      <w:numFmt w:val="bullet"/>
      <w:lvlText w:val="o"/>
      <w:lvlJc w:val="left"/>
      <w:pPr>
        <w:tabs>
          <w:tab w:val="num" w:pos="5760"/>
        </w:tabs>
        <w:ind w:left="5760" w:hanging="360"/>
      </w:pPr>
      <w:rPr>
        <w:rFonts w:ascii="Courier New" w:hAnsi="Courier New" w:hint="default"/>
      </w:rPr>
    </w:lvl>
    <w:lvl w:ilvl="5" w:tplc="CDD27D8E" w:tentative="1">
      <w:start w:val="1"/>
      <w:numFmt w:val="bullet"/>
      <w:lvlText w:val=""/>
      <w:lvlJc w:val="left"/>
      <w:pPr>
        <w:tabs>
          <w:tab w:val="num" w:pos="6480"/>
        </w:tabs>
        <w:ind w:left="6480" w:hanging="360"/>
      </w:pPr>
      <w:rPr>
        <w:rFonts w:ascii="Wingdings" w:hAnsi="Wingdings" w:hint="default"/>
      </w:rPr>
    </w:lvl>
    <w:lvl w:ilvl="6" w:tplc="1F42B088" w:tentative="1">
      <w:start w:val="1"/>
      <w:numFmt w:val="bullet"/>
      <w:lvlText w:val=""/>
      <w:lvlJc w:val="left"/>
      <w:pPr>
        <w:tabs>
          <w:tab w:val="num" w:pos="7200"/>
        </w:tabs>
        <w:ind w:left="7200" w:hanging="360"/>
      </w:pPr>
      <w:rPr>
        <w:rFonts w:ascii="Symbol" w:hAnsi="Symbol" w:hint="default"/>
      </w:rPr>
    </w:lvl>
    <w:lvl w:ilvl="7" w:tplc="E1E803E4" w:tentative="1">
      <w:start w:val="1"/>
      <w:numFmt w:val="bullet"/>
      <w:lvlText w:val="o"/>
      <w:lvlJc w:val="left"/>
      <w:pPr>
        <w:tabs>
          <w:tab w:val="num" w:pos="7920"/>
        </w:tabs>
        <w:ind w:left="7920" w:hanging="360"/>
      </w:pPr>
      <w:rPr>
        <w:rFonts w:ascii="Courier New" w:hAnsi="Courier New" w:hint="default"/>
      </w:rPr>
    </w:lvl>
    <w:lvl w:ilvl="8" w:tplc="A03236D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8722A9"/>
    <w:rsid w:val="00202EB3"/>
    <w:rsid w:val="00872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066C"/>
    <w:pPr>
      <w:keepNext/>
      <w:widowControl/>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9866</Words>
  <Characters>56239</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2017-03-23T20:59:00Z</dcterms:created>
  <dcterms:modified xsi:type="dcterms:W3CDTF">2017-03-23T20:59:00Z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1896785314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756626692</vt:i4>
  </property>
  <property fmtid="{D5CDD505-2E9C-101B-9397-08002B2CF9AE}" pid="9" name="_ReviewingToolsShownOnce">
    <vt:lpwstr/>
  </property>
</Properties>
</file>