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966220"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966220"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966220"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966220"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966220"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966220"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966220"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966220"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966220"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966220"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966220"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966220"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966220"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966220"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966220"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966220">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966220"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966220"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966220"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4127C4" w:rsidRDefault="00966220"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ins w:id="5" w:author="bissellge" w:date="2016-08-10T11:23:00Z">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ins>
      <w:r w:rsidRPr="004127C4">
        <w:rPr>
          <w:rFonts w:ascii="Times New Roman" w:hAnsi="Times New Roman"/>
          <w:sz w:val="24"/>
          <w:szCs w:val="24"/>
        </w:rPr>
        <w:t>.</w:t>
      </w:r>
    </w:p>
    <w:p w:rsidR="004C2F99" w:rsidRPr="009D5A79" w:rsidRDefault="00966220"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966220"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w:t>
      </w:r>
      <w:r w:rsidRPr="00EA3055">
        <w:rPr>
          <w:rFonts w:ascii="Times New Roman" w:hAnsi="Times New Roman"/>
          <w:sz w:val="24"/>
          <w:szCs w:val="24"/>
        </w:rPr>
        <w:t>TCCs associated with Residual Transmission Capacity that are sold in the Centralized TCC Auction; (b) the sale of Grandfathered TCCs associated with ETAs, if the expenses for those ETAs are included in the Transmission Owner’s Revenue Requirements</w:t>
      </w:r>
      <w:r w:rsidRPr="00221826">
        <w:rPr>
          <w:rFonts w:ascii="Times New Roman" w:hAnsi="Times New Roman"/>
          <w:sz w:val="24"/>
          <w:szCs w:val="24"/>
        </w:rPr>
        <w:t>;</w:t>
      </w:r>
      <w:r w:rsidRPr="00715AAD">
        <w:t xml:space="preserve"> and (c)</w:t>
      </w:r>
      <w:r w:rsidRPr="00715AAD">
        <w:t xml:space="preserve">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966220" w:rsidP="004C2F99">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Residual TCCs that the Transmission Owners sell </w:t>
      </w:r>
      <w:r w:rsidRPr="00046966">
        <w:rPr>
          <w:rFonts w:ascii="Times New Roman" w:hAnsi="Times New Roman"/>
          <w:sz w:val="24"/>
          <w:szCs w:val="24"/>
        </w:rPr>
        <w:t>through the Centralized TCC Auction and the allocation of revenue for other TCCs sold through the Centralized TCC Auction (per the Facility Flow-Based Methodology described in Attachment N).</w:t>
      </w:r>
    </w:p>
    <w:p w:rsidR="004C2F99" w:rsidRDefault="00966220" w:rsidP="004C2F99">
      <w:pPr>
        <w:pStyle w:val="Bodypara"/>
        <w:rPr>
          <w:ins w:id="6" w:author="bissellge" w:date="2016-08-10T11:24:00Z"/>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start of each month based on ac</w:t>
      </w:r>
      <w:r w:rsidRPr="00046966">
        <w:rPr>
          <w:rFonts w:ascii="Times New Roman" w:hAnsi="Times New Roman"/>
          <w:sz w:val="24"/>
          <w:szCs w:val="24"/>
        </w:rPr>
        <w:t>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applicable shall equal the total no</w:t>
      </w:r>
      <w:r w:rsidRPr="00046966">
        <w:rPr>
          <w:rFonts w:ascii="Times New Roman" w:hAnsi="Times New Roman"/>
          <w:sz w:val="24"/>
          <w:szCs w:val="24"/>
        </w:rPr>
        <w:t>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for all rounds of a Centralized </w:t>
      </w:r>
      <w:r w:rsidRPr="00046966">
        <w:rPr>
          <w:rFonts w:ascii="Times New Roman" w:hAnsi="Times New Roman"/>
          <w:sz w:val="24"/>
          <w:szCs w:val="24"/>
        </w:rPr>
        <w:t>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the start of each Capability P</w:t>
      </w:r>
      <w:r w:rsidRPr="00046966">
        <w:rPr>
          <w:rFonts w:ascii="Times New Roman" w:hAnsi="Times New Roman"/>
          <w:sz w:val="24"/>
          <w:szCs w:val="24"/>
        </w:rPr>
        <w:t>eriod</w:t>
      </w:r>
      <w:del w:id="7" w:author="bissellge" w:date="2016-08-10T11:24:00Z">
        <w:r w:rsidRPr="00046966">
          <w:rPr>
            <w:rFonts w:ascii="Times New Roman" w:hAnsi="Times New Roman"/>
            <w:sz w:val="24"/>
            <w:szCs w:val="24"/>
          </w:rPr>
          <w:delText>;</w:delText>
        </w:r>
      </w:del>
      <w:ins w:id="8" w:author="bissellge" w:date="2016-08-10T11:24:00Z">
        <w:r>
          <w:rPr>
            <w:rFonts w:ascii="Times New Roman" w:hAnsi="Times New Roman"/>
            <w:sz w:val="24"/>
            <w:szCs w:val="24"/>
          </w:rPr>
          <w:t>.</w:t>
        </w:r>
      </w:ins>
    </w:p>
    <w:p w:rsidR="004127C4" w:rsidRPr="00046966" w:rsidRDefault="00966220" w:rsidP="004127C4">
      <w:pPr>
        <w:pStyle w:val="Bodypara"/>
        <w:rPr>
          <w:rFonts w:ascii="Times New Roman" w:hAnsi="Times New Roman"/>
          <w:sz w:val="24"/>
          <w:szCs w:val="24"/>
        </w:rPr>
      </w:pPr>
      <w:ins w:id="9" w:author="bissellge" w:date="2016-08-10T11:24:00Z">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Section 20.4 of At</w:t>
        </w:r>
        <w:r>
          <w:rPr>
            <w:rFonts w:ascii="Times New Roman" w:hAnsi="Times New Roman"/>
            <w:sz w:val="24"/>
            <w:szCs w:val="24"/>
          </w:rPr>
          <w:t>tachment N shall be adjusted after each Centralized TCC Auction and divided equally across the months for which the Historic Fixed Price TCCs that were awarded or renewed prior to the relevant Centralized TCC Auction are valid.  Notwithstanding anything to</w:t>
        </w:r>
        <w:r>
          <w:rPr>
            <w:rFonts w:ascii="Times New Roman" w:hAnsi="Times New Roman"/>
            <w:sz w:val="24"/>
            <w:szCs w:val="24"/>
          </w:rPr>
          <w:t xml:space="preserve">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w:t>
        </w:r>
        <w:r>
          <w:rPr>
            <w:rFonts w:ascii="Times New Roman" w:hAnsi="Times New Roman"/>
            <w:sz w:val="24"/>
            <w:szCs w:val="24"/>
          </w:rPr>
          <w:t>s (or any portion thereof) equally across the six months of the first Capability Period following the effective date of this provision provided that the NYISO has informed the Transmission Owner of its respective share of such revenues (or any portion ther</w:t>
        </w:r>
        <w:r>
          <w:rPr>
            <w:rFonts w:ascii="Times New Roman" w:hAnsi="Times New Roman"/>
            <w:sz w:val="24"/>
            <w:szCs w:val="24"/>
          </w:rPr>
          <w:t>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w:t>
        </w:r>
        <w:r>
          <w:rPr>
            <w:rFonts w:ascii="Times New Roman" w:hAnsi="Times New Roman"/>
            <w:sz w:val="24"/>
            <w:szCs w:val="24"/>
          </w:rPr>
          <w:t xml:space="preserve"> Capability Period that follows the first Capability Period following the effective date of this provision.</w:t>
        </w:r>
      </w:ins>
    </w:p>
    <w:p w:rsidR="004C2F99" w:rsidRPr="00046966" w:rsidRDefault="00966220"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4C2F99" w:rsidRPr="00046966" w:rsidRDefault="00966220"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w:t>
      </w:r>
      <w:r w:rsidRPr="00046966">
        <w:rPr>
          <w:rFonts w:ascii="Times New Roman" w:hAnsi="Times New Roman"/>
          <w:sz w:val="24"/>
          <w:szCs w:val="24"/>
        </w:rPr>
        <w:t>ion Payments received from Grandfathered TCCs and Imputed Revenues from Grandfathered Rights from ETA's, the expenses for which are included in the Transmission Owner's Revenue Requirement;</w:t>
      </w:r>
    </w:p>
    <w:p w:rsidR="004C2F99" w:rsidRPr="00046966" w:rsidRDefault="00966220"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w:t>
      </w:r>
      <w:r w:rsidRPr="00046966">
        <w:rPr>
          <w:rFonts w:ascii="Times New Roman" w:hAnsi="Times New Roman"/>
          <w:sz w:val="24"/>
          <w:szCs w:val="24"/>
        </w:rPr>
        <w:t xml:space="preserve"> Through and Export Transactions) not associated with Existing Transmission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w:t>
      </w:r>
      <w:r w:rsidRPr="00046966">
        <w:rPr>
          <w:rFonts w:ascii="Times New Roman" w:hAnsi="Times New Roman"/>
          <w:sz w:val="24"/>
          <w:szCs w:val="24"/>
        </w:rPr>
        <w:t>red OATT agreements)</w:t>
      </w:r>
    </w:p>
    <w:p w:rsidR="004C2F99" w:rsidRPr="00046966" w:rsidRDefault="00966220" w:rsidP="004C2F99">
      <w:pPr>
        <w:pStyle w:val="Heading4"/>
        <w:rPr>
          <w:rFonts w:ascii="Times New Roman" w:hAnsi="Times New Roman"/>
          <w:sz w:val="24"/>
          <w:szCs w:val="24"/>
        </w:rPr>
      </w:pPr>
      <w:bookmarkStart w:id="10"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10"/>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of: (1) TSC revenues received from new external transactions (Wheels Through and Export Transactions); (2) transmission revenues received under grandfathered </w:t>
      </w:r>
      <w:r w:rsidRPr="00046966">
        <w:rPr>
          <w:rFonts w:ascii="Times New Roman" w:eastAsia="Times New Roman" w:hAnsi="Times New Roman"/>
          <w:sz w:val="24"/>
          <w:szCs w:val="24"/>
        </w:rPr>
        <w:t>OATT agreements and actual revenues under Schedule 1 to the grandfathered OATT agreements, but not under Schedules 2 through 6 to the grandfathered OATT agreements; and (3) any revenues related to pre-OATT grandfathered arrangements if the transmission own</w:t>
      </w:r>
      <w:r w:rsidRPr="00046966">
        <w:rPr>
          <w:rFonts w:ascii="Times New Roman" w:eastAsia="Times New Roman" w:hAnsi="Times New Roman"/>
          <w:sz w:val="24"/>
          <w:szCs w:val="24"/>
        </w:rPr>
        <w:t>er increased its OATT revenue requirement to derive its RR component to reflect the fact that revenues related to such transactions are at risk due to options available to the customers resulting from the current restructuring, and the customer retains its</w:t>
      </w:r>
      <w:r w:rsidRPr="00046966">
        <w:rPr>
          <w:rFonts w:ascii="Times New Roman" w:eastAsia="Times New Roman" w:hAnsi="Times New Roman"/>
          <w:sz w:val="24"/>
          <w:szCs w:val="24"/>
        </w:rPr>
        <w:t xml:space="preserve"> grandfathered arrangement. </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4C2F99" w:rsidRPr="00046966" w:rsidRDefault="00966220" w:rsidP="004C2F99">
      <w:pPr>
        <w:pStyle w:val="Heading4"/>
        <w:rPr>
          <w:rFonts w:ascii="Times New Roman" w:hAnsi="Times New Roman"/>
          <w:sz w:val="24"/>
          <w:szCs w:val="24"/>
        </w:rPr>
      </w:pPr>
      <w:bookmarkStart w:id="11"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w:t>
      </w:r>
      <w:r w:rsidRPr="00046966">
        <w:rPr>
          <w:rFonts w:ascii="Times New Roman" w:hAnsi="Times New Roman"/>
          <w:sz w:val="24"/>
          <w:szCs w:val="24"/>
        </w:rPr>
        <w:t>red OATT Service</w:t>
      </w:r>
      <w:bookmarkEnd w:id="11"/>
    </w:p>
    <w:p w:rsidR="004C2F99" w:rsidRPr="00046966" w:rsidRDefault="0096622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absent a settlement to the contrary.  The revenues received from Schedule 1 charges paid by grandfat</w:t>
      </w:r>
      <w:r w:rsidRPr="00046966">
        <w:rPr>
          <w:rFonts w:ascii="Times New Roman" w:eastAsia="Times New Roman" w:hAnsi="Times New Roman"/>
          <w:sz w:val="24"/>
          <w:szCs w:val="24"/>
        </w:rPr>
        <w:t xml:space="preserve">hered OATT customers will be treated as revenue credit in the WR component as part of the wheeling revenue associated with OATT reservations extending beyond the start-up of the ISO. </w:t>
      </w:r>
    </w:p>
    <w:p w:rsidR="004C2F99" w:rsidRPr="00046966" w:rsidRDefault="00966220"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96622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w:t>
      </w:r>
      <w:r w:rsidRPr="00046966">
        <w:rPr>
          <w:rFonts w:ascii="Times New Roman" w:eastAsia="Times New Roman" w:hAnsi="Times New Roman"/>
          <w:sz w:val="24"/>
          <w:szCs w:val="24"/>
        </w:rPr>
        <w:t>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w:t>
      </w:r>
      <w:r w:rsidRPr="00046966">
        <w:rPr>
          <w:rFonts w:ascii="Times New Roman" w:eastAsia="Times New Roman" w:hAnsi="Times New Roman"/>
          <w:sz w:val="24"/>
          <w:szCs w:val="24"/>
        </w:rPr>
        <w:t>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w:t>
      </w:r>
      <w:r w:rsidRPr="00046966">
        <w:rPr>
          <w:rFonts w:ascii="Times New Roman" w:eastAsia="Times New Roman" w:hAnsi="Times New Roman"/>
          <w:sz w:val="24"/>
          <w:szCs w:val="24"/>
        </w:rPr>
        <w:t>nths remaining until the expiration of that ETCNL TCC.</w:t>
      </w:r>
    </w:p>
    <w:p w:rsidR="004C2F99" w:rsidRPr="00046966" w:rsidRDefault="00966220"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the Transmission District (see Table 1 of this Attachment) The Transmission Owner's BU has been adjusted upward to include subtransmission a</w:t>
      </w:r>
      <w:r w:rsidRPr="00046966">
        <w:rPr>
          <w:rFonts w:ascii="Times New Roman" w:eastAsia="Times New Roman" w:hAnsi="Times New Roman"/>
          <w:sz w:val="24"/>
          <w:szCs w:val="24"/>
        </w:rPr>
        <w:t>nd distribution losses.</w:t>
      </w:r>
    </w:p>
    <w:p w:rsidR="004C2F99" w:rsidRPr="00046966" w:rsidRDefault="0096622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Reserved shall be upd</w:t>
      </w:r>
      <w:r w:rsidRPr="00046966">
        <w:rPr>
          <w:rFonts w:ascii="Times New Roman" w:eastAsia="Times New Roman" w:hAnsi="Times New Roman"/>
          <w:sz w:val="24"/>
          <w:szCs w:val="24"/>
        </w:rPr>
        <w:t>ated prior to the start of each month based on actual data for the calendar month prior to the month in which the adjustment is made (e.g., January actual data will be used in February to calculate the TSC effective in March).  The TSC shall not apply to t</w:t>
      </w:r>
      <w:r w:rsidRPr="00046966">
        <w:rPr>
          <w:rFonts w:ascii="Times New Roman" w:eastAsia="Times New Roman" w:hAnsi="Times New Roman"/>
          <w:sz w:val="24"/>
          <w:szCs w:val="24"/>
        </w:rPr>
        <w:t>he scheduled quantities physically Curtailed by the ISO.</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and (3) the BU component of its TSC charge. </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w:t>
      </w:r>
      <w:r w:rsidRPr="00046966">
        <w:rPr>
          <w:rFonts w:ascii="Times New Roman" w:eastAsia="Times New Roman" w:hAnsi="Times New Roman"/>
          <w:sz w:val="24"/>
          <w:szCs w:val="24"/>
        </w:rPr>
        <w:t>each Member System's TSC charge is initially set at zero.  Any changes must be made by unanimous consent of the Transmission Owners (See ISO OATT Original Sheet No. 267).  The Member Systems will make a Section 205 filing to propose any change to the LTPP.</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(1) the SR component of each Member System's TSC charge based on information provided by the Member System and information derived from ISO operation; (2) the ECR component of each Member System's TSC charge based </w:t>
      </w:r>
      <w:r w:rsidRPr="00046966">
        <w:rPr>
          <w:rFonts w:ascii="Times New Roman" w:eastAsia="Times New Roman" w:hAnsi="Times New Roman"/>
          <w:sz w:val="24"/>
          <w:szCs w:val="24"/>
        </w:rPr>
        <w:t>on information derived from ISO operation; (3) the CRR component of each Member System's TSC charge based on information derived from ISO operation; (4) the Reserved component of each Member System’s TSC charge based on information provided by the Member S</w:t>
      </w:r>
      <w:r w:rsidRPr="00046966">
        <w:rPr>
          <w:rFonts w:ascii="Times New Roman" w:eastAsia="Times New Roman" w:hAnsi="Times New Roman"/>
          <w:sz w:val="24"/>
          <w:szCs w:val="24"/>
        </w:rPr>
        <w:t>ystem and information derived from ISO operation; and (5) the WR component of each Member System’s TSC charge based on information provided by the Member System and information derived from ISO operation.  Any calculations that the ISO is responsible for a</w:t>
      </w:r>
      <w:r w:rsidRPr="00046966">
        <w:rPr>
          <w:rFonts w:ascii="Times New Roman" w:eastAsia="Times New Roman" w:hAnsi="Times New Roman"/>
          <w:sz w:val="24"/>
          <w:szCs w:val="24"/>
        </w:rPr>
        <w:t xml:space="preserve">re subject to review and comment by all affected parties.  </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w:t>
      </w:r>
      <w:r w:rsidRPr="00046966">
        <w:rPr>
          <w:rFonts w:ascii="Times New Roman" w:eastAsia="Times New Roman" w:hAnsi="Times New Roman"/>
          <w:sz w:val="24"/>
          <w:szCs w:val="24"/>
        </w:rPr>
        <w:t>s that a change to its RR is required under Section 205.</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w:t>
      </w:r>
      <w:r w:rsidRPr="00046966">
        <w:rPr>
          <w:rFonts w:ascii="Times New Roman" w:eastAsia="Times New Roman" w:hAnsi="Times New Roman"/>
          <w:sz w:val="24"/>
          <w:szCs w:val="24"/>
        </w:rPr>
        <w:t xml:space="preserve"> that a change to the CCC is required.</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(e.g., January actual data will be used in February to calculate the SR t</w:t>
      </w:r>
      <w:r w:rsidRPr="00046966">
        <w:rPr>
          <w:rFonts w:ascii="Times New Roman" w:eastAsia="Times New Roman" w:hAnsi="Times New Roman"/>
          <w:sz w:val="24"/>
          <w:szCs w:val="24"/>
        </w:rPr>
        <w:t>erm used in the TSC for March).  The revenue that a Transmission Owner receives from a TCC sold in a Centralized Auction will be divided equally among the months for which the TCC is sold.  The revenue from these TCCs will enter the TSC formula month-by-mo</w:t>
      </w:r>
      <w:r w:rsidRPr="00046966">
        <w:rPr>
          <w:rFonts w:ascii="Times New Roman" w:eastAsia="Times New Roman" w:hAnsi="Times New Roman"/>
          <w:sz w:val="24"/>
          <w:szCs w:val="24"/>
        </w:rPr>
        <w:t>nth through the SR term, beginning with the first month of the period covered by the Centralized Auction.  The ISO is responsible for calculating the SR component of each Transmission Owner’s TSC.   The Transmission Owner will not adjust the ISO's calculat</w:t>
      </w:r>
      <w:r w:rsidRPr="00046966">
        <w:rPr>
          <w:rFonts w:ascii="Times New Roman" w:eastAsia="Times New Roman" w:hAnsi="Times New Roman"/>
          <w:sz w:val="24"/>
          <w:szCs w:val="24"/>
        </w:rPr>
        <w:t>ion.  The ECR revenue will be calculated monthly and will enter the TSC formula with a two-month lag (e.g., January actual data will be used in February to calculate the ECR term used in the TSC for March).  The ISO is responsible for calculating the ECR c</w:t>
      </w:r>
      <w:r w:rsidRPr="00046966">
        <w:rPr>
          <w:rFonts w:ascii="Times New Roman" w:eastAsia="Times New Roman" w:hAnsi="Times New Roman"/>
          <w:sz w:val="24"/>
          <w:szCs w:val="24"/>
        </w:rPr>
        <w:t>omponent of each Transmission Owner’s TSC.   The Transmission Owner will not adjust the ISO's calculation.</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TSC formula with a two-month lag (e.g., January actual data will be used in February to</w:t>
      </w:r>
      <w:r w:rsidRPr="00046966">
        <w:rPr>
          <w:rFonts w:ascii="Times New Roman" w:eastAsia="Times New Roman" w:hAnsi="Times New Roman"/>
          <w:sz w:val="24"/>
          <w:szCs w:val="24"/>
        </w:rPr>
        <w:t xml:space="preserve"> calculate the CRR term used in the TSC for March). Each Transmission Owner will identify for the ISO each ETA (“Identified ETA”), under which the Transmission Owner is a customer, the expenses for which are included in the Transmission Owner’s RR.  The IS</w:t>
      </w:r>
      <w:r w:rsidRPr="00046966">
        <w:rPr>
          <w:rFonts w:ascii="Times New Roman" w:eastAsia="Times New Roman" w:hAnsi="Times New Roman"/>
          <w:sz w:val="24"/>
          <w:szCs w:val="24"/>
        </w:rPr>
        <w:t>O shall calculate that Transmission Owner’s Congestion Payments received from Grandfathered TCCs and Imputed Revenues from Grandfathered Rights from the Transmission Owner’s Identified ETAs.  If the inclusion of the costs under an Identified ETA in the Tra</w:t>
      </w:r>
      <w:r w:rsidRPr="00046966">
        <w:rPr>
          <w:rFonts w:ascii="Times New Roman" w:eastAsia="Times New Roman" w:hAnsi="Times New Roman"/>
          <w:sz w:val="24"/>
          <w:szCs w:val="24"/>
        </w:rPr>
        <w:t xml:space="preserve">nsmission Owner’s RR is subject to refund, then the CRR shall be subject to adjustment.  If the costs under one or more of the Identified ETAs are removed from the RR and the Transmission Owner is required to recalculate its TSC with the adjusted RR, then </w:t>
      </w:r>
      <w:r w:rsidRPr="00046966">
        <w:rPr>
          <w:rFonts w:ascii="Times New Roman" w:eastAsia="Times New Roman" w:hAnsi="Times New Roman"/>
          <w:sz w:val="24"/>
          <w:szCs w:val="24"/>
        </w:rPr>
        <w:t>in recalculating the TSC, the Transmission Owner shall reverse the portion of the CRR that was attributed to each such ETA.  The Transmission Owner shall rebill the customers based on the recalculated TSC.  To the extent the Transmission Owner owes a refun</w:t>
      </w:r>
      <w:r w:rsidRPr="00046966">
        <w:rPr>
          <w:rFonts w:ascii="Times New Roman" w:eastAsia="Times New Roman" w:hAnsi="Times New Roman"/>
          <w:sz w:val="24"/>
          <w:szCs w:val="24"/>
        </w:rPr>
        <w:t>d to the customer, it shall comply with any applicable refund obligations, including payment of interest to the extent due pursuant to 18 C.F.R. § 35.19a(a)(2)(iii), or its successor.  If the reversal of the CRR results in a higher TSC than was charged, th</w:t>
      </w:r>
      <w:r w:rsidRPr="00046966">
        <w:rPr>
          <w:rFonts w:ascii="Times New Roman" w:eastAsia="Times New Roman" w:hAnsi="Times New Roman"/>
          <w:sz w:val="24"/>
          <w:szCs w:val="24"/>
        </w:rPr>
        <w:t>e customer shall pay in the time prescribed for payment of TSCs the Transmission Owner the difference between the TSC payments it made and the rebilled amounts, with interest thereon from the dates payments were made to the date that the rebilled amounts a</w:t>
      </w:r>
      <w:r w:rsidRPr="00046966">
        <w:rPr>
          <w:rFonts w:ascii="Times New Roman" w:eastAsia="Times New Roman" w:hAnsi="Times New Roman"/>
          <w:sz w:val="24"/>
          <w:szCs w:val="24"/>
        </w:rPr>
        <w:t xml:space="preserve">re due.  Said interest will be calculated in the same manner as interest on over-payments as specified in 18 C.F.R. § 35.19a(a)(2)(iii), or its successor.  </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w:t>
      </w:r>
      <w:r w:rsidRPr="00046966">
        <w:rPr>
          <w:rFonts w:ascii="Times New Roman" w:eastAsia="Times New Roman" w:hAnsi="Times New Roman"/>
          <w:sz w:val="24"/>
          <w:szCs w:val="24"/>
        </w:rPr>
        <w:t>January actual data will be used in February to calculate the ETCNL TCC term used in the TSC for March).  The ISO shall calculate a Transmission Owner’s Reserved.</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WR: The revenue that a Transmission Owner collects for new external sales will be calculated </w:t>
      </w:r>
      <w:r w:rsidRPr="00046966">
        <w:rPr>
          <w:rFonts w:ascii="Times New Roman" w:eastAsia="Times New Roman" w:hAnsi="Times New Roman"/>
          <w:sz w:val="24"/>
          <w:szCs w:val="24"/>
        </w:rPr>
        <w:t>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w:t>
      </w:r>
      <w:r w:rsidRPr="00046966">
        <w:rPr>
          <w:rFonts w:ascii="Times New Roman" w:eastAsia="Times New Roman" w:hAnsi="Times New Roman"/>
          <w:sz w:val="24"/>
          <w:szCs w:val="24"/>
        </w:rPr>
        <w:t>e WR component of each Transmission Owner’s TSC. The Transmission Owner will not adjust the ISO's calculation. The actual revenue that a Transmission Owner collects for grandfathered OATT service that extends beyond ISO start-up, and revenues related to pr</w:t>
      </w:r>
      <w:r w:rsidRPr="00046966">
        <w:rPr>
          <w:rFonts w:ascii="Times New Roman" w:eastAsia="Times New Roman" w:hAnsi="Times New Roman"/>
          <w:sz w:val="24"/>
          <w:szCs w:val="24"/>
        </w:rPr>
        <w:t xml:space="preserve">e-OATT grandfathered arrangements as provided for under numbers (2) and (3) of Original Sheet No. 214A, will also be calculated monthly and will enter the WR term in the TSC formula based upon the prior month's information.  For the first month the credit </w:t>
      </w:r>
      <w:r w:rsidRPr="00046966">
        <w:rPr>
          <w:rFonts w:ascii="Times New Roman" w:eastAsia="Times New Roman" w:hAnsi="Times New Roman"/>
          <w:sz w:val="24"/>
          <w:szCs w:val="24"/>
        </w:rPr>
        <w:t>will be equal to the actual revenues received under those grandfathered agreements to be included in the WR component.</w:t>
      </w:r>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w:t>
      </w:r>
      <w:r w:rsidRPr="00046966">
        <w:rPr>
          <w:rFonts w:ascii="Times New Roman" w:eastAsia="Times New Roman" w:hAnsi="Times New Roman"/>
          <w:sz w:val="24"/>
          <w:szCs w:val="24"/>
        </w:rPr>
        <w:t>e filings will be made when the Transmission Owner determines that a change to its BU is required.</w:t>
      </w:r>
    </w:p>
    <w:p w:rsidR="004C2F99" w:rsidRPr="00046966" w:rsidRDefault="00966220" w:rsidP="004C2F99">
      <w:pPr>
        <w:pStyle w:val="Heading4"/>
        <w:rPr>
          <w:rFonts w:ascii="Times New Roman" w:hAnsi="Times New Roman"/>
          <w:sz w:val="24"/>
          <w:szCs w:val="24"/>
        </w:rPr>
      </w:pPr>
      <w:bookmarkStart w:id="12"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12"/>
    </w:p>
    <w:p w:rsidR="004C2F99" w:rsidRPr="00046966" w:rsidRDefault="0096622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w:t>
      </w:r>
      <w:r w:rsidRPr="00046966">
        <w:rPr>
          <w:rFonts w:ascii="Times New Roman" w:eastAsia="Times New Roman" w:hAnsi="Times New Roman"/>
          <w:sz w:val="24"/>
          <w:szCs w:val="24"/>
        </w:rPr>
        <w:t>nth of LBMP implementation, the only terms in the TSC equation that will be known by each Transmission Owner are its Annual Transmission Revenue Requirement (RR), Scheduling, System Control and Dispatch Costs (CCC), Revenues from the Sale of TCCs in the Tr</w:t>
      </w:r>
      <w:r w:rsidRPr="00046966">
        <w:rPr>
          <w:rFonts w:ascii="Times New Roman" w:eastAsia="Times New Roman" w:hAnsi="Times New Roman"/>
          <w:sz w:val="24"/>
          <w:szCs w:val="24"/>
        </w:rPr>
        <w:t>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reservations (WR) and Billing Units (BU), which have been approved by or filed with FERC or, in the case of LIPA, approved by the Long Island Power Authority's Board of Trustees.  </w:t>
      </w:r>
      <w:r w:rsidRPr="00046966">
        <w:rPr>
          <w:rFonts w:ascii="Times New Roman" w:eastAsia="Times New Roman" w:hAnsi="Times New Roman"/>
          <w:sz w:val="24"/>
          <w:szCs w:val="24"/>
        </w:rPr>
        <w:t>(Billing Units for “metered” retail customers are based on manual meter readings).  For these two months each Transmission Owner shall calculate its TSC using the following equation:</w:t>
      </w:r>
    </w:p>
    <w:p w:rsidR="004C2F99" w:rsidRDefault="00966220">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LTPP will not be </w:t>
      </w:r>
      <w:r w:rsidRPr="00EC4874">
        <w:rPr>
          <w:rFonts w:ascii="Times New Roman" w:eastAsia="Times New Roman" w:hAnsi="Times New Roman"/>
          <w:sz w:val="24"/>
          <w:szCs w:val="24"/>
        </w:rPr>
        <w:t xml:space="preserve">available until after the Initial Auction as defined in Attachment M for Long Term TCCs.  For the third month of LBMP implementation until the second month of the Capability Period corresponding to the initial auction for Long Term TCCs, each Transmission </w:t>
      </w:r>
      <w:r w:rsidRPr="00EC4874">
        <w:rPr>
          <w:rFonts w:ascii="Times New Roman" w:eastAsia="Times New Roman" w:hAnsi="Times New Roman"/>
          <w:sz w:val="24"/>
          <w:szCs w:val="24"/>
        </w:rPr>
        <w:t>Owner shall calculate its TSC using the following equation:</w:t>
      </w:r>
    </w:p>
    <w:p w:rsidR="004C2F99" w:rsidRDefault="00966220">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w:t>
      </w:r>
      <w:r w:rsidRPr="00EC4874">
        <w:rPr>
          <w:rFonts w:ascii="Times New Roman" w:eastAsia="Times New Roman" w:hAnsi="Times New Roman"/>
          <w:sz w:val="24"/>
          <w:szCs w:val="24"/>
        </w:rPr>
        <w:t xml:space="preserve"> LBMP Transition Period, the TSC shall be calculated using the equation in Section 14.1.2.1.</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conclusion of the LBMP Transition Period, the LTPP component will no longer be applicable and each Transmission Owner shall calculate its Wholesale TSC u</w:t>
      </w:r>
      <w:r w:rsidRPr="00EC4874">
        <w:rPr>
          <w:rFonts w:ascii="Times New Roman" w:eastAsia="Times New Roman" w:hAnsi="Times New Roman"/>
          <w:sz w:val="24"/>
          <w:szCs w:val="24"/>
        </w:rPr>
        <w:t xml:space="preserve">sing the following equation: </w:t>
      </w:r>
    </w:p>
    <w:p w:rsidR="004C2F99" w:rsidRPr="008F5C8B" w:rsidRDefault="00966220"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4C2F99" w:rsidRPr="008F5C8B" w:rsidRDefault="00966220" w:rsidP="004C2F99">
      <w:pPr>
        <w:pStyle w:val="Heading3"/>
        <w:spacing w:line="240" w:lineRule="auto"/>
        <w:rPr>
          <w:szCs w:val="24"/>
        </w:rPr>
      </w:pPr>
      <w:bookmarkStart w:id="13" w:name="_Toc263255400"/>
      <w:r w:rsidRPr="008F5C8B">
        <w:rPr>
          <w:szCs w:val="24"/>
        </w:rPr>
        <w:t>14.1.3</w:t>
      </w:r>
      <w:r w:rsidRPr="008F5C8B">
        <w:rPr>
          <w:szCs w:val="24"/>
        </w:rPr>
        <w:tab/>
        <w:t>Filing and Posting of Wholesale TSCs</w:t>
      </w:r>
      <w:bookmarkEnd w:id="13"/>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w:t>
      </w:r>
      <w:r w:rsidRPr="00EC4874">
        <w:rPr>
          <w:rFonts w:ascii="Times New Roman" w:eastAsia="Times New Roman" w:hAnsi="Times New Roman"/>
          <w:sz w:val="24"/>
          <w:szCs w:val="24"/>
        </w:rPr>
        <w:t>C formula on a monthly basis or Capability Period basis.  Each Transmission Owner may update its Wholesale TSC calculation to change its RR, CCC, or BU component value(s).  Such updates, however, shall be subject to necessary FERC filings under the FPA.  E</w:t>
      </w:r>
      <w:r w:rsidRPr="00EC4874">
        <w:rPr>
          <w:rFonts w:ascii="Times New Roman" w:eastAsia="Times New Roman" w:hAnsi="Times New Roman"/>
          <w:sz w:val="24"/>
          <w:szCs w:val="24"/>
        </w:rPr>
        <w:t xml:space="preserve">ach Transmission Owner will calculate its monthly Wholesale TSC and provide the ISO with the Wholesale TSC by no later than the fourteenth of each month, for posting on the OASIS to become effective on the first of the next calendar month.  Beginning with </w:t>
      </w:r>
      <w:r w:rsidRPr="00EC4874">
        <w:rPr>
          <w:rFonts w:ascii="Times New Roman" w:eastAsia="Times New Roman" w:hAnsi="Times New Roman"/>
          <w:sz w:val="24"/>
          <w:szCs w:val="24"/>
        </w:rPr>
        <w:t>the implementation of LBMP, the monthly Wholesale TSCs for each of the Transmission Districts shall be posted on the OASIS by the ISO no later than the fifteenth of each month or as soon thereafter as is reasonably possible but in no event later than the 2</w:t>
      </w:r>
      <w:r w:rsidRPr="00EC4874">
        <w:rPr>
          <w:rFonts w:ascii="Times New Roman" w:eastAsia="Times New Roman" w:hAnsi="Times New Roman"/>
          <w:sz w:val="24"/>
          <w:szCs w:val="24"/>
        </w:rPr>
        <w:t>0th of the month to become effective on the first of the next calendar month.</w:t>
      </w:r>
    </w:p>
    <w:p w:rsidR="004C2F99" w:rsidRPr="008F5C8B" w:rsidRDefault="00966220" w:rsidP="004C2F99">
      <w:pPr>
        <w:pStyle w:val="Heading3"/>
        <w:spacing w:line="240" w:lineRule="auto"/>
        <w:rPr>
          <w:szCs w:val="24"/>
        </w:rPr>
      </w:pPr>
      <w:bookmarkStart w:id="14" w:name="_Toc263255401"/>
      <w:r w:rsidRPr="008F5C8B">
        <w:rPr>
          <w:szCs w:val="24"/>
        </w:rPr>
        <w:t>14.1.4</w:t>
      </w:r>
      <w:r w:rsidRPr="008F5C8B">
        <w:rPr>
          <w:szCs w:val="24"/>
        </w:rPr>
        <w:tab/>
        <w:t>TSC Calculation Information</w:t>
      </w:r>
      <w:bookmarkEnd w:id="14"/>
    </w:p>
    <w:p w:rsidR="004C2F99" w:rsidRPr="008F5C8B"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w:t>
      </w:r>
      <w:r w:rsidRPr="00EC4874">
        <w:rPr>
          <w:rFonts w:ascii="Times New Roman" w:eastAsia="Times New Roman" w:hAnsi="Times New Roman"/>
          <w:sz w:val="24"/>
          <w:szCs w:val="24"/>
        </w:rPr>
        <w:t xml:space="preserve">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966220"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4766F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Scheduling </w:t>
            </w:r>
            <w:r w:rsidRPr="008F5C8B">
              <w:rPr>
                <w:sz w:val="24"/>
                <w:szCs w:val="24"/>
              </w:rPr>
              <w:t>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4766F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4766F2"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4766F2"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4766F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4766F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See Attachment H, Section </w:t>
            </w:r>
            <w:r w:rsidRPr="008F5C8B">
              <w:rPr>
                <w:sz w:val="24"/>
                <w:szCs w:val="24"/>
              </w:rPr>
              <w:t>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96622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4766F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4766F2"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966220" w:rsidP="004C2F99">
            <w:pPr>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966220" w:rsidP="004C2F99">
            <w:pPr>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966220" w:rsidP="004C2F99">
            <w:pPr>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966220" w:rsidP="004C2F99">
            <w:pPr>
              <w:spacing w:after="0" w:line="240" w:lineRule="auto"/>
              <w:rPr>
                <w:sz w:val="24"/>
                <w:szCs w:val="24"/>
              </w:rPr>
            </w:pPr>
          </w:p>
          <w:p w:rsidR="004C2F99" w:rsidRPr="008F5C8B" w:rsidRDefault="0096622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966220" w:rsidP="004C2F99">
      <w:pPr>
        <w:rPr>
          <w:sz w:val="20"/>
        </w:rPr>
      </w:pPr>
      <w:r>
        <w:rPr>
          <w:sz w:val="28"/>
          <w:vertAlign w:val="superscript"/>
        </w:rPr>
        <w:t>1</w:t>
      </w:r>
      <w:r>
        <w:rPr>
          <w:sz w:val="20"/>
        </w:rPr>
        <w:t xml:space="preserve">The rate column represents the unit rate prior to </w:t>
      </w:r>
      <w:r>
        <w:rPr>
          <w:sz w:val="20"/>
        </w:rPr>
        <w:t>crediting; the actual rate will be determined pursuant to the applicable TSC formula rate.</w:t>
      </w:r>
    </w:p>
    <w:p w:rsidR="004C2F99" w:rsidRDefault="00966220"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w:t>
      </w:r>
      <w:r>
        <w:rPr>
          <w:sz w:val="20"/>
        </w:rPr>
        <w:t>ement approved by the Commission in its March 26, 2004 order issued in Docket No. EL04-56-000.  For any Transmission Customer that “opts out” of the Settlement Agreement as described in paragraph 1.E thereof, the applicable NYSEG “RR” shall be $100,541,739</w:t>
      </w:r>
      <w:r>
        <w:rPr>
          <w:sz w:val="20"/>
        </w:rPr>
        <w:t>; the “BU” shall be 13,741,901 MWh; and, the “Rate” prior to adjustment pursuant to Attachment H, shall be $7.4235 effective as of March 1, 2004.</w:t>
      </w:r>
    </w:p>
    <w:p w:rsidR="004C2F99" w:rsidRPr="00EC4874" w:rsidRDefault="00966220" w:rsidP="004C2F99">
      <w:pPr>
        <w:pStyle w:val="Heading3"/>
        <w:spacing w:line="240" w:lineRule="auto"/>
        <w:rPr>
          <w:szCs w:val="24"/>
        </w:rPr>
      </w:pPr>
      <w:bookmarkStart w:id="15" w:name="_Toc263255402"/>
      <w:r w:rsidRPr="00EC4874">
        <w:rPr>
          <w:szCs w:val="24"/>
        </w:rPr>
        <w:t xml:space="preserve">14.1.5 </w:t>
      </w:r>
      <w:r w:rsidRPr="00EC4874">
        <w:rPr>
          <w:szCs w:val="24"/>
        </w:rPr>
        <w:tab/>
        <w:t>Treatment of Gross Receipts Tax</w:t>
      </w:r>
      <w:bookmarkEnd w:id="15"/>
    </w:p>
    <w:p w:rsidR="004C2F99" w:rsidRPr="00EC4874" w:rsidRDefault="00966220" w:rsidP="004C2F99">
      <w:pPr>
        <w:pStyle w:val="Heading4"/>
        <w:rPr>
          <w:rFonts w:ascii="Times New Roman" w:hAnsi="Times New Roman"/>
          <w:sz w:val="24"/>
          <w:szCs w:val="24"/>
        </w:rPr>
      </w:pPr>
      <w:bookmarkStart w:id="16"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6"/>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w:t>
      </w:r>
      <w:r w:rsidRPr="00EC4874">
        <w:rPr>
          <w:rFonts w:ascii="Times New Roman" w:eastAsia="Times New Roman" w:hAnsi="Times New Roman"/>
          <w:sz w:val="24"/>
          <w:szCs w:val="24"/>
        </w:rPr>
        <w:t xml:space="preserve">TSC shall be increased by dividing the following surcharge factors into the total of all applicable rates and charges to reflect the New York State GRT (0.94922 in the MTA regions and 0.95750 in the non-MTA regions), which is not specifically provided for </w:t>
      </w:r>
      <w:r w:rsidRPr="00EC4874">
        <w:rPr>
          <w:rFonts w:ascii="Times New Roman" w:eastAsia="Times New Roman" w:hAnsi="Times New Roman"/>
          <w:sz w:val="24"/>
          <w:szCs w:val="24"/>
        </w:rPr>
        <w:t xml:space="preserve">in the transmission rate, to the extent such tax is imposed on Central Hudson as a result of the transmission service provided to such Customer.  Central Hudson shall make an appropriate filing pursuant to Section 205 of the Federal Power Act to implement </w:t>
      </w:r>
      <w:r w:rsidRPr="00EC4874">
        <w:rPr>
          <w:rFonts w:ascii="Times New Roman" w:eastAsia="Times New Roman" w:hAnsi="Times New Roman"/>
          <w:sz w:val="24"/>
          <w:szCs w:val="24"/>
        </w:rPr>
        <w:t>any change in the specified tax rate prior to altering the tax rate under this provision.</w:t>
      </w:r>
    </w:p>
    <w:p w:rsidR="004C2F99" w:rsidRPr="00046966" w:rsidRDefault="00966220" w:rsidP="004C2F99">
      <w:pPr>
        <w:pStyle w:val="Heading4"/>
        <w:rPr>
          <w:rFonts w:ascii="Times New Roman" w:hAnsi="Times New Roman"/>
          <w:sz w:val="24"/>
          <w:szCs w:val="24"/>
        </w:rPr>
      </w:pPr>
      <w:bookmarkStart w:id="17"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7"/>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966220"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w:t>
      </w:r>
      <w:r w:rsidRPr="00EC4874">
        <w:rPr>
          <w:rFonts w:ascii="Times New Roman" w:eastAsia="Times New Roman" w:hAnsi="Times New Roman"/>
          <w:sz w:val="24"/>
          <w:szCs w:val="24"/>
        </w:rPr>
        <w:t xml:space="preserve"> GRT is included in LIPA's TSC rate.  LIPA will not charge separately for GRT.</w:t>
      </w:r>
    </w:p>
    <w:p w:rsidR="004C2F99" w:rsidRPr="00046966" w:rsidRDefault="00966220" w:rsidP="004C2F99">
      <w:pPr>
        <w:pStyle w:val="Heading4"/>
        <w:rPr>
          <w:rFonts w:ascii="Times New Roman" w:hAnsi="Times New Roman"/>
          <w:sz w:val="24"/>
          <w:szCs w:val="24"/>
        </w:rPr>
      </w:pPr>
      <w:bookmarkStart w:id="18"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8"/>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w:t>
      </w:r>
      <w:r w:rsidRPr="00EC4874">
        <w:rPr>
          <w:rFonts w:ascii="Times New Roman" w:eastAsia="Times New Roman" w:hAnsi="Times New Roman"/>
          <w:sz w:val="24"/>
          <w:szCs w:val="24"/>
        </w:rPr>
        <w:t xml:space="preserve"> value-added, gross receipts or other applicable taxes with respect to the total amount payable to NYSEG pursuant to the Tariff.  The total of all rates and charges will be divided by the appropriate tax factor listed below, depending upon the geographic l</w:t>
      </w:r>
      <w:r w:rsidRPr="00EC4874">
        <w:rPr>
          <w:rFonts w:ascii="Times New Roman" w:eastAsia="Times New Roman" w:hAnsi="Times New Roman"/>
          <w:sz w:val="24"/>
          <w:szCs w:val="24"/>
        </w:rPr>
        <w:t>ocation of the Transmission Customer’s Point(s) of Delivery</w:t>
      </w:r>
    </w:p>
    <w:p w:rsidR="004C2F99" w:rsidRPr="009B6789" w:rsidRDefault="00966220"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966220"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w:t>
      </w:r>
      <w:r w:rsidRPr="00EC4874">
        <w:rPr>
          <w:rFonts w:ascii="Times New Roman" w:eastAsia="Times New Roman" w:hAnsi="Times New Roman"/>
          <w:sz w:val="24"/>
          <w:szCs w:val="24"/>
        </w:rPr>
        <w:t>nsmission Provider’s electric revenues pursuant to New York law and represents the Franchise Tax on Gross Earnings, the Gross Income Tax, and where applicable the Metropolitan Commuter Transportation District Surcharge.</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w:t>
      </w:r>
      <w:r w:rsidRPr="00EC4874">
        <w:rPr>
          <w:rFonts w:ascii="Times New Roman" w:eastAsia="Times New Roman" w:hAnsi="Times New Roman"/>
          <w:sz w:val="24"/>
          <w:szCs w:val="24"/>
        </w:rPr>
        <w:t>on commencement of services under the ISO OATT.</w:t>
      </w:r>
    </w:p>
    <w:p w:rsidR="004C2F99" w:rsidRPr="00046966" w:rsidRDefault="00966220" w:rsidP="004C2F99">
      <w:pPr>
        <w:pStyle w:val="Heading4"/>
        <w:rPr>
          <w:rFonts w:ascii="Times New Roman" w:hAnsi="Times New Roman"/>
          <w:sz w:val="24"/>
          <w:szCs w:val="24"/>
        </w:rPr>
      </w:pPr>
      <w:bookmarkStart w:id="19"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9"/>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w:t>
      </w:r>
      <w:r w:rsidRPr="00EC4874">
        <w:rPr>
          <w:rFonts w:ascii="Times New Roman" w:eastAsia="Times New Roman" w:hAnsi="Times New Roman"/>
          <w:sz w:val="24"/>
          <w:szCs w:val="24"/>
        </w:rPr>
        <w:t>ially is included in the RR and there will be no separate GRT assessed; however, this issue with regard to GRT is subject to final Commission action in Docket No.  OA96-194-000, including all stipulations executed in connection therewith.</w:t>
      </w:r>
    </w:p>
    <w:p w:rsidR="004C2F99" w:rsidRPr="00046966" w:rsidRDefault="00966220" w:rsidP="004C2F99">
      <w:pPr>
        <w:pStyle w:val="Heading4"/>
        <w:rPr>
          <w:rFonts w:ascii="Times New Roman" w:hAnsi="Times New Roman"/>
          <w:sz w:val="24"/>
          <w:szCs w:val="24"/>
        </w:rPr>
      </w:pPr>
      <w:bookmarkStart w:id="20" w:name="_Toc263255407"/>
      <w:r w:rsidRPr="00046966">
        <w:rPr>
          <w:rFonts w:ascii="Times New Roman" w:hAnsi="Times New Roman"/>
          <w:sz w:val="24"/>
          <w:szCs w:val="24"/>
        </w:rPr>
        <w:t>14.1.5.6</w:t>
      </w:r>
      <w:r w:rsidRPr="00046966">
        <w:rPr>
          <w:rFonts w:ascii="Times New Roman" w:hAnsi="Times New Roman"/>
          <w:sz w:val="24"/>
          <w:szCs w:val="24"/>
        </w:rPr>
        <w:tab/>
        <w:t>Orange a</w:t>
      </w:r>
      <w:r w:rsidRPr="00046966">
        <w:rPr>
          <w:rFonts w:ascii="Times New Roman" w:hAnsi="Times New Roman"/>
          <w:sz w:val="24"/>
          <w:szCs w:val="24"/>
        </w:rPr>
        <w:t>nd Rockland Utilities, Inc.</w:t>
      </w:r>
      <w:bookmarkEnd w:id="20"/>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provided for in the transmission rate and ancillary service rates, that a governmental authority may impose o</w:t>
      </w:r>
      <w:r w:rsidRPr="00EC4874">
        <w:rPr>
          <w:rFonts w:ascii="Times New Roman" w:eastAsia="Times New Roman" w:hAnsi="Times New Roman"/>
          <w:sz w:val="24"/>
          <w:szCs w:val="24"/>
        </w:rPr>
        <w:t>n Orange and Rockland as a result of the Transmission Service provided to such Transmission Customer pursuant to Sections 186 and 186-a of the New York Tax Law.  The current effective GRT rate for the Section 186-a tax is 3.25% from October 1, 1998 through</w:t>
      </w:r>
      <w:r w:rsidRPr="00EC4874">
        <w:rPr>
          <w:rFonts w:ascii="Times New Roman" w:eastAsia="Times New Roman" w:hAnsi="Times New Roman"/>
          <w:sz w:val="24"/>
          <w:szCs w:val="24"/>
        </w:rPr>
        <w:t xml:space="preserve"> October 31, 1999 and 2.5% on and after January 1, 2000. The maximum locality rate allowable under state law for each locality is specified below.   However, if the actual locality rate is less than the maximum locality rate permitted under state law, O&amp;R </w:t>
      </w:r>
      <w:r w:rsidRPr="00EC4874">
        <w:rPr>
          <w:rFonts w:ascii="Times New Roman" w:eastAsia="Times New Roman" w:hAnsi="Times New Roman"/>
          <w:sz w:val="24"/>
          <w:szCs w:val="24"/>
        </w:rPr>
        <w:t>shall charge the actual tax rate levied by the locality.  The currently effective GRT rate for the Section 186 tax is .75%.</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Spring </w:t>
      </w:r>
      <w:r w:rsidRPr="008F5C8B">
        <w:rPr>
          <w:rFonts w:ascii="Times New Roman" w:eastAsia="Times New Roman" w:hAnsi="Times New Roman"/>
          <w:sz w:val="24"/>
          <w:szCs w:val="24"/>
        </w:rPr>
        <w:t>Valley</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966220" w:rsidP="004C2F99">
      <w:pPr>
        <w:pStyle w:val="Heading4"/>
        <w:rPr>
          <w:rFonts w:ascii="Times New Roman" w:hAnsi="Times New Roman"/>
          <w:sz w:val="24"/>
          <w:szCs w:val="24"/>
        </w:rPr>
      </w:pPr>
      <w:bookmarkStart w:id="21"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21"/>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w:t>
      </w:r>
      <w:r w:rsidRPr="00EC4874">
        <w:rPr>
          <w:rFonts w:ascii="Times New Roman" w:eastAsia="Times New Roman" w:hAnsi="Times New Roman"/>
          <w:sz w:val="24"/>
          <w:szCs w:val="24"/>
        </w:rPr>
        <w:t>e gross receipts tax which is not specifically provided for in the transmission rate and ancillary service rates, that a governmental authority may impose on RG&amp;E as a result of the Transmission Service provided to such Transmission Customer pursuant to Se</w:t>
      </w:r>
      <w:r w:rsidRPr="00EC4874">
        <w:rPr>
          <w:rFonts w:ascii="Times New Roman" w:eastAsia="Times New Roman" w:hAnsi="Times New Roman"/>
          <w:sz w:val="24"/>
          <w:szCs w:val="24"/>
        </w:rPr>
        <w:t>ctions 186 and 186-a of the New York Tax Law.  The currently effective GRT rate for the Section 186-a tax is 3.5% and each locality rate is specified below.  The currently effective GRT rate for the Section 186 tax is .75%.</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96622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966220" w:rsidP="004C2F99">
      <w:pPr>
        <w:pStyle w:val="Heading3"/>
        <w:spacing w:line="240" w:lineRule="auto"/>
        <w:rPr>
          <w:szCs w:val="24"/>
        </w:rPr>
      </w:pPr>
      <w:bookmarkStart w:id="22" w:name="_Toc263255409"/>
      <w:r w:rsidRPr="008F5C8B">
        <w:rPr>
          <w:szCs w:val="24"/>
        </w:rPr>
        <w:t>14.1.6</w:t>
      </w:r>
      <w:r w:rsidRPr="008F5C8B">
        <w:rPr>
          <w:szCs w:val="24"/>
        </w:rPr>
        <w:tab/>
        <w:t>TSC For Retail Access Customers (“RTSC”)</w:t>
      </w:r>
      <w:bookmarkEnd w:id="22"/>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w:t>
      </w:r>
      <w:r w:rsidRPr="00EC4874">
        <w:rPr>
          <w:rFonts w:ascii="Times New Roman" w:eastAsia="Times New Roman" w:hAnsi="Times New Roman"/>
          <w:sz w:val="24"/>
          <w:szCs w:val="24"/>
        </w:rPr>
        <w:t xml:space="preserve">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charge as detailed in Section 5 of this Tariff.</w:t>
      </w:r>
    </w:p>
    <w:p w:rsidR="004C2F99" w:rsidRPr="008F5C8B" w:rsidRDefault="00966220" w:rsidP="004C2F99">
      <w:pPr>
        <w:pStyle w:val="Heading3"/>
        <w:spacing w:line="240" w:lineRule="auto"/>
        <w:rPr>
          <w:szCs w:val="24"/>
        </w:rPr>
      </w:pPr>
      <w:bookmarkStart w:id="23" w:name="_Toc263255410"/>
      <w:r w:rsidRPr="008F5C8B">
        <w:rPr>
          <w:szCs w:val="24"/>
        </w:rPr>
        <w:t>14.1.7</w:t>
      </w:r>
      <w:r w:rsidRPr="008F5C8B">
        <w:rPr>
          <w:szCs w:val="24"/>
        </w:rPr>
        <w:tab/>
        <w:t>NYPA Transmission Service Charge</w:t>
      </w:r>
      <w:bookmarkEnd w:id="23"/>
    </w:p>
    <w:p w:rsidR="004C2F99" w:rsidRPr="00EC4874" w:rsidRDefault="00966220"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w:t>
      </w:r>
      <w:r w:rsidRPr="00EC4874">
        <w:rPr>
          <w:rFonts w:ascii="Times New Roman" w:eastAsia="Times New Roman" w:hAnsi="Times New Roman"/>
          <w:sz w:val="24"/>
          <w:szCs w:val="24"/>
        </w:rPr>
        <w:t xml:space="preserve"> NYPA TSC for service to its directly connected Loads (Reynolds Metals, GM-Massena, Town of Massena and the City of Plattsburgh) shall, at the Eligible Customer’s option, be (a) $1.30 per kilowatt-month or (b) no more than $3.75 per MWh; not to exceed $60.</w:t>
      </w:r>
      <w:r w:rsidRPr="00EC4874">
        <w:rPr>
          <w:rFonts w:ascii="Times New Roman" w:eastAsia="Times New Roman" w:hAnsi="Times New Roman"/>
          <w:sz w:val="24"/>
          <w:szCs w:val="24"/>
        </w:rPr>
        <w:t>00 per MW Day applied to peak MWh scheduled any hour each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w:t>
      </w:r>
      <w:r w:rsidRPr="00EC4874">
        <w:rPr>
          <w:rFonts w:ascii="Times New Roman" w:eastAsia="Times New Roman" w:hAnsi="Times New Roman"/>
          <w:sz w:val="24"/>
          <w:szCs w:val="24"/>
        </w:rPr>
        <w:t>e as (b).  The TSC applicable to service over the Hydro-Quebec intertie shall be no more than $4.62 per MWh; not to exceed $73.85 per MW-Day applied to peak MWh scheduled each day; not to exceed $369.23 per MW-Week applied to the peak MWh scheduled any hou</w:t>
      </w:r>
      <w:r w:rsidRPr="00EC4874">
        <w:rPr>
          <w:rFonts w:ascii="Times New Roman" w:eastAsia="Times New Roman" w:hAnsi="Times New Roman"/>
          <w:sz w:val="24"/>
          <w:szCs w:val="24"/>
        </w:rPr>
        <w:t>r each week.  NYPA shall coordinate with the ISO to update its TSC.  Such updates shall be subject to FERC filings.</w:t>
      </w:r>
    </w:p>
    <w:p w:rsidR="004C2F99" w:rsidRPr="008F5C8B" w:rsidRDefault="00966220" w:rsidP="004C2F99">
      <w:pPr>
        <w:pStyle w:val="Heading3"/>
        <w:spacing w:line="240" w:lineRule="auto"/>
        <w:rPr>
          <w:szCs w:val="24"/>
        </w:rPr>
      </w:pPr>
      <w:bookmarkStart w:id="24" w:name="_Toc263255411"/>
      <w:r w:rsidRPr="008F5C8B">
        <w:rPr>
          <w:szCs w:val="24"/>
        </w:rPr>
        <w:t>14.1.8</w:t>
      </w:r>
      <w:r w:rsidRPr="008F5C8B">
        <w:rPr>
          <w:szCs w:val="24"/>
        </w:rPr>
        <w:tab/>
        <w:t>Discounting</w:t>
      </w:r>
      <w:bookmarkEnd w:id="24"/>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deliveries</w:t>
      </w:r>
      <w:r w:rsidRPr="00EC4874">
        <w:rPr>
          <w:rFonts w:ascii="Times New Roman" w:eastAsia="Times New Roman" w:hAnsi="Times New Roman"/>
          <w:sz w:val="24"/>
          <w:szCs w:val="24"/>
        </w:rPr>
        <w:t xml:space="preserve"> to a particular Interconnection between the NYCA and another Control Area.  The ISO shall post the discounts on the OASIS for the specified period.</w:t>
      </w:r>
    </w:p>
    <w:p w:rsidR="004C2F99"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w:t>
      </w:r>
      <w:r w:rsidRPr="00EC4874">
        <w:rPr>
          <w:rFonts w:ascii="Times New Roman" w:eastAsia="Times New Roman" w:hAnsi="Times New Roman"/>
          <w:sz w:val="24"/>
          <w:szCs w:val="24"/>
        </w:rPr>
        <w:t>count made by a Transmission Owner must be announced to all Eligible Customers solely by posting on the OASIS; (2) any customer-initiated requests for discounts (including requests for use by a Transmission Owner's wholesale merchant or an Affiliate's use)</w:t>
      </w:r>
      <w:r w:rsidRPr="00EC4874">
        <w:rPr>
          <w:rFonts w:ascii="Times New Roman" w:eastAsia="Times New Roman" w:hAnsi="Times New Roman"/>
          <w:sz w:val="24"/>
          <w:szCs w:val="24"/>
        </w:rPr>
        <w:t xml:space="preserve"> must occur solely by posting on the OASIS; and (3) once a discount is negotiated, details must be immediately posted on the OASIS.  For any discount that the Transmission Owner agrees to and advises the ISO of, the same discounted Transmission Service rat</w:t>
      </w:r>
      <w:r w:rsidRPr="00EC4874">
        <w:rPr>
          <w:rFonts w:ascii="Times New Roman" w:eastAsia="Times New Roman" w:hAnsi="Times New Roman"/>
          <w:sz w:val="24"/>
          <w:szCs w:val="24"/>
        </w:rPr>
        <w:t>e will be offered to all Transmission Customers for the same period for all deliveries to a particular Interconnection between the NYCA and another Control Area.  The ISO will post the discounts on the OASIS for the specified period.</w:t>
      </w:r>
    </w:p>
    <w:p w:rsidR="004C2F99" w:rsidRPr="008F5C8B" w:rsidRDefault="00966220"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966220"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 xml:space="preserve">Applicable </w:t>
      </w:r>
      <w:r w:rsidRPr="008F5C8B">
        <w:rPr>
          <w:rFonts w:ascii="Times New Roman" w:hAnsi="Times New Roman"/>
          <w:sz w:val="24"/>
          <w:szCs w:val="24"/>
        </w:rPr>
        <w:t>Wholesale TSC for Exports from</w:t>
      </w:r>
    </w:p>
    <w:p w:rsidR="004C2F99" w:rsidRPr="008F5C8B" w:rsidRDefault="00966220"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4766F2"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w:t>
            </w:r>
            <w:r w:rsidRPr="009B6789">
              <w:rPr>
                <w:rFonts w:eastAsia="Times New Roman"/>
                <w:sz w:val="16"/>
                <w:szCs w:val="24"/>
              </w:rPr>
              <w:t xml:space="preserve">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766F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766F2">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966220"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96622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96622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96622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966220" w:rsidP="004C2F99">
      <w:pPr>
        <w:pStyle w:val="Heading9"/>
        <w:spacing w:after="0" w:line="240" w:lineRule="auto"/>
        <w:ind w:firstLine="0"/>
        <w:jc w:val="center"/>
        <w:rPr>
          <w:rFonts w:ascii="Times New Roman" w:hAnsi="Times New Roman"/>
          <w:sz w:val="24"/>
          <w:szCs w:val="24"/>
        </w:rPr>
      </w:pP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w:t>
      </w:r>
      <w:r w:rsidRPr="00EC4874">
        <w:rPr>
          <w:rFonts w:ascii="Times New Roman" w:eastAsia="Times New Roman" w:hAnsi="Times New Roman"/>
          <w:sz w:val="24"/>
          <w:szCs w:val="24"/>
        </w:rPr>
        <w:t>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r w:rsidRPr="00EC4874">
        <w:rPr>
          <w:rFonts w:ascii="Times New Roman" w:eastAsia="Times New Roman" w:hAnsi="Times New Roman"/>
          <w:sz w:val="24"/>
          <w:szCs w:val="24"/>
        </w:rPr>
        <w:t>.</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4766F2">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4766F2">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spacing w:after="0" w:line="240" w:lineRule="auto"/>
              <w:rPr>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966220"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766F2">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spacing w:after="0" w:line="240" w:lineRule="auto"/>
              <w:rPr>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spacing w:after="0" w:line="240" w:lineRule="auto"/>
              <w:rPr>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766F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766F2">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966220">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96622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966220" w:rsidP="004C2F99">
      <w:pPr>
        <w:pStyle w:val="Heading3"/>
        <w:spacing w:line="240" w:lineRule="auto"/>
        <w:rPr>
          <w:rFonts w:cs="Tahoma"/>
          <w:bCs/>
          <w:color w:val="000000"/>
          <w:szCs w:val="24"/>
        </w:rPr>
      </w:pPr>
      <w:bookmarkStart w:id="25" w:name="_Toc263255412"/>
      <w:r w:rsidRPr="008F5C8B">
        <w:rPr>
          <w:rFonts w:cs="Tahoma"/>
          <w:bCs/>
          <w:color w:val="000000"/>
          <w:szCs w:val="24"/>
        </w:rPr>
        <w:t>14.1.9</w:t>
      </w:r>
      <w:r w:rsidRPr="008F5C8B">
        <w:rPr>
          <w:rFonts w:cs="Tahoma"/>
          <w:bCs/>
          <w:color w:val="000000"/>
          <w:szCs w:val="24"/>
        </w:rPr>
        <w:tab/>
      </w:r>
      <w:r w:rsidRPr="008F5C8B">
        <w:rPr>
          <w:rFonts w:cs="Tahoma"/>
          <w:bCs/>
          <w:color w:val="000000"/>
          <w:szCs w:val="24"/>
        </w:rPr>
        <w:t>Niagara Mohawk Power Corporation Wholesale TSC Formula Components RR, CCC and BU and Sources of Data Inputs</w:t>
      </w:r>
      <w:bookmarkEnd w:id="25"/>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w:t>
      </w:r>
      <w:r w:rsidRPr="00EC4874">
        <w:rPr>
          <w:rFonts w:ascii="Times New Roman" w:eastAsia="Times New Roman" w:hAnsi="Times New Roman"/>
          <w:sz w:val="24"/>
          <w:szCs w:val="24"/>
        </w:rPr>
        <w:t>onent contained in Attachment 1 and in accordance with the update procedures set forth in Section 14.1.9.4.  With the exception of forecasted information, the cost data used in the Formula Rate will be cost data from NMPC’s annual FERC Form 1, NMPC’s Annua</w:t>
      </w:r>
      <w:r w:rsidRPr="00EC4874">
        <w:rPr>
          <w:rFonts w:ascii="Times New Roman" w:eastAsia="Times New Roman" w:hAnsi="Times New Roman"/>
          <w:sz w:val="24"/>
          <w:szCs w:val="24"/>
        </w:rPr>
        <w:t xml:space="preserve">l Report to the New York State Public Service Commission, or NMPC’s official books of record.  </w:t>
      </w:r>
    </w:p>
    <w:p w:rsidR="004C2F99" w:rsidRPr="00046966" w:rsidRDefault="00966220" w:rsidP="004C2F99">
      <w:pPr>
        <w:pStyle w:val="Heading4"/>
        <w:rPr>
          <w:rFonts w:ascii="Times New Roman" w:hAnsi="Times New Roman"/>
          <w:sz w:val="24"/>
          <w:szCs w:val="24"/>
        </w:rPr>
      </w:pPr>
      <w:bookmarkStart w:id="26"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6"/>
    </w:p>
    <w:p w:rsidR="004C2F99" w:rsidRPr="008F5C8B" w:rsidRDefault="00966220"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966220" w:rsidP="004C2F99">
      <w:pPr>
        <w:pStyle w:val="Heading4"/>
        <w:rPr>
          <w:rFonts w:ascii="Times New Roman" w:hAnsi="Times New Roman"/>
          <w:sz w:val="24"/>
          <w:szCs w:val="24"/>
        </w:rPr>
      </w:pPr>
      <w:bookmarkStart w:id="27" w:name="_Toc263255414"/>
      <w:r w:rsidRPr="008F5C8B">
        <w:rPr>
          <w:rFonts w:ascii="Times New Roman" w:hAnsi="Times New Roman"/>
          <w:sz w:val="24"/>
          <w:szCs w:val="24"/>
        </w:rPr>
        <w:t>Allocation Factors</w:t>
      </w:r>
      <w:bookmarkEnd w:id="27"/>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Electric Wages and Salaries A</w:t>
      </w:r>
      <w:r w:rsidRPr="00046966">
        <w:rPr>
          <w:rFonts w:ascii="Times New Roman" w:hAnsi="Times New Roman"/>
          <w:sz w:val="24"/>
          <w:szCs w:val="24"/>
        </w:rPr>
        <w:t xml:space="preserve">llocation Factor shall be fixed at 0.835.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w:t>
      </w:r>
      <w:r w:rsidRPr="00046966">
        <w:rPr>
          <w:rFonts w:ascii="Times New Roman" w:hAnsi="Times New Roman"/>
          <w:sz w:val="24"/>
          <w:szCs w:val="24"/>
        </w:rPr>
        <w:t xml:space="preserve">sion Related Intangible Plant divided by Gross Electric Plant.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w:t>
      </w:r>
      <w:r w:rsidRPr="00046966">
        <w:rPr>
          <w:rFonts w:ascii="Times New Roman" w:hAnsi="Times New Roman"/>
          <w:sz w:val="24"/>
          <w:szCs w:val="24"/>
        </w:rPr>
        <w:t>otal Gas Plant, Total Electric Plant, and total Common Plant.</w:t>
      </w:r>
    </w:p>
    <w:p w:rsidR="004C2F99" w:rsidRPr="008F5C8B" w:rsidRDefault="00966220" w:rsidP="004C2F99">
      <w:pPr>
        <w:pStyle w:val="Heading4"/>
        <w:rPr>
          <w:rFonts w:ascii="Times New Roman" w:hAnsi="Times New Roman"/>
          <w:sz w:val="24"/>
          <w:szCs w:val="24"/>
        </w:rPr>
      </w:pPr>
      <w:bookmarkStart w:id="28" w:name="_Toc263255415"/>
      <w:r w:rsidRPr="008F5C8B">
        <w:rPr>
          <w:rFonts w:ascii="Times New Roman" w:hAnsi="Times New Roman"/>
          <w:sz w:val="24"/>
          <w:szCs w:val="24"/>
        </w:rPr>
        <w:t>Ratebase and Expense Items</w:t>
      </w:r>
      <w:bookmarkEnd w:id="28"/>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w:t>
      </w:r>
      <w:r w:rsidRPr="00046966">
        <w:rPr>
          <w:rFonts w:ascii="Times New Roman" w:hAnsi="Times New Roman"/>
          <w:sz w:val="24"/>
          <w:szCs w:val="24"/>
        </w:rPr>
        <w:t>djustment to the deferred pension costs booked per the NYPSC Statement of Policy for Accounting and Ratemaking Treatment for Pension and Post-Retirement Benefits Other than Pensions.  In addition, Administrative and General Expenses shall exclude the actua</w:t>
      </w:r>
      <w:r w:rsidRPr="00046966">
        <w:rPr>
          <w:rFonts w:ascii="Times New Roman" w:hAnsi="Times New Roman"/>
          <w:sz w:val="24"/>
          <w:szCs w:val="24"/>
        </w:rPr>
        <w:t>l Post-Employment Benefits Other than Pensions (“PBOP”) expenses included in FERC Account No. 926, and shall add back the FERC accepted Post Employment Benefit Other than Pensions of $88,644,000 annually or $7,387,000 per month or any other amount subseque</w:t>
      </w:r>
      <w:r w:rsidRPr="00046966">
        <w:rPr>
          <w:rFonts w:ascii="Times New Roman" w:hAnsi="Times New Roman"/>
          <w:sz w:val="24"/>
          <w:szCs w:val="24"/>
        </w:rPr>
        <w:t xml:space="preserve">ntly approved by FERC under Section 205 or 206 of the Federal Power Act.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w:t>
      </w:r>
      <w:r w:rsidRPr="00046966">
        <w:rPr>
          <w:rFonts w:ascii="Times New Roman" w:hAnsi="Times New Roman"/>
          <w:sz w:val="24"/>
          <w:szCs w:val="24"/>
        </w:rPr>
        <w:t>of Debt Discount Expense shall equal expenses as recorded in FERC Account No. 428.</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w:t>
      </w:r>
      <w:r w:rsidRPr="00046966">
        <w:rPr>
          <w:rFonts w:ascii="Times New Roman" w:hAnsi="Times New Roman"/>
          <w:sz w:val="24"/>
          <w:szCs w:val="24"/>
        </w:rPr>
        <w:t>l the expenses as recorded in FERC Account 429.</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w:t>
      </w:r>
      <w:r w:rsidRPr="00046966">
        <w:rPr>
          <w:rFonts w:ascii="Times New Roman" w:hAnsi="Times New Roman"/>
          <w:sz w:val="24"/>
          <w:szCs w:val="24"/>
        </w:rPr>
        <w:t>os. 389-399.  Common Plant shall be defined as the plant common to NMPC’s gas and electric functions per 18 C.F.R. Parts 101 (Electric) and 201 (Gas).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w:t>
      </w:r>
      <w:r w:rsidRPr="00046966">
        <w:rPr>
          <w:rFonts w:ascii="Times New Roman" w:hAnsi="Times New Roman"/>
          <w:sz w:val="24"/>
          <w:szCs w:val="24"/>
        </w:rPr>
        <w:t>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w:t>
      </w:r>
      <w:r w:rsidRPr="00046966">
        <w:rPr>
          <w:rFonts w:ascii="Times New Roman" w:hAnsi="Times New Roman"/>
          <w:sz w:val="24"/>
          <w:szCs w:val="24"/>
        </w:rPr>
        <w:t>108 associated with Common Plant per 18 C.F.R. Parts 101 (Electric) and 201 (Gas).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w:t>
      </w:r>
      <w:r w:rsidRPr="00046966">
        <w:rPr>
          <w:rFonts w:ascii="Times New Roman" w:hAnsi="Times New Roman"/>
          <w:sz w:val="24"/>
          <w:szCs w:val="24"/>
        </w:rPr>
        <w:t>preciation rates set forth in the following table:</w:t>
      </w:r>
    </w:p>
    <w:p w:rsidR="004C2F99" w:rsidRPr="008F5C8B" w:rsidRDefault="00966220"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966220"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 xml:space="preserve">Station Equipment – </w:t>
      </w:r>
      <w:r w:rsidRPr="008F5C8B">
        <w:rPr>
          <w:rFonts w:ascii="Times New Roman" w:eastAsia="Times New Roman" w:hAnsi="Times New Roman" w:cs="Tahoma"/>
          <w:color w:val="000000"/>
          <w:sz w:val="24"/>
          <w:szCs w:val="24"/>
        </w:rPr>
        <w:t>EMS</w:t>
      </w:r>
      <w:r w:rsidRPr="008F5C8B">
        <w:rPr>
          <w:rFonts w:ascii="Times New Roman" w:eastAsia="Times New Roman" w:hAnsi="Times New Roman" w:cs="Tahoma"/>
          <w:color w:val="000000"/>
          <w:sz w:val="24"/>
          <w:szCs w:val="24"/>
        </w:rPr>
        <w:tab/>
        <w:t>3.40</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96622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w:t>
      </w:r>
      <w:r w:rsidRPr="00046966">
        <w:rPr>
          <w:rFonts w:ascii="Times New Roman" w:hAnsi="Times New Roman"/>
          <w:sz w:val="24"/>
          <w:szCs w:val="24"/>
        </w:rPr>
        <w:t xml:space="preserve">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w:t>
      </w:r>
      <w:r w:rsidRPr="00046966">
        <w:rPr>
          <w:rFonts w:ascii="Times New Roman" w:hAnsi="Times New Roman"/>
          <w:sz w:val="24"/>
          <w:szCs w:val="24"/>
        </w:rPr>
        <w:t>e general plant associated with NMPC’s electric function.</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w:t>
      </w:r>
      <w:r w:rsidRPr="00046966">
        <w:rPr>
          <w:rFonts w:ascii="Times New Roman" w:hAnsi="Times New Roman"/>
          <w:sz w:val="24"/>
          <w:szCs w:val="24"/>
        </w:rPr>
        <w:t>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w:t>
      </w:r>
      <w:r w:rsidRPr="00046966">
        <w:rPr>
          <w:rFonts w:ascii="Times New Roman" w:hAnsi="Times New Roman"/>
          <w:sz w:val="24"/>
          <w:szCs w:val="24"/>
        </w:rPr>
        <w:t xml:space="preserve"> recorded in FERC Account No. 924.</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Gain on Reacquired Debt shall equal the balance as recorded in FERC Ac</w:t>
      </w:r>
      <w:r w:rsidRPr="00046966">
        <w:rPr>
          <w:rFonts w:ascii="Times New Roman" w:hAnsi="Times New Roman"/>
          <w:sz w:val="24"/>
          <w:szCs w:val="24"/>
        </w:rPr>
        <w:t xml:space="preserve">count No. 257.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Allocation Factor.</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w:t>
      </w:r>
      <w:r w:rsidRPr="00046966">
        <w:rPr>
          <w:rFonts w:ascii="Times New Roman" w:hAnsi="Times New Roman"/>
          <w:sz w:val="24"/>
          <w:szCs w:val="24"/>
        </w:rPr>
        <w:t xml:space="preserve"> equal Total Gas Plant plus Total Electric Plant plus Total Common Plant.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w:t>
      </w:r>
      <w:r w:rsidRPr="00046966">
        <w:rPr>
          <w:rFonts w:ascii="Times New Roman" w:hAnsi="Times New Roman"/>
          <w:sz w:val="24"/>
          <w:szCs w:val="24"/>
        </w:rPr>
        <w:t xml:space="preserve"> Transmission Related Intangible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w:t>
      </w:r>
      <w:r w:rsidRPr="00046966">
        <w:rPr>
          <w:rFonts w:ascii="Times New Roman" w:hAnsi="Times New Roman"/>
          <w:sz w:val="24"/>
          <w:szCs w:val="24"/>
        </w:rPr>
        <w:t>ons.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w:t>
      </w:r>
      <w:r w:rsidRPr="00046966">
        <w:rPr>
          <w:rFonts w:ascii="Times New Roman" w:hAnsi="Times New Roman"/>
          <w:sz w:val="24"/>
          <w:szCs w:val="24"/>
        </w:rPr>
        <w:t>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 xml:space="preserve">Loss on Reacquired Debt shall equal the loss on reacquired debt as recorded in </w:t>
      </w:r>
      <w:r w:rsidRPr="00046966">
        <w:rPr>
          <w:rFonts w:ascii="Times New Roman" w:hAnsi="Times New Roman"/>
          <w:sz w:val="24"/>
          <w:szCs w:val="24"/>
        </w:rPr>
        <w:t>FERC Account No. 189.</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w:t>
      </w:r>
      <w:r w:rsidRPr="00046966">
        <w:rPr>
          <w:rFonts w:ascii="Times New Roman" w:hAnsi="Times New Roman"/>
          <w:sz w:val="24"/>
          <w:szCs w:val="24"/>
        </w:rPr>
        <w:t xml:space="preserv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w:t>
      </w:r>
      <w:r w:rsidRPr="00046966">
        <w:rPr>
          <w:rFonts w:ascii="Times New Roman" w:hAnsi="Times New Roman"/>
          <w:sz w:val="24"/>
          <w:szCs w:val="24"/>
        </w:rPr>
        <w:t>qual prepayment balance as recorded in FERC Account No. 165 per 18 C.F.R. Parts 101 (Electric) and 201 (Gas) less prepaid state and Federal income taxes.</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 xml:space="preserve">FERC </w:t>
      </w:r>
      <w:r>
        <w:rPr>
          <w:rFonts w:ascii="Times New Roman" w:hAnsi="Times New Roman"/>
          <w:sz w:val="24"/>
          <w:szCs w:val="24"/>
        </w:rPr>
        <w:t>Account 408.1.</w:t>
      </w:r>
      <w:r w:rsidRPr="00046966">
        <w:rPr>
          <w:rFonts w:ascii="Times New Roman" w:hAnsi="Times New Roman"/>
          <w:sz w:val="24"/>
          <w:szCs w:val="24"/>
        </w:rPr>
        <w: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w:t>
      </w:r>
      <w:r w:rsidRPr="00046966">
        <w:rPr>
          <w:rFonts w:ascii="Times New Roman" w:hAnsi="Times New Roman"/>
          <w:sz w:val="24"/>
          <w:szCs w:val="24"/>
        </w:rPr>
        <w:t>red Income Taxes shall equal the sum of deferred tax balances recorded in FERC Account Nos. 281 - 283 plus accumulated deferred investment tax credits as reflected in FERC Account No. 255, minus the deferred tax balance in FERC Account No. 190.  Total Accu</w:t>
      </w:r>
      <w:r w:rsidRPr="00046966">
        <w:rPr>
          <w:rFonts w:ascii="Times New Roman" w:hAnsi="Times New Roman"/>
          <w:sz w:val="24"/>
          <w:szCs w:val="24"/>
        </w:rPr>
        <w:t xml:space="preserve">mulated Deferred Income Taxes shall exclude the specifically identified generation-related stranded cost deferred taxes. </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 xml:space="preserve">Total Electric Plant shall equal the sum of Transmission Plant, Distribution Plant, Electric General Plant and Intangible </w:t>
      </w:r>
      <w:r w:rsidRPr="00046966">
        <w:rPr>
          <w:rFonts w:ascii="Times New Roman" w:hAnsi="Times New Roman"/>
          <w:sz w:val="24"/>
          <w:szCs w:val="24"/>
        </w:rPr>
        <w:t>Electric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w:t>
      </w:r>
      <w:r w:rsidRPr="00046966">
        <w:rPr>
          <w:rFonts w:ascii="Times New Roman" w:hAnsi="Times New Roman"/>
          <w:sz w:val="24"/>
          <w:szCs w:val="24"/>
        </w:rPr>
        <w:t>n plant related depreciation reserve balance as recorded in FERC Account No. 108, plus Transmission Related General Plant Accumulated Depreciation, Transmission Related Amortization of Other Utility Plant, and Common Plant Accumulated Depreciation associat</w:t>
      </w:r>
      <w:r w:rsidRPr="00046966">
        <w:rPr>
          <w:rFonts w:ascii="Times New Roman" w:hAnsi="Times New Roman"/>
          <w:sz w:val="24"/>
          <w:szCs w:val="24"/>
        </w:rPr>
        <w:t>ed with Gross Electric Plant.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w:t>
      </w:r>
      <w:r w:rsidRPr="00175663">
        <w:rPr>
          <w:rFonts w:ascii="Times New Roman" w:hAnsi="Times New Roman"/>
          <w:sz w:val="24"/>
          <w:szCs w:val="24"/>
        </w:rPr>
        <w:t xml:space="preserve">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w:t>
      </w:r>
      <w:r w:rsidRPr="00046966">
        <w:rPr>
          <w:rFonts w:ascii="Times New Roman" w:hAnsi="Times New Roman"/>
          <w:sz w:val="24"/>
          <w:szCs w:val="24"/>
        </w:rPr>
        <w:t>t balance as recorded in FERC Account Nos. 350-359.</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w:t>
      </w:r>
      <w:r w:rsidRPr="00046966">
        <w:rPr>
          <w:rFonts w:ascii="Times New Roman" w:hAnsi="Times New Roman"/>
          <w:sz w:val="24"/>
          <w:szCs w:val="24"/>
        </w:rPr>
        <w:t>rm Debt shall equal the balance in FERC Account No. 226.</w:t>
      </w:r>
    </w:p>
    <w:p w:rsidR="004C2F99" w:rsidRPr="00046966" w:rsidRDefault="00966220"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w:t>
      </w:r>
      <w:r w:rsidRPr="00046966">
        <w:rPr>
          <w:rFonts w:ascii="Times New Roman" w:hAnsi="Times New Roman"/>
          <w:sz w:val="24"/>
          <w:szCs w:val="24"/>
        </w:rPr>
        <w:t>r external tie at voltages equal to or greater than 23 kV.  The gross plant investment shall be determined by multiplying the number of such existing wholesale meters recorded in FERC Account No. 370.3 and in blanket metering accounts by the average cost o</w:t>
      </w:r>
      <w:r w:rsidRPr="00046966">
        <w:rPr>
          <w:rFonts w:ascii="Times New Roman" w:hAnsi="Times New Roman"/>
          <w:sz w:val="24"/>
          <w:szCs w:val="24"/>
        </w:rPr>
        <w:t xml:space="preserve">f the meters plus the average costs of installation.  To the extent future gross plant investment for Wholesale Metering can be specifically identified, actual gross meter costs will be used. </w:t>
      </w:r>
    </w:p>
    <w:p w:rsidR="004C2F99" w:rsidRPr="008F5C8B" w:rsidRDefault="00966220" w:rsidP="004C2F99">
      <w:pPr>
        <w:pStyle w:val="Heading4"/>
        <w:spacing w:line="240" w:lineRule="auto"/>
        <w:rPr>
          <w:rFonts w:ascii="Times New Roman" w:eastAsia="Times New Roman" w:hAnsi="Times New Roman"/>
          <w:sz w:val="24"/>
          <w:szCs w:val="24"/>
        </w:rPr>
      </w:pPr>
      <w:bookmarkStart w:id="29" w:name="_Toc263255416"/>
      <w:r w:rsidRPr="008F5C8B">
        <w:rPr>
          <w:rFonts w:ascii="Times New Roman" w:eastAsia="Times New Roman" w:hAnsi="Times New Roman"/>
          <w:sz w:val="24"/>
          <w:szCs w:val="24"/>
        </w:rPr>
        <w:t>Forecast and True-up Related Terms</w:t>
      </w:r>
      <w:bookmarkEnd w:id="29"/>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w:t>
      </w:r>
      <w:r w:rsidRPr="00EC4874">
        <w:rPr>
          <w:rFonts w:ascii="Times New Roman" w:hAnsi="Times New Roman"/>
          <w:sz w:val="24"/>
          <w:szCs w:val="24"/>
        </w:rPr>
        <w:t>shall mean the calendar year immediately following the calendar year for which the most recent FERC Form 1 data is available, as of the beginning of the Update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 § 35.19a (a) (2) (iii) (or as such provision may be renumbe</w:t>
      </w:r>
      <w:r w:rsidRPr="00EC4874">
        <w:rPr>
          <w:rFonts w:ascii="Times New Roman" w:hAnsi="Times New Roman"/>
          <w:sz w:val="24"/>
          <w:szCs w:val="24"/>
        </w:rPr>
        <w:t>red in the future).</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w:t>
      </w:r>
      <w:r w:rsidRPr="00EC4874">
        <w:rPr>
          <w:rFonts w:ascii="Times New Roman" w:hAnsi="Times New Roman"/>
          <w:sz w:val="24"/>
          <w:szCs w:val="24"/>
        </w:rPr>
        <w:t>cently established CCC (as defined in Attachment 1).</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w:t>
      </w:r>
      <w:r w:rsidRPr="00EC4874">
        <w:rPr>
          <w:rFonts w:ascii="Times New Roman" w:hAnsi="Times New Roman"/>
          <w:sz w:val="24"/>
          <w:szCs w:val="24"/>
        </w:rPr>
        <w:t xml:space="preserve">”), as defined in Attachment 1, for the most recently ended calendar year as of the beginning of the Update Year.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w:t>
      </w:r>
      <w:r w:rsidRPr="00EC4874">
        <w:rPr>
          <w:rFonts w:ascii="Times New Roman" w:hAnsi="Times New Roman"/>
          <w:sz w:val="24"/>
          <w:szCs w:val="24"/>
        </w:rPr>
        <w:t>ement and the Prior Year Scheduling, System Control and Dispatch divided by the Prior Year Billing Units.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 xml:space="preserve">Annual Update shall mean the calculation of the RR, CCC, and BU components with Data Inputs for an Update Year in accordance with Section </w:t>
      </w:r>
      <w:r w:rsidRPr="00EC4874">
        <w:rPr>
          <w:rFonts w:ascii="Times New Roman" w:hAnsi="Times New Roman"/>
          <w:sz w:val="24"/>
          <w:szCs w:val="24"/>
        </w:rPr>
        <w:t>14.1.9.4.</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w:t>
      </w:r>
      <w:r w:rsidRPr="00EC4874">
        <w:rPr>
          <w:rFonts w:ascii="Times New Roman" w:hAnsi="Times New Roman"/>
          <w:sz w:val="24"/>
          <w:szCs w:val="24"/>
        </w:rPr>
        <w:t>ormational Filing shall mean the filing that NMPC makes in accordance with Section 14.1.9.4 to establish the Annual Update for an Update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w:t>
      </w:r>
      <w:r w:rsidRPr="00EC4874">
        <w:rPr>
          <w:rFonts w:ascii="Times New Roman" w:hAnsi="Times New Roman"/>
          <w:sz w:val="24"/>
          <w:szCs w:val="24"/>
        </w:rPr>
        <w:t>rk State Public Service Commission; (iii) a transmission customer under this Tariff that pays charges based on the Formula Rate during the calendar year prior to the submission of the Informational Filing; or (iv) a state regulatory authority having jurisd</w:t>
      </w:r>
      <w:r w:rsidRPr="00EC4874">
        <w:rPr>
          <w:rFonts w:ascii="Times New Roman" w:hAnsi="Times New Roman"/>
          <w:sz w:val="24"/>
          <w:szCs w:val="24"/>
        </w:rPr>
        <w:t>iction over the retail electric rates of such a transmission customer, provided that such regulatory authority or such customer notifies NMPC of that fact no later than 30 days prior to the Publication Date.  An Interested Person includes employees of or c</w:t>
      </w:r>
      <w:r w:rsidRPr="00EC4874">
        <w:rPr>
          <w:rFonts w:ascii="Times New Roman" w:hAnsi="Times New Roman"/>
          <w:sz w:val="24"/>
          <w:szCs w:val="24"/>
        </w:rPr>
        <w:t>onsultants to such person.</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w:t>
      </w:r>
      <w:r w:rsidRPr="00EC4874">
        <w:rPr>
          <w:rFonts w:ascii="Times New Roman" w:hAnsi="Times New Roman"/>
          <w:sz w:val="24"/>
          <w:szCs w:val="24"/>
        </w:rPr>
        <w:t xml:space="preserve">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 xml:space="preserve">Preliminary </w:t>
      </w:r>
      <w:r w:rsidRPr="00EC4874">
        <w:rPr>
          <w:rFonts w:ascii="Times New Roman" w:hAnsi="Times New Roman"/>
          <w:sz w:val="24"/>
          <w:szCs w:val="24"/>
        </w:rPr>
        <w:t>Challenge shall mean a challenge presented by an Interested Party in accordance with Section 14.1.9.4.2.1.</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w:t>
      </w:r>
      <w:r w:rsidRPr="00EC4874">
        <w:rPr>
          <w:rFonts w:ascii="Times New Roman" w:hAnsi="Times New Roman"/>
          <w:sz w:val="24"/>
          <w:szCs w:val="24"/>
        </w:rPr>
        <w:t>e-hundred and fifty (150) days after the Publication Date, unless extended in accordance with Section 14.1.9.4.2.1.</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w:t>
      </w:r>
      <w:r w:rsidRPr="00EC4874">
        <w:rPr>
          <w:rFonts w:ascii="Times New Roman" w:hAnsi="Times New Roman"/>
          <w:sz w:val="24"/>
          <w:szCs w:val="24"/>
        </w:rPr>
        <w:t>ven calendar year through June 30 of the subsequent calendar year for a particular Annual Update.</w:t>
      </w:r>
    </w:p>
    <w:p w:rsidR="004C2F99" w:rsidRPr="00C3180D" w:rsidRDefault="00966220"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w:t>
      </w:r>
      <w:r w:rsidRPr="00175663">
        <w:rPr>
          <w:rFonts w:ascii="Times New Roman" w:hAnsi="Times New Roman"/>
          <w:sz w:val="24"/>
          <w:szCs w:val="24"/>
        </w:rPr>
        <w:t>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30" w:name="_GoBack"/>
      <w:bookmarkEnd w:id="30"/>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w:t>
      </w:r>
      <w:r w:rsidRPr="0053639E">
        <w:rPr>
          <w:rFonts w:ascii="Times New Roman" w:hAnsi="Times New Roman"/>
          <w:sz w:val="24"/>
          <w:szCs w:val="24"/>
        </w:rPr>
        <w:t xml:space="preserve"> March 4, 2013 agreement through the end of 2015, less a sum total of $35 million.</w:t>
      </w:r>
      <w:r>
        <w:rPr>
          <w:rFonts w:ascii="Times New Roman" w:hAnsi="Times New Roman"/>
          <w:sz w:val="24"/>
          <w:szCs w:val="24"/>
        </w:rPr>
        <w:t xml:space="preserve">  </w:t>
      </w:r>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w:t>
      </w:r>
      <w:r w:rsidRPr="00EC4874">
        <w:rPr>
          <w:rFonts w:ascii="Times New Roman" w:eastAsia="Times New Roman" w:hAnsi="Times New Roman"/>
          <w:sz w:val="24"/>
          <w:szCs w:val="24"/>
        </w:rPr>
        <w:t xml:space="preserve"> FERC accounts are renumbered, renamed, or otherwise modified, the above sections shall be deemed amended to incorporate such renumbered, renamed, modified or additional accounts.</w:t>
      </w:r>
    </w:p>
    <w:p w:rsidR="004C2F99" w:rsidRPr="00EC4874" w:rsidRDefault="00966220" w:rsidP="004C2F99">
      <w:pPr>
        <w:pStyle w:val="Heading4"/>
        <w:spacing w:line="240" w:lineRule="auto"/>
        <w:rPr>
          <w:rFonts w:ascii="Times New Roman" w:eastAsia="Times New Roman" w:hAnsi="Times New Roman"/>
          <w:sz w:val="24"/>
          <w:szCs w:val="24"/>
        </w:rPr>
      </w:pPr>
      <w:bookmarkStart w:id="31"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31"/>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w:t>
      </w:r>
      <w:r w:rsidRPr="00EC4874">
        <w:rPr>
          <w:rFonts w:ascii="Times New Roman" w:eastAsia="Times New Roman" w:hAnsi="Times New Roman"/>
          <w:sz w:val="24"/>
          <w:szCs w:val="24"/>
        </w:rPr>
        <w: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966220" w:rsidP="004C2F99">
      <w:pPr>
        <w:pStyle w:val="Heading4"/>
        <w:spacing w:line="240" w:lineRule="auto"/>
        <w:rPr>
          <w:rFonts w:ascii="Times New Roman" w:eastAsia="Times New Roman" w:hAnsi="Times New Roman"/>
          <w:sz w:val="24"/>
          <w:szCs w:val="24"/>
        </w:rPr>
      </w:pPr>
      <w:bookmarkStart w:id="32"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w:t>
      </w:r>
      <w:r w:rsidRPr="00EC4874">
        <w:rPr>
          <w:rFonts w:ascii="Times New Roman" w:eastAsia="Times New Roman" w:hAnsi="Times New Roman"/>
          <w:sz w:val="24"/>
          <w:szCs w:val="24"/>
        </w:rPr>
        <w:t>ula Inputs</w:t>
      </w:r>
      <w:bookmarkEnd w:id="32"/>
    </w:p>
    <w:p w:rsidR="004C2F99" w:rsidRPr="00EC4874" w:rsidRDefault="0096622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966220" w:rsidP="004C2F99">
      <w:pPr>
        <w:pStyle w:val="Heading4"/>
        <w:spacing w:line="240" w:lineRule="auto"/>
        <w:rPr>
          <w:rFonts w:ascii="Times New Roman" w:eastAsia="Times New Roman" w:hAnsi="Times New Roman"/>
          <w:sz w:val="24"/>
          <w:szCs w:val="24"/>
        </w:rPr>
      </w:pPr>
      <w:bookmarkStart w:id="33"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33"/>
    </w:p>
    <w:p w:rsidR="004C2F99" w:rsidRPr="00EC4874" w:rsidRDefault="00966220" w:rsidP="004C2F99">
      <w:pPr>
        <w:pStyle w:val="Heading4"/>
        <w:spacing w:line="240" w:lineRule="auto"/>
        <w:rPr>
          <w:rFonts w:ascii="Times New Roman" w:eastAsia="Times New Roman" w:hAnsi="Times New Roman"/>
          <w:sz w:val="24"/>
          <w:szCs w:val="24"/>
        </w:rPr>
      </w:pPr>
      <w:bookmarkStart w:id="34"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4"/>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96622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4C2F99" w:rsidRPr="00EC4874" w:rsidRDefault="00966220"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4C2F99" w:rsidRPr="00EC4874" w:rsidRDefault="0096622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w:t>
      </w:r>
      <w:r w:rsidRPr="00EC4874">
        <w:rPr>
          <w:rFonts w:ascii="Times New Roman" w:hAnsi="Times New Roman"/>
          <w:sz w:val="24"/>
          <w:szCs w:val="24"/>
        </w:rPr>
        <w:t xml:space="preserve">llenges.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w:t>
      </w:r>
      <w:r w:rsidRPr="00EC4874">
        <w:rPr>
          <w:rFonts w:ascii="Times New Roman" w:hAnsi="Times New Roman"/>
          <w:sz w:val="24"/>
          <w:szCs w:val="24"/>
        </w:rPr>
        <w:t xml:space="preserve"> with the written consent of NMPC to continue efforts to resolve a Preliminary Challenge) to present the subject matter of the Preliminary Challenge to the FERC as a Formal Challenge, which shall be served on NMPC and all other Interested Parties by electr</w:t>
      </w:r>
      <w:r w:rsidRPr="00EC4874">
        <w:rPr>
          <w:rFonts w:ascii="Times New Roman" w:hAnsi="Times New Roman"/>
          <w:sz w:val="24"/>
          <w:szCs w:val="24"/>
        </w:rPr>
        <w:t>onic service on the date of such filing and posted on the NYISO’s internet website, however, there shall be no need to make a Formal Challenge or to await conclusion of the time periods in Section 14.1.9.4.2 if the FERC already has initiated a proceeding t</w:t>
      </w:r>
      <w:r w:rsidRPr="00EC4874">
        <w:rPr>
          <w:rFonts w:ascii="Times New Roman" w:hAnsi="Times New Roman"/>
          <w:sz w:val="24"/>
          <w:szCs w:val="24"/>
        </w:rPr>
        <w:t xml:space="preserve">o investigate the Annual Update.  By no later than five (5) business days after the end of the Review Period, NMPC shall apprise Interested Parties of the resolution of all Preliminary Challenges that have been resolved and of the impact of the resolution </w:t>
      </w:r>
      <w:r w:rsidRPr="00EC4874">
        <w:rPr>
          <w:rFonts w:ascii="Times New Roman" w:hAnsi="Times New Roman"/>
          <w:sz w:val="24"/>
          <w:szCs w:val="24"/>
        </w:rPr>
        <w:t>of all such Preliminary Challenges on the Annual Update.  Within an additional fifteen (15) business days, NMPC shall submit a supplement to its Informational Filing to the FERC, with electronic service upon the Interested Parties, reflecting the impact of</w:t>
      </w:r>
      <w:r w:rsidRPr="00EC4874">
        <w:rPr>
          <w:rFonts w:ascii="Times New Roman" w:hAnsi="Times New Roman"/>
          <w:sz w:val="24"/>
          <w:szCs w:val="24"/>
        </w:rPr>
        <w:t xml:space="preserve"> all successfully resolved Preliminary Challenges.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96622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966220"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966220"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F2" w:rsidRDefault="004766F2" w:rsidP="004766F2">
      <w:pPr>
        <w:spacing w:after="0" w:line="240" w:lineRule="auto"/>
      </w:pPr>
      <w:r>
        <w:separator/>
      </w:r>
    </w:p>
  </w:endnote>
  <w:endnote w:type="continuationSeparator" w:id="0">
    <w:p w:rsidR="004766F2" w:rsidRDefault="004766F2" w:rsidP="00476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F2" w:rsidRDefault="00966220">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4766F2">
      <w:rPr>
        <w:rFonts w:ascii="Arial" w:eastAsia="Arial" w:hAnsi="Arial" w:cs="Arial"/>
        <w:color w:val="000000"/>
        <w:sz w:val="16"/>
      </w:rPr>
      <w:fldChar w:fldCharType="begin"/>
    </w:r>
    <w:r>
      <w:rPr>
        <w:rFonts w:ascii="Arial" w:eastAsia="Arial" w:hAnsi="Arial" w:cs="Arial"/>
        <w:color w:val="000000"/>
        <w:sz w:val="16"/>
      </w:rPr>
      <w:instrText>PAGE</w:instrText>
    </w:r>
    <w:r w:rsidR="004766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F2" w:rsidRDefault="00966220">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4766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66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F2" w:rsidRDefault="00966220">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4766F2">
      <w:rPr>
        <w:rFonts w:ascii="Arial" w:eastAsia="Arial" w:hAnsi="Arial" w:cs="Arial"/>
        <w:color w:val="000000"/>
        <w:sz w:val="16"/>
      </w:rPr>
      <w:fldChar w:fldCharType="begin"/>
    </w:r>
    <w:r>
      <w:rPr>
        <w:rFonts w:ascii="Arial" w:eastAsia="Arial" w:hAnsi="Arial" w:cs="Arial"/>
        <w:color w:val="000000"/>
        <w:sz w:val="16"/>
      </w:rPr>
      <w:instrText>PAGE</w:instrText>
    </w:r>
    <w:r w:rsidR="004766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9D" w:rsidRDefault="00966220">
      <w:r>
        <w:separator/>
      </w:r>
    </w:p>
  </w:footnote>
  <w:footnote w:type="continuationSeparator" w:id="0">
    <w:p w:rsidR="00F7329D" w:rsidRDefault="00966220">
      <w:r>
        <w:continuationSeparator/>
      </w:r>
    </w:p>
  </w:footnote>
  <w:footnote w:id="1">
    <w:p w:rsidR="004C2F99" w:rsidRPr="00046966" w:rsidRDefault="00966220"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w:t>
      </w:r>
      <w:r w:rsidRPr="00046966">
        <w:rPr>
          <w:rFonts w:ascii="Times New Roman" w:eastAsia="Times New Roman" w:hAnsi="Times New Roman"/>
          <w:szCs w:val="24"/>
        </w:rPr>
        <w:t xml:space="preserve"> the conditions listed in Section 2.7.2.1.4 of this Tariff are satisfied.</w:t>
      </w:r>
    </w:p>
  </w:footnote>
  <w:footnote w:id="2">
    <w:p w:rsidR="004C2F99" w:rsidRPr="009B6789" w:rsidRDefault="00966220"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F2" w:rsidRDefault="0096622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F2" w:rsidRDefault="0096622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F2" w:rsidRDefault="0096622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AB81EB8">
      <w:start w:val="1"/>
      <w:numFmt w:val="bullet"/>
      <w:pStyle w:val="Bulletpara"/>
      <w:lvlText w:val=""/>
      <w:lvlJc w:val="left"/>
      <w:pPr>
        <w:tabs>
          <w:tab w:val="num" w:pos="720"/>
        </w:tabs>
        <w:ind w:left="720" w:hanging="360"/>
      </w:pPr>
      <w:rPr>
        <w:rFonts w:ascii="Symbol" w:hAnsi="Symbol" w:hint="default"/>
      </w:rPr>
    </w:lvl>
    <w:lvl w:ilvl="1" w:tplc="FAAC453C" w:tentative="1">
      <w:start w:val="1"/>
      <w:numFmt w:val="bullet"/>
      <w:lvlText w:val="o"/>
      <w:lvlJc w:val="left"/>
      <w:pPr>
        <w:tabs>
          <w:tab w:val="num" w:pos="1440"/>
        </w:tabs>
        <w:ind w:left="1440" w:hanging="360"/>
      </w:pPr>
      <w:rPr>
        <w:rFonts w:ascii="Courier New" w:hAnsi="Courier New" w:cs="Courier New" w:hint="default"/>
      </w:rPr>
    </w:lvl>
    <w:lvl w:ilvl="2" w:tplc="6160F530" w:tentative="1">
      <w:start w:val="1"/>
      <w:numFmt w:val="bullet"/>
      <w:lvlText w:val=""/>
      <w:lvlJc w:val="left"/>
      <w:pPr>
        <w:tabs>
          <w:tab w:val="num" w:pos="2160"/>
        </w:tabs>
        <w:ind w:left="2160" w:hanging="360"/>
      </w:pPr>
      <w:rPr>
        <w:rFonts w:ascii="Wingdings" w:hAnsi="Wingdings" w:hint="default"/>
      </w:rPr>
    </w:lvl>
    <w:lvl w:ilvl="3" w:tplc="E7B6B5E8" w:tentative="1">
      <w:start w:val="1"/>
      <w:numFmt w:val="bullet"/>
      <w:lvlText w:val=""/>
      <w:lvlJc w:val="left"/>
      <w:pPr>
        <w:tabs>
          <w:tab w:val="num" w:pos="2880"/>
        </w:tabs>
        <w:ind w:left="2880" w:hanging="360"/>
      </w:pPr>
      <w:rPr>
        <w:rFonts w:ascii="Symbol" w:hAnsi="Symbol" w:hint="default"/>
      </w:rPr>
    </w:lvl>
    <w:lvl w:ilvl="4" w:tplc="FBEAD122" w:tentative="1">
      <w:start w:val="1"/>
      <w:numFmt w:val="bullet"/>
      <w:lvlText w:val="o"/>
      <w:lvlJc w:val="left"/>
      <w:pPr>
        <w:tabs>
          <w:tab w:val="num" w:pos="3600"/>
        </w:tabs>
        <w:ind w:left="3600" w:hanging="360"/>
      </w:pPr>
      <w:rPr>
        <w:rFonts w:ascii="Courier New" w:hAnsi="Courier New" w:cs="Courier New" w:hint="default"/>
      </w:rPr>
    </w:lvl>
    <w:lvl w:ilvl="5" w:tplc="B5B809C0" w:tentative="1">
      <w:start w:val="1"/>
      <w:numFmt w:val="bullet"/>
      <w:lvlText w:val=""/>
      <w:lvlJc w:val="left"/>
      <w:pPr>
        <w:tabs>
          <w:tab w:val="num" w:pos="4320"/>
        </w:tabs>
        <w:ind w:left="4320" w:hanging="360"/>
      </w:pPr>
      <w:rPr>
        <w:rFonts w:ascii="Wingdings" w:hAnsi="Wingdings" w:hint="default"/>
      </w:rPr>
    </w:lvl>
    <w:lvl w:ilvl="6" w:tplc="6064368E" w:tentative="1">
      <w:start w:val="1"/>
      <w:numFmt w:val="bullet"/>
      <w:lvlText w:val=""/>
      <w:lvlJc w:val="left"/>
      <w:pPr>
        <w:tabs>
          <w:tab w:val="num" w:pos="5040"/>
        </w:tabs>
        <w:ind w:left="5040" w:hanging="360"/>
      </w:pPr>
      <w:rPr>
        <w:rFonts w:ascii="Symbol" w:hAnsi="Symbol" w:hint="default"/>
      </w:rPr>
    </w:lvl>
    <w:lvl w:ilvl="7" w:tplc="784803DA" w:tentative="1">
      <w:start w:val="1"/>
      <w:numFmt w:val="bullet"/>
      <w:lvlText w:val="o"/>
      <w:lvlJc w:val="left"/>
      <w:pPr>
        <w:tabs>
          <w:tab w:val="num" w:pos="5760"/>
        </w:tabs>
        <w:ind w:left="5760" w:hanging="360"/>
      </w:pPr>
      <w:rPr>
        <w:rFonts w:ascii="Courier New" w:hAnsi="Courier New" w:cs="Courier New" w:hint="default"/>
      </w:rPr>
    </w:lvl>
    <w:lvl w:ilvl="8" w:tplc="2DB01F5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45E84ECE">
      <w:start w:val="1"/>
      <w:numFmt w:val="decimal"/>
      <w:lvlText w:val="%1."/>
      <w:lvlJc w:val="left"/>
      <w:pPr>
        <w:tabs>
          <w:tab w:val="num" w:pos="360"/>
        </w:tabs>
        <w:ind w:left="360" w:hanging="360"/>
      </w:pPr>
      <w:rPr>
        <w:rFonts w:hint="default"/>
      </w:rPr>
    </w:lvl>
    <w:lvl w:ilvl="1" w:tplc="A4BAF454" w:tentative="1">
      <w:start w:val="1"/>
      <w:numFmt w:val="lowerLetter"/>
      <w:lvlText w:val="%2."/>
      <w:lvlJc w:val="left"/>
      <w:pPr>
        <w:tabs>
          <w:tab w:val="num" w:pos="1080"/>
        </w:tabs>
        <w:ind w:left="1080" w:hanging="360"/>
      </w:pPr>
    </w:lvl>
    <w:lvl w:ilvl="2" w:tplc="D9CABAC8" w:tentative="1">
      <w:start w:val="1"/>
      <w:numFmt w:val="lowerRoman"/>
      <w:lvlText w:val="%3."/>
      <w:lvlJc w:val="right"/>
      <w:pPr>
        <w:tabs>
          <w:tab w:val="num" w:pos="1800"/>
        </w:tabs>
        <w:ind w:left="1800" w:hanging="180"/>
      </w:pPr>
    </w:lvl>
    <w:lvl w:ilvl="3" w:tplc="2078239C" w:tentative="1">
      <w:start w:val="1"/>
      <w:numFmt w:val="decimal"/>
      <w:lvlText w:val="%4."/>
      <w:lvlJc w:val="left"/>
      <w:pPr>
        <w:tabs>
          <w:tab w:val="num" w:pos="2520"/>
        </w:tabs>
        <w:ind w:left="2520" w:hanging="360"/>
      </w:pPr>
    </w:lvl>
    <w:lvl w:ilvl="4" w:tplc="7BEA4D7C" w:tentative="1">
      <w:start w:val="1"/>
      <w:numFmt w:val="lowerLetter"/>
      <w:lvlText w:val="%5."/>
      <w:lvlJc w:val="left"/>
      <w:pPr>
        <w:tabs>
          <w:tab w:val="num" w:pos="3240"/>
        </w:tabs>
        <w:ind w:left="3240" w:hanging="360"/>
      </w:pPr>
    </w:lvl>
    <w:lvl w:ilvl="5" w:tplc="F77603D8" w:tentative="1">
      <w:start w:val="1"/>
      <w:numFmt w:val="lowerRoman"/>
      <w:lvlText w:val="%6."/>
      <w:lvlJc w:val="right"/>
      <w:pPr>
        <w:tabs>
          <w:tab w:val="num" w:pos="3960"/>
        </w:tabs>
        <w:ind w:left="3960" w:hanging="180"/>
      </w:pPr>
    </w:lvl>
    <w:lvl w:ilvl="6" w:tplc="D422D500" w:tentative="1">
      <w:start w:val="1"/>
      <w:numFmt w:val="decimal"/>
      <w:lvlText w:val="%7."/>
      <w:lvlJc w:val="left"/>
      <w:pPr>
        <w:tabs>
          <w:tab w:val="num" w:pos="4680"/>
        </w:tabs>
        <w:ind w:left="4680" w:hanging="360"/>
      </w:pPr>
    </w:lvl>
    <w:lvl w:ilvl="7" w:tplc="FB78E232" w:tentative="1">
      <w:start w:val="1"/>
      <w:numFmt w:val="lowerLetter"/>
      <w:lvlText w:val="%8."/>
      <w:lvlJc w:val="left"/>
      <w:pPr>
        <w:tabs>
          <w:tab w:val="num" w:pos="5400"/>
        </w:tabs>
        <w:ind w:left="5400" w:hanging="360"/>
      </w:pPr>
    </w:lvl>
    <w:lvl w:ilvl="8" w:tplc="2B4ECC2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7EA7504">
      <w:start w:val="1"/>
      <w:numFmt w:val="lowerRoman"/>
      <w:lvlText w:val="(%1)"/>
      <w:lvlJc w:val="left"/>
      <w:pPr>
        <w:tabs>
          <w:tab w:val="num" w:pos="2448"/>
        </w:tabs>
        <w:ind w:left="2448" w:hanging="648"/>
      </w:pPr>
      <w:rPr>
        <w:rFonts w:hint="default"/>
        <w:b w:val="0"/>
        <w:i w:val="0"/>
        <w:u w:val="none"/>
      </w:rPr>
    </w:lvl>
    <w:lvl w:ilvl="1" w:tplc="AE12971A" w:tentative="1">
      <w:start w:val="1"/>
      <w:numFmt w:val="lowerLetter"/>
      <w:lvlText w:val="%2."/>
      <w:lvlJc w:val="left"/>
      <w:pPr>
        <w:tabs>
          <w:tab w:val="num" w:pos="1440"/>
        </w:tabs>
        <w:ind w:left="1440" w:hanging="360"/>
      </w:pPr>
    </w:lvl>
    <w:lvl w:ilvl="2" w:tplc="559A4FB2" w:tentative="1">
      <w:start w:val="1"/>
      <w:numFmt w:val="lowerRoman"/>
      <w:lvlText w:val="%3."/>
      <w:lvlJc w:val="right"/>
      <w:pPr>
        <w:tabs>
          <w:tab w:val="num" w:pos="2160"/>
        </w:tabs>
        <w:ind w:left="2160" w:hanging="180"/>
      </w:pPr>
    </w:lvl>
    <w:lvl w:ilvl="3" w:tplc="D73A6B5C" w:tentative="1">
      <w:start w:val="1"/>
      <w:numFmt w:val="decimal"/>
      <w:lvlText w:val="%4."/>
      <w:lvlJc w:val="left"/>
      <w:pPr>
        <w:tabs>
          <w:tab w:val="num" w:pos="2880"/>
        </w:tabs>
        <w:ind w:left="2880" w:hanging="360"/>
      </w:pPr>
    </w:lvl>
    <w:lvl w:ilvl="4" w:tplc="355A18F2" w:tentative="1">
      <w:start w:val="1"/>
      <w:numFmt w:val="lowerLetter"/>
      <w:lvlText w:val="%5."/>
      <w:lvlJc w:val="left"/>
      <w:pPr>
        <w:tabs>
          <w:tab w:val="num" w:pos="3600"/>
        </w:tabs>
        <w:ind w:left="3600" w:hanging="360"/>
      </w:pPr>
    </w:lvl>
    <w:lvl w:ilvl="5" w:tplc="5D609432" w:tentative="1">
      <w:start w:val="1"/>
      <w:numFmt w:val="lowerRoman"/>
      <w:lvlText w:val="%6."/>
      <w:lvlJc w:val="right"/>
      <w:pPr>
        <w:tabs>
          <w:tab w:val="num" w:pos="4320"/>
        </w:tabs>
        <w:ind w:left="4320" w:hanging="180"/>
      </w:pPr>
    </w:lvl>
    <w:lvl w:ilvl="6" w:tplc="E8325DD8" w:tentative="1">
      <w:start w:val="1"/>
      <w:numFmt w:val="decimal"/>
      <w:lvlText w:val="%7."/>
      <w:lvlJc w:val="left"/>
      <w:pPr>
        <w:tabs>
          <w:tab w:val="num" w:pos="5040"/>
        </w:tabs>
        <w:ind w:left="5040" w:hanging="360"/>
      </w:pPr>
    </w:lvl>
    <w:lvl w:ilvl="7" w:tplc="B0A2EE78" w:tentative="1">
      <w:start w:val="1"/>
      <w:numFmt w:val="lowerLetter"/>
      <w:lvlText w:val="%8."/>
      <w:lvlJc w:val="left"/>
      <w:pPr>
        <w:tabs>
          <w:tab w:val="num" w:pos="5760"/>
        </w:tabs>
        <w:ind w:left="5760" w:hanging="360"/>
      </w:pPr>
    </w:lvl>
    <w:lvl w:ilvl="8" w:tplc="146848C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B5EEE842">
      <w:start w:val="1"/>
      <w:numFmt w:val="lowerRoman"/>
      <w:lvlText w:val="(%1)"/>
      <w:lvlJc w:val="left"/>
      <w:pPr>
        <w:tabs>
          <w:tab w:val="num" w:pos="2880"/>
        </w:tabs>
        <w:ind w:left="2880" w:hanging="720"/>
      </w:pPr>
      <w:rPr>
        <w:rFonts w:hint="default"/>
      </w:rPr>
    </w:lvl>
    <w:lvl w:ilvl="1" w:tplc="D7AEB5AE" w:tentative="1">
      <w:start w:val="1"/>
      <w:numFmt w:val="lowerLetter"/>
      <w:lvlText w:val="%2."/>
      <w:lvlJc w:val="left"/>
      <w:pPr>
        <w:tabs>
          <w:tab w:val="num" w:pos="3240"/>
        </w:tabs>
        <w:ind w:left="3240" w:hanging="360"/>
      </w:pPr>
    </w:lvl>
    <w:lvl w:ilvl="2" w:tplc="60A29120" w:tentative="1">
      <w:start w:val="1"/>
      <w:numFmt w:val="lowerRoman"/>
      <w:lvlText w:val="%3."/>
      <w:lvlJc w:val="right"/>
      <w:pPr>
        <w:tabs>
          <w:tab w:val="num" w:pos="3960"/>
        </w:tabs>
        <w:ind w:left="3960" w:hanging="180"/>
      </w:pPr>
    </w:lvl>
    <w:lvl w:ilvl="3" w:tplc="E1E24F0A" w:tentative="1">
      <w:start w:val="1"/>
      <w:numFmt w:val="decimal"/>
      <w:lvlText w:val="%4."/>
      <w:lvlJc w:val="left"/>
      <w:pPr>
        <w:tabs>
          <w:tab w:val="num" w:pos="4680"/>
        </w:tabs>
        <w:ind w:left="4680" w:hanging="360"/>
      </w:pPr>
    </w:lvl>
    <w:lvl w:ilvl="4" w:tplc="8C6227BA" w:tentative="1">
      <w:start w:val="1"/>
      <w:numFmt w:val="lowerLetter"/>
      <w:lvlText w:val="%5."/>
      <w:lvlJc w:val="left"/>
      <w:pPr>
        <w:tabs>
          <w:tab w:val="num" w:pos="5400"/>
        </w:tabs>
        <w:ind w:left="5400" w:hanging="360"/>
      </w:pPr>
    </w:lvl>
    <w:lvl w:ilvl="5" w:tplc="6EC89248" w:tentative="1">
      <w:start w:val="1"/>
      <w:numFmt w:val="lowerRoman"/>
      <w:lvlText w:val="%6."/>
      <w:lvlJc w:val="right"/>
      <w:pPr>
        <w:tabs>
          <w:tab w:val="num" w:pos="6120"/>
        </w:tabs>
        <w:ind w:left="6120" w:hanging="180"/>
      </w:pPr>
    </w:lvl>
    <w:lvl w:ilvl="6" w:tplc="5CB4BA8C" w:tentative="1">
      <w:start w:val="1"/>
      <w:numFmt w:val="decimal"/>
      <w:lvlText w:val="%7."/>
      <w:lvlJc w:val="left"/>
      <w:pPr>
        <w:tabs>
          <w:tab w:val="num" w:pos="6840"/>
        </w:tabs>
        <w:ind w:left="6840" w:hanging="360"/>
      </w:pPr>
    </w:lvl>
    <w:lvl w:ilvl="7" w:tplc="0E9489A0" w:tentative="1">
      <w:start w:val="1"/>
      <w:numFmt w:val="lowerLetter"/>
      <w:lvlText w:val="%8."/>
      <w:lvlJc w:val="left"/>
      <w:pPr>
        <w:tabs>
          <w:tab w:val="num" w:pos="7560"/>
        </w:tabs>
        <w:ind w:left="7560" w:hanging="360"/>
      </w:pPr>
    </w:lvl>
    <w:lvl w:ilvl="8" w:tplc="233AF42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A809F36">
      <w:start w:val="3"/>
      <w:numFmt w:val="lowerLetter"/>
      <w:lvlText w:val="(%1)"/>
      <w:lvlJc w:val="left"/>
      <w:pPr>
        <w:tabs>
          <w:tab w:val="num" w:pos="1440"/>
        </w:tabs>
        <w:ind w:left="1440" w:hanging="720"/>
      </w:pPr>
      <w:rPr>
        <w:rFonts w:hint="default"/>
      </w:rPr>
    </w:lvl>
    <w:lvl w:ilvl="1" w:tplc="600E5F32" w:tentative="1">
      <w:start w:val="1"/>
      <w:numFmt w:val="lowerLetter"/>
      <w:lvlText w:val="%2."/>
      <w:lvlJc w:val="left"/>
      <w:pPr>
        <w:tabs>
          <w:tab w:val="num" w:pos="1800"/>
        </w:tabs>
        <w:ind w:left="1800" w:hanging="360"/>
      </w:pPr>
    </w:lvl>
    <w:lvl w:ilvl="2" w:tplc="87D8FA64" w:tentative="1">
      <w:start w:val="1"/>
      <w:numFmt w:val="lowerRoman"/>
      <w:lvlText w:val="%3."/>
      <w:lvlJc w:val="right"/>
      <w:pPr>
        <w:tabs>
          <w:tab w:val="num" w:pos="2520"/>
        </w:tabs>
        <w:ind w:left="2520" w:hanging="180"/>
      </w:pPr>
    </w:lvl>
    <w:lvl w:ilvl="3" w:tplc="70248DDC" w:tentative="1">
      <w:start w:val="1"/>
      <w:numFmt w:val="decimal"/>
      <w:lvlText w:val="%4."/>
      <w:lvlJc w:val="left"/>
      <w:pPr>
        <w:tabs>
          <w:tab w:val="num" w:pos="3240"/>
        </w:tabs>
        <w:ind w:left="3240" w:hanging="360"/>
      </w:pPr>
    </w:lvl>
    <w:lvl w:ilvl="4" w:tplc="CBF4D054" w:tentative="1">
      <w:start w:val="1"/>
      <w:numFmt w:val="lowerLetter"/>
      <w:lvlText w:val="%5."/>
      <w:lvlJc w:val="left"/>
      <w:pPr>
        <w:tabs>
          <w:tab w:val="num" w:pos="3960"/>
        </w:tabs>
        <w:ind w:left="3960" w:hanging="360"/>
      </w:pPr>
    </w:lvl>
    <w:lvl w:ilvl="5" w:tplc="CA0CA3A8" w:tentative="1">
      <w:start w:val="1"/>
      <w:numFmt w:val="lowerRoman"/>
      <w:lvlText w:val="%6."/>
      <w:lvlJc w:val="right"/>
      <w:pPr>
        <w:tabs>
          <w:tab w:val="num" w:pos="4680"/>
        </w:tabs>
        <w:ind w:left="4680" w:hanging="180"/>
      </w:pPr>
    </w:lvl>
    <w:lvl w:ilvl="6" w:tplc="11068B6C" w:tentative="1">
      <w:start w:val="1"/>
      <w:numFmt w:val="decimal"/>
      <w:lvlText w:val="%7."/>
      <w:lvlJc w:val="left"/>
      <w:pPr>
        <w:tabs>
          <w:tab w:val="num" w:pos="5400"/>
        </w:tabs>
        <w:ind w:left="5400" w:hanging="360"/>
      </w:pPr>
    </w:lvl>
    <w:lvl w:ilvl="7" w:tplc="3522CA70" w:tentative="1">
      <w:start w:val="1"/>
      <w:numFmt w:val="lowerLetter"/>
      <w:lvlText w:val="%8."/>
      <w:lvlJc w:val="left"/>
      <w:pPr>
        <w:tabs>
          <w:tab w:val="num" w:pos="6120"/>
        </w:tabs>
        <w:ind w:left="6120" w:hanging="360"/>
      </w:pPr>
    </w:lvl>
    <w:lvl w:ilvl="8" w:tplc="A72A670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2FA46D0">
      <w:start w:val="1"/>
      <w:numFmt w:val="decimal"/>
      <w:lvlText w:val="%1."/>
      <w:lvlJc w:val="left"/>
      <w:pPr>
        <w:tabs>
          <w:tab w:val="num" w:pos="720"/>
        </w:tabs>
        <w:ind w:left="720" w:hanging="360"/>
      </w:pPr>
      <w:rPr>
        <w:rFonts w:hint="default"/>
      </w:rPr>
    </w:lvl>
    <w:lvl w:ilvl="1" w:tplc="09869FE2" w:tentative="1">
      <w:start w:val="1"/>
      <w:numFmt w:val="lowerLetter"/>
      <w:lvlText w:val="%2."/>
      <w:lvlJc w:val="left"/>
      <w:pPr>
        <w:tabs>
          <w:tab w:val="num" w:pos="1440"/>
        </w:tabs>
        <w:ind w:left="1440" w:hanging="360"/>
      </w:pPr>
    </w:lvl>
    <w:lvl w:ilvl="2" w:tplc="42EE209C" w:tentative="1">
      <w:start w:val="1"/>
      <w:numFmt w:val="lowerRoman"/>
      <w:lvlText w:val="%3."/>
      <w:lvlJc w:val="right"/>
      <w:pPr>
        <w:tabs>
          <w:tab w:val="num" w:pos="2160"/>
        </w:tabs>
        <w:ind w:left="2160" w:hanging="180"/>
      </w:pPr>
    </w:lvl>
    <w:lvl w:ilvl="3" w:tplc="7CCAAEE6" w:tentative="1">
      <w:start w:val="1"/>
      <w:numFmt w:val="decimal"/>
      <w:lvlText w:val="%4."/>
      <w:lvlJc w:val="left"/>
      <w:pPr>
        <w:tabs>
          <w:tab w:val="num" w:pos="2880"/>
        </w:tabs>
        <w:ind w:left="2880" w:hanging="360"/>
      </w:pPr>
    </w:lvl>
    <w:lvl w:ilvl="4" w:tplc="1BC0DA8A" w:tentative="1">
      <w:start w:val="1"/>
      <w:numFmt w:val="lowerLetter"/>
      <w:lvlText w:val="%5."/>
      <w:lvlJc w:val="left"/>
      <w:pPr>
        <w:tabs>
          <w:tab w:val="num" w:pos="3600"/>
        </w:tabs>
        <w:ind w:left="3600" w:hanging="360"/>
      </w:pPr>
    </w:lvl>
    <w:lvl w:ilvl="5" w:tplc="9B9AEAAC" w:tentative="1">
      <w:start w:val="1"/>
      <w:numFmt w:val="lowerRoman"/>
      <w:lvlText w:val="%6."/>
      <w:lvlJc w:val="right"/>
      <w:pPr>
        <w:tabs>
          <w:tab w:val="num" w:pos="4320"/>
        </w:tabs>
        <w:ind w:left="4320" w:hanging="180"/>
      </w:pPr>
    </w:lvl>
    <w:lvl w:ilvl="6" w:tplc="598A5572" w:tentative="1">
      <w:start w:val="1"/>
      <w:numFmt w:val="decimal"/>
      <w:lvlText w:val="%7."/>
      <w:lvlJc w:val="left"/>
      <w:pPr>
        <w:tabs>
          <w:tab w:val="num" w:pos="5040"/>
        </w:tabs>
        <w:ind w:left="5040" w:hanging="360"/>
      </w:pPr>
    </w:lvl>
    <w:lvl w:ilvl="7" w:tplc="57F6D9EA" w:tentative="1">
      <w:start w:val="1"/>
      <w:numFmt w:val="lowerLetter"/>
      <w:lvlText w:val="%8."/>
      <w:lvlJc w:val="left"/>
      <w:pPr>
        <w:tabs>
          <w:tab w:val="num" w:pos="5760"/>
        </w:tabs>
        <w:ind w:left="5760" w:hanging="360"/>
      </w:pPr>
    </w:lvl>
    <w:lvl w:ilvl="8" w:tplc="8F38DB3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0722FD02">
      <w:start w:val="1"/>
      <w:numFmt w:val="decimal"/>
      <w:lvlText w:val="%1."/>
      <w:lvlJc w:val="left"/>
      <w:pPr>
        <w:tabs>
          <w:tab w:val="num" w:pos="720"/>
        </w:tabs>
        <w:ind w:left="720" w:hanging="360"/>
      </w:pPr>
      <w:rPr>
        <w:rFonts w:hint="default"/>
      </w:rPr>
    </w:lvl>
    <w:lvl w:ilvl="1" w:tplc="FCD041CA" w:tentative="1">
      <w:start w:val="1"/>
      <w:numFmt w:val="lowerLetter"/>
      <w:lvlText w:val="%2."/>
      <w:lvlJc w:val="left"/>
      <w:pPr>
        <w:tabs>
          <w:tab w:val="num" w:pos="1440"/>
        </w:tabs>
        <w:ind w:left="1440" w:hanging="360"/>
      </w:pPr>
    </w:lvl>
    <w:lvl w:ilvl="2" w:tplc="6AE6688C" w:tentative="1">
      <w:start w:val="1"/>
      <w:numFmt w:val="lowerRoman"/>
      <w:lvlText w:val="%3."/>
      <w:lvlJc w:val="right"/>
      <w:pPr>
        <w:tabs>
          <w:tab w:val="num" w:pos="2160"/>
        </w:tabs>
        <w:ind w:left="2160" w:hanging="180"/>
      </w:pPr>
    </w:lvl>
    <w:lvl w:ilvl="3" w:tplc="36FAA2BE" w:tentative="1">
      <w:start w:val="1"/>
      <w:numFmt w:val="decimal"/>
      <w:lvlText w:val="%4."/>
      <w:lvlJc w:val="left"/>
      <w:pPr>
        <w:tabs>
          <w:tab w:val="num" w:pos="2880"/>
        </w:tabs>
        <w:ind w:left="2880" w:hanging="360"/>
      </w:pPr>
    </w:lvl>
    <w:lvl w:ilvl="4" w:tplc="F7506894" w:tentative="1">
      <w:start w:val="1"/>
      <w:numFmt w:val="lowerLetter"/>
      <w:lvlText w:val="%5."/>
      <w:lvlJc w:val="left"/>
      <w:pPr>
        <w:tabs>
          <w:tab w:val="num" w:pos="3600"/>
        </w:tabs>
        <w:ind w:left="3600" w:hanging="360"/>
      </w:pPr>
    </w:lvl>
    <w:lvl w:ilvl="5" w:tplc="72882A06" w:tentative="1">
      <w:start w:val="1"/>
      <w:numFmt w:val="lowerRoman"/>
      <w:lvlText w:val="%6."/>
      <w:lvlJc w:val="right"/>
      <w:pPr>
        <w:tabs>
          <w:tab w:val="num" w:pos="4320"/>
        </w:tabs>
        <w:ind w:left="4320" w:hanging="180"/>
      </w:pPr>
    </w:lvl>
    <w:lvl w:ilvl="6" w:tplc="B0A66FC0" w:tentative="1">
      <w:start w:val="1"/>
      <w:numFmt w:val="decimal"/>
      <w:lvlText w:val="%7."/>
      <w:lvlJc w:val="left"/>
      <w:pPr>
        <w:tabs>
          <w:tab w:val="num" w:pos="5040"/>
        </w:tabs>
        <w:ind w:left="5040" w:hanging="360"/>
      </w:pPr>
    </w:lvl>
    <w:lvl w:ilvl="7" w:tplc="8E18C446" w:tentative="1">
      <w:start w:val="1"/>
      <w:numFmt w:val="lowerLetter"/>
      <w:lvlText w:val="%8."/>
      <w:lvlJc w:val="left"/>
      <w:pPr>
        <w:tabs>
          <w:tab w:val="num" w:pos="5760"/>
        </w:tabs>
        <w:ind w:left="5760" w:hanging="360"/>
      </w:pPr>
    </w:lvl>
    <w:lvl w:ilvl="8" w:tplc="36D038B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DCE82ABE">
      <w:start w:val="1"/>
      <w:numFmt w:val="decimal"/>
      <w:lvlText w:val="%1."/>
      <w:lvlJc w:val="left"/>
      <w:pPr>
        <w:tabs>
          <w:tab w:val="num" w:pos="720"/>
        </w:tabs>
        <w:ind w:left="720" w:hanging="360"/>
      </w:pPr>
      <w:rPr>
        <w:rFonts w:hint="default"/>
      </w:rPr>
    </w:lvl>
    <w:lvl w:ilvl="1" w:tplc="1F66D472">
      <w:start w:val="1"/>
      <w:numFmt w:val="lowerLetter"/>
      <w:lvlText w:val="%2."/>
      <w:lvlJc w:val="left"/>
      <w:pPr>
        <w:tabs>
          <w:tab w:val="num" w:pos="1440"/>
        </w:tabs>
        <w:ind w:left="1440" w:hanging="360"/>
      </w:pPr>
    </w:lvl>
    <w:lvl w:ilvl="2" w:tplc="A64AD30A">
      <w:start w:val="1"/>
      <w:numFmt w:val="lowerRoman"/>
      <w:lvlText w:val="(%3)"/>
      <w:lvlJc w:val="left"/>
      <w:pPr>
        <w:tabs>
          <w:tab w:val="num" w:pos="2700"/>
        </w:tabs>
        <w:ind w:left="2700" w:hanging="720"/>
      </w:pPr>
      <w:rPr>
        <w:rFonts w:hint="default"/>
      </w:rPr>
    </w:lvl>
    <w:lvl w:ilvl="3" w:tplc="CDA4B07E" w:tentative="1">
      <w:start w:val="1"/>
      <w:numFmt w:val="decimal"/>
      <w:lvlText w:val="%4."/>
      <w:lvlJc w:val="left"/>
      <w:pPr>
        <w:tabs>
          <w:tab w:val="num" w:pos="2880"/>
        </w:tabs>
        <w:ind w:left="2880" w:hanging="360"/>
      </w:pPr>
    </w:lvl>
    <w:lvl w:ilvl="4" w:tplc="7F685ECA" w:tentative="1">
      <w:start w:val="1"/>
      <w:numFmt w:val="lowerLetter"/>
      <w:lvlText w:val="%5."/>
      <w:lvlJc w:val="left"/>
      <w:pPr>
        <w:tabs>
          <w:tab w:val="num" w:pos="3600"/>
        </w:tabs>
        <w:ind w:left="3600" w:hanging="360"/>
      </w:pPr>
    </w:lvl>
    <w:lvl w:ilvl="5" w:tplc="D0D29F82" w:tentative="1">
      <w:start w:val="1"/>
      <w:numFmt w:val="lowerRoman"/>
      <w:lvlText w:val="%6."/>
      <w:lvlJc w:val="right"/>
      <w:pPr>
        <w:tabs>
          <w:tab w:val="num" w:pos="4320"/>
        </w:tabs>
        <w:ind w:left="4320" w:hanging="180"/>
      </w:pPr>
    </w:lvl>
    <w:lvl w:ilvl="6" w:tplc="F0CA257A" w:tentative="1">
      <w:start w:val="1"/>
      <w:numFmt w:val="decimal"/>
      <w:lvlText w:val="%7."/>
      <w:lvlJc w:val="left"/>
      <w:pPr>
        <w:tabs>
          <w:tab w:val="num" w:pos="5040"/>
        </w:tabs>
        <w:ind w:left="5040" w:hanging="360"/>
      </w:pPr>
    </w:lvl>
    <w:lvl w:ilvl="7" w:tplc="2BD010F6" w:tentative="1">
      <w:start w:val="1"/>
      <w:numFmt w:val="lowerLetter"/>
      <w:lvlText w:val="%8."/>
      <w:lvlJc w:val="left"/>
      <w:pPr>
        <w:tabs>
          <w:tab w:val="num" w:pos="5760"/>
        </w:tabs>
        <w:ind w:left="5760" w:hanging="360"/>
      </w:pPr>
    </w:lvl>
    <w:lvl w:ilvl="8" w:tplc="21066062"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481839EA">
      <w:start w:val="1"/>
      <w:numFmt w:val="decimal"/>
      <w:lvlText w:val="%1."/>
      <w:lvlJc w:val="left"/>
      <w:pPr>
        <w:tabs>
          <w:tab w:val="num" w:pos="1080"/>
        </w:tabs>
        <w:ind w:left="1080" w:hanging="360"/>
      </w:pPr>
      <w:rPr>
        <w:b w:val="0"/>
      </w:rPr>
    </w:lvl>
    <w:lvl w:ilvl="1" w:tplc="3CC608F8">
      <w:start w:val="1"/>
      <w:numFmt w:val="lowerLetter"/>
      <w:lvlText w:val="%2."/>
      <w:lvlJc w:val="left"/>
      <w:pPr>
        <w:tabs>
          <w:tab w:val="num" w:pos="1800"/>
        </w:tabs>
        <w:ind w:left="1800" w:hanging="360"/>
      </w:pPr>
    </w:lvl>
    <w:lvl w:ilvl="2" w:tplc="6EDA1358">
      <w:start w:val="1"/>
      <w:numFmt w:val="lowerRoman"/>
      <w:lvlText w:val="%3."/>
      <w:lvlJc w:val="right"/>
      <w:pPr>
        <w:tabs>
          <w:tab w:val="num" w:pos="2520"/>
        </w:tabs>
        <w:ind w:left="2520" w:hanging="180"/>
      </w:pPr>
    </w:lvl>
    <w:lvl w:ilvl="3" w:tplc="8976DA3E">
      <w:start w:val="1"/>
      <w:numFmt w:val="decimal"/>
      <w:lvlText w:val="%4."/>
      <w:lvlJc w:val="left"/>
      <w:pPr>
        <w:tabs>
          <w:tab w:val="num" w:pos="3240"/>
        </w:tabs>
        <w:ind w:left="3240" w:hanging="360"/>
      </w:pPr>
    </w:lvl>
    <w:lvl w:ilvl="4" w:tplc="05B6959C">
      <w:start w:val="1"/>
      <w:numFmt w:val="lowerLetter"/>
      <w:lvlText w:val="%5."/>
      <w:lvlJc w:val="left"/>
      <w:pPr>
        <w:tabs>
          <w:tab w:val="num" w:pos="3960"/>
        </w:tabs>
        <w:ind w:left="3960" w:hanging="360"/>
      </w:pPr>
    </w:lvl>
    <w:lvl w:ilvl="5" w:tplc="198A4CEC">
      <w:start w:val="1"/>
      <w:numFmt w:val="lowerRoman"/>
      <w:lvlText w:val="%6."/>
      <w:lvlJc w:val="right"/>
      <w:pPr>
        <w:tabs>
          <w:tab w:val="num" w:pos="4680"/>
        </w:tabs>
        <w:ind w:left="4680" w:hanging="180"/>
      </w:pPr>
    </w:lvl>
    <w:lvl w:ilvl="6" w:tplc="836E956E">
      <w:start w:val="1"/>
      <w:numFmt w:val="decimal"/>
      <w:lvlText w:val="%7."/>
      <w:lvlJc w:val="left"/>
      <w:pPr>
        <w:tabs>
          <w:tab w:val="num" w:pos="5400"/>
        </w:tabs>
        <w:ind w:left="5400" w:hanging="360"/>
      </w:pPr>
    </w:lvl>
    <w:lvl w:ilvl="7" w:tplc="1F66CEEA">
      <w:start w:val="1"/>
      <w:numFmt w:val="lowerLetter"/>
      <w:lvlText w:val="%8."/>
      <w:lvlJc w:val="left"/>
      <w:pPr>
        <w:tabs>
          <w:tab w:val="num" w:pos="6120"/>
        </w:tabs>
        <w:ind w:left="6120" w:hanging="360"/>
      </w:pPr>
    </w:lvl>
    <w:lvl w:ilvl="8" w:tplc="99D03A5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D352A70C">
      <w:start w:val="1"/>
      <w:numFmt w:val="decimal"/>
      <w:lvlText w:val="%1."/>
      <w:lvlJc w:val="left"/>
      <w:pPr>
        <w:tabs>
          <w:tab w:val="num" w:pos="720"/>
        </w:tabs>
        <w:ind w:left="720" w:hanging="360"/>
      </w:pPr>
      <w:rPr>
        <w:rFonts w:hint="default"/>
      </w:rPr>
    </w:lvl>
    <w:lvl w:ilvl="1" w:tplc="F93C0382" w:tentative="1">
      <w:start w:val="1"/>
      <w:numFmt w:val="lowerLetter"/>
      <w:lvlText w:val="%2."/>
      <w:lvlJc w:val="left"/>
      <w:pPr>
        <w:tabs>
          <w:tab w:val="num" w:pos="1440"/>
        </w:tabs>
        <w:ind w:left="1440" w:hanging="360"/>
      </w:pPr>
    </w:lvl>
    <w:lvl w:ilvl="2" w:tplc="DD1C1526" w:tentative="1">
      <w:start w:val="1"/>
      <w:numFmt w:val="lowerRoman"/>
      <w:lvlText w:val="%3."/>
      <w:lvlJc w:val="right"/>
      <w:pPr>
        <w:tabs>
          <w:tab w:val="num" w:pos="2160"/>
        </w:tabs>
        <w:ind w:left="2160" w:hanging="180"/>
      </w:pPr>
    </w:lvl>
    <w:lvl w:ilvl="3" w:tplc="D3340A62" w:tentative="1">
      <w:start w:val="1"/>
      <w:numFmt w:val="decimal"/>
      <w:lvlText w:val="%4."/>
      <w:lvlJc w:val="left"/>
      <w:pPr>
        <w:tabs>
          <w:tab w:val="num" w:pos="2880"/>
        </w:tabs>
        <w:ind w:left="2880" w:hanging="360"/>
      </w:pPr>
    </w:lvl>
    <w:lvl w:ilvl="4" w:tplc="95D207CC" w:tentative="1">
      <w:start w:val="1"/>
      <w:numFmt w:val="lowerLetter"/>
      <w:lvlText w:val="%5."/>
      <w:lvlJc w:val="left"/>
      <w:pPr>
        <w:tabs>
          <w:tab w:val="num" w:pos="3600"/>
        </w:tabs>
        <w:ind w:left="3600" w:hanging="360"/>
      </w:pPr>
    </w:lvl>
    <w:lvl w:ilvl="5" w:tplc="641E4FAE" w:tentative="1">
      <w:start w:val="1"/>
      <w:numFmt w:val="lowerRoman"/>
      <w:lvlText w:val="%6."/>
      <w:lvlJc w:val="right"/>
      <w:pPr>
        <w:tabs>
          <w:tab w:val="num" w:pos="4320"/>
        </w:tabs>
        <w:ind w:left="4320" w:hanging="180"/>
      </w:pPr>
    </w:lvl>
    <w:lvl w:ilvl="6" w:tplc="204A2E1C" w:tentative="1">
      <w:start w:val="1"/>
      <w:numFmt w:val="decimal"/>
      <w:lvlText w:val="%7."/>
      <w:lvlJc w:val="left"/>
      <w:pPr>
        <w:tabs>
          <w:tab w:val="num" w:pos="5040"/>
        </w:tabs>
        <w:ind w:left="5040" w:hanging="360"/>
      </w:pPr>
    </w:lvl>
    <w:lvl w:ilvl="7" w:tplc="2CCE2530" w:tentative="1">
      <w:start w:val="1"/>
      <w:numFmt w:val="lowerLetter"/>
      <w:lvlText w:val="%8."/>
      <w:lvlJc w:val="left"/>
      <w:pPr>
        <w:tabs>
          <w:tab w:val="num" w:pos="5760"/>
        </w:tabs>
        <w:ind w:left="5760" w:hanging="360"/>
      </w:pPr>
    </w:lvl>
    <w:lvl w:ilvl="8" w:tplc="165E9C1C"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BAC9BE6">
      <w:start w:val="1"/>
      <w:numFmt w:val="bullet"/>
      <w:lvlText w:val=""/>
      <w:lvlJc w:val="left"/>
      <w:pPr>
        <w:tabs>
          <w:tab w:val="num" w:pos="5760"/>
        </w:tabs>
        <w:ind w:left="5760" w:hanging="360"/>
      </w:pPr>
      <w:rPr>
        <w:rFonts w:ascii="Symbol" w:hAnsi="Symbol" w:hint="default"/>
        <w:color w:val="auto"/>
        <w:u w:val="none"/>
      </w:rPr>
    </w:lvl>
    <w:lvl w:ilvl="1" w:tplc="64DA7B42" w:tentative="1">
      <w:start w:val="1"/>
      <w:numFmt w:val="bullet"/>
      <w:lvlText w:val="o"/>
      <w:lvlJc w:val="left"/>
      <w:pPr>
        <w:tabs>
          <w:tab w:val="num" w:pos="3600"/>
        </w:tabs>
        <w:ind w:left="3600" w:hanging="360"/>
      </w:pPr>
      <w:rPr>
        <w:rFonts w:ascii="Courier New" w:hAnsi="Courier New" w:hint="default"/>
      </w:rPr>
    </w:lvl>
    <w:lvl w:ilvl="2" w:tplc="3782D00A" w:tentative="1">
      <w:start w:val="1"/>
      <w:numFmt w:val="bullet"/>
      <w:lvlText w:val=""/>
      <w:lvlJc w:val="left"/>
      <w:pPr>
        <w:tabs>
          <w:tab w:val="num" w:pos="4320"/>
        </w:tabs>
        <w:ind w:left="4320" w:hanging="360"/>
      </w:pPr>
      <w:rPr>
        <w:rFonts w:ascii="Wingdings" w:hAnsi="Wingdings" w:hint="default"/>
      </w:rPr>
    </w:lvl>
    <w:lvl w:ilvl="3" w:tplc="C1AC9A18">
      <w:start w:val="1"/>
      <w:numFmt w:val="bullet"/>
      <w:lvlText w:val=""/>
      <w:lvlJc w:val="left"/>
      <w:pPr>
        <w:tabs>
          <w:tab w:val="num" w:pos="5040"/>
        </w:tabs>
        <w:ind w:left="5040" w:hanging="360"/>
      </w:pPr>
      <w:rPr>
        <w:rFonts w:ascii="Symbol" w:hAnsi="Symbol" w:hint="default"/>
      </w:rPr>
    </w:lvl>
    <w:lvl w:ilvl="4" w:tplc="1002A41A" w:tentative="1">
      <w:start w:val="1"/>
      <w:numFmt w:val="bullet"/>
      <w:lvlText w:val="o"/>
      <w:lvlJc w:val="left"/>
      <w:pPr>
        <w:tabs>
          <w:tab w:val="num" w:pos="5760"/>
        </w:tabs>
        <w:ind w:left="5760" w:hanging="360"/>
      </w:pPr>
      <w:rPr>
        <w:rFonts w:ascii="Courier New" w:hAnsi="Courier New" w:hint="default"/>
      </w:rPr>
    </w:lvl>
    <w:lvl w:ilvl="5" w:tplc="16CE43B4" w:tentative="1">
      <w:start w:val="1"/>
      <w:numFmt w:val="bullet"/>
      <w:lvlText w:val=""/>
      <w:lvlJc w:val="left"/>
      <w:pPr>
        <w:tabs>
          <w:tab w:val="num" w:pos="6480"/>
        </w:tabs>
        <w:ind w:left="6480" w:hanging="360"/>
      </w:pPr>
      <w:rPr>
        <w:rFonts w:ascii="Wingdings" w:hAnsi="Wingdings" w:hint="default"/>
      </w:rPr>
    </w:lvl>
    <w:lvl w:ilvl="6" w:tplc="D5F01772" w:tentative="1">
      <w:start w:val="1"/>
      <w:numFmt w:val="bullet"/>
      <w:lvlText w:val=""/>
      <w:lvlJc w:val="left"/>
      <w:pPr>
        <w:tabs>
          <w:tab w:val="num" w:pos="7200"/>
        </w:tabs>
        <w:ind w:left="7200" w:hanging="360"/>
      </w:pPr>
      <w:rPr>
        <w:rFonts w:ascii="Symbol" w:hAnsi="Symbol" w:hint="default"/>
      </w:rPr>
    </w:lvl>
    <w:lvl w:ilvl="7" w:tplc="D6ECB77C" w:tentative="1">
      <w:start w:val="1"/>
      <w:numFmt w:val="bullet"/>
      <w:lvlText w:val="o"/>
      <w:lvlJc w:val="left"/>
      <w:pPr>
        <w:tabs>
          <w:tab w:val="num" w:pos="7920"/>
        </w:tabs>
        <w:ind w:left="7920" w:hanging="360"/>
      </w:pPr>
      <w:rPr>
        <w:rFonts w:ascii="Courier New" w:hAnsi="Courier New" w:hint="default"/>
      </w:rPr>
    </w:lvl>
    <w:lvl w:ilvl="8" w:tplc="BDC247B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D64E0AE4">
      <w:start w:val="1"/>
      <w:numFmt w:val="lowerRoman"/>
      <w:lvlText w:val="(%1)"/>
      <w:lvlJc w:val="left"/>
      <w:pPr>
        <w:tabs>
          <w:tab w:val="num" w:pos="1080"/>
        </w:tabs>
        <w:ind w:left="1080" w:hanging="720"/>
      </w:pPr>
      <w:rPr>
        <w:rFonts w:hint="default"/>
      </w:rPr>
    </w:lvl>
    <w:lvl w:ilvl="1" w:tplc="0A3E3580">
      <w:start w:val="1"/>
      <w:numFmt w:val="lowerLetter"/>
      <w:lvlText w:val="%2."/>
      <w:lvlJc w:val="left"/>
      <w:pPr>
        <w:tabs>
          <w:tab w:val="num" w:pos="1440"/>
        </w:tabs>
        <w:ind w:left="1440" w:hanging="360"/>
      </w:pPr>
    </w:lvl>
    <w:lvl w:ilvl="2" w:tplc="D7F8CF96" w:tentative="1">
      <w:start w:val="1"/>
      <w:numFmt w:val="lowerRoman"/>
      <w:lvlText w:val="%3."/>
      <w:lvlJc w:val="right"/>
      <w:pPr>
        <w:tabs>
          <w:tab w:val="num" w:pos="2160"/>
        </w:tabs>
        <w:ind w:left="2160" w:hanging="180"/>
      </w:pPr>
    </w:lvl>
    <w:lvl w:ilvl="3" w:tplc="2E340BFE" w:tentative="1">
      <w:start w:val="1"/>
      <w:numFmt w:val="decimal"/>
      <w:lvlText w:val="%4."/>
      <w:lvlJc w:val="left"/>
      <w:pPr>
        <w:tabs>
          <w:tab w:val="num" w:pos="2880"/>
        </w:tabs>
        <w:ind w:left="2880" w:hanging="360"/>
      </w:pPr>
    </w:lvl>
    <w:lvl w:ilvl="4" w:tplc="8DE648A4" w:tentative="1">
      <w:start w:val="1"/>
      <w:numFmt w:val="lowerLetter"/>
      <w:lvlText w:val="%5."/>
      <w:lvlJc w:val="left"/>
      <w:pPr>
        <w:tabs>
          <w:tab w:val="num" w:pos="3600"/>
        </w:tabs>
        <w:ind w:left="3600" w:hanging="360"/>
      </w:pPr>
    </w:lvl>
    <w:lvl w:ilvl="5" w:tplc="511E67A0" w:tentative="1">
      <w:start w:val="1"/>
      <w:numFmt w:val="lowerRoman"/>
      <w:lvlText w:val="%6."/>
      <w:lvlJc w:val="right"/>
      <w:pPr>
        <w:tabs>
          <w:tab w:val="num" w:pos="4320"/>
        </w:tabs>
        <w:ind w:left="4320" w:hanging="180"/>
      </w:pPr>
    </w:lvl>
    <w:lvl w:ilvl="6" w:tplc="FE025E12" w:tentative="1">
      <w:start w:val="1"/>
      <w:numFmt w:val="decimal"/>
      <w:lvlText w:val="%7."/>
      <w:lvlJc w:val="left"/>
      <w:pPr>
        <w:tabs>
          <w:tab w:val="num" w:pos="5040"/>
        </w:tabs>
        <w:ind w:left="5040" w:hanging="360"/>
      </w:pPr>
    </w:lvl>
    <w:lvl w:ilvl="7" w:tplc="3698BA0A" w:tentative="1">
      <w:start w:val="1"/>
      <w:numFmt w:val="lowerLetter"/>
      <w:lvlText w:val="%8."/>
      <w:lvlJc w:val="left"/>
      <w:pPr>
        <w:tabs>
          <w:tab w:val="num" w:pos="5760"/>
        </w:tabs>
        <w:ind w:left="5760" w:hanging="360"/>
      </w:pPr>
    </w:lvl>
    <w:lvl w:ilvl="8" w:tplc="C8BEB4E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766F2"/>
    <w:rsid w:val="004766F2"/>
    <w:rsid w:val="0096622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F6C75-C2BC-4ABD-8A7D-FA78402D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53989</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2017-03-23T20:59:00Z</dcterms:created>
  <dcterms:modified xsi:type="dcterms:W3CDTF">2017-03-23T20:59:00Z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-1570602364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1593650238</vt:i4>
  </property>
  <property fmtid="{D5CDD505-2E9C-101B-9397-08002B2CF9AE}" pid="12" name="_ReviewingToolsShownOnce">
    <vt:lpwstr/>
  </property>
</Properties>
</file>