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965057">
      <w:pPr>
        <w:pStyle w:val="Heading2"/>
        <w:pageBreakBefore w:val="0"/>
      </w:pPr>
      <w:bookmarkStart w:id="0" w:name="_Toc261445997"/>
      <w:r>
        <w:t>2.5</w:t>
      </w:r>
      <w:r>
        <w:tab/>
        <w:t>Definitions - E</w:t>
      </w:r>
      <w:bookmarkEnd w:id="0"/>
    </w:p>
    <w:p w:rsidR="00BD4BAF" w:rsidRDefault="00965057">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965057">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965057">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965057">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BD4BAF" w:rsidRDefault="00965057">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BD4BAF" w:rsidRDefault="00965057">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BD4BAF" w:rsidRDefault="00965057">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BD4BAF" w:rsidRDefault="00965057">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BD4BAF" w:rsidRDefault="00965057">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BD4BAF" w:rsidRDefault="00965057">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BD4BAF" w:rsidRDefault="00965057">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BD4BAF" w:rsidRDefault="00965057">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BD4BAF" w:rsidRDefault="00965057">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BD4BAF" w:rsidRDefault="00965057">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BD4BAF" w:rsidRDefault="00965057">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965057">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BD4BAF" w:rsidRDefault="00965057">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BD4BAF" w:rsidRDefault="00965057">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DE48FD" w:rsidRDefault="00965057">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w:t>
      </w:r>
    </w:p>
    <w:p w:rsidR="001754CE" w:rsidRDefault="00965057">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w:t>
      </w:r>
      <w:r w:rsidRPr="00B95B91">
        <w:t>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provision of Load reduction shall be deemed manda</w:t>
      </w:r>
      <w:r w:rsidRPr="00B95B91">
        <w:t xml:space="preserve">tory if the ISO has satisfied the </w:t>
      </w:r>
      <w:r w:rsidRPr="00B95B91">
        <w:t xml:space="preserve">notification </w:t>
      </w:r>
      <w:r w:rsidRPr="00B95B91">
        <w:t xml:space="preserve">requirements set forth in Section 5.12.11.1 of this ISO Services Tariff as it relates to the SCRs in the applicable Load Zone, otherwise provision of such Load reduction shall be deemed voluntary.  </w:t>
      </w:r>
      <w:r w:rsidRPr="00B95B91">
        <w:t>When determ</w:t>
      </w:r>
      <w:r w:rsidRPr="00B95B91">
        <w:t xml:space="preserve">ining the historical performance of </w:t>
      </w:r>
      <w:r w:rsidRPr="00B95B91">
        <w:t>the EDRP, provision of Load reduction by EDRP shall be deemed voluntary</w:t>
      </w:r>
      <w:r>
        <w:t>.</w:t>
      </w:r>
      <w:r>
        <w:t xml:space="preserve"> </w:t>
      </w:r>
    </w:p>
    <w:p w:rsidR="00BD4BAF" w:rsidRDefault="00965057">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w:t>
      </w:r>
      <w:r>
        <w:t>in real-time from activation of the Emergency Demand Response Program and from Load reductions requested from Special Case Resources, as established pursuant to ISO Procedures.</w:t>
      </w:r>
    </w:p>
    <w:p w:rsidR="00BD4BAF" w:rsidRDefault="00965057">
      <w:pPr>
        <w:pStyle w:val="Definition"/>
      </w:pPr>
      <w:r>
        <w:rPr>
          <w:b/>
          <w:bCs/>
        </w:rPr>
        <w:t xml:space="preserve">Expedited Dispute Resolution Procedures: </w:t>
      </w:r>
      <w:r>
        <w:t>The dispute resolution procedures appl</w:t>
      </w:r>
      <w:r>
        <w:t>icable to disputes arising out of the Installed Capacity provisions of this ISO Services Tariff (as set forth in Section 5.17) and the Customer settlements provisions of this ISO Services Tariff (as set forth in Section 7.4.3).</w:t>
      </w:r>
    </w:p>
    <w:p w:rsidR="00BD4BAF" w:rsidRDefault="00965057">
      <w:pPr>
        <w:pStyle w:val="Definition"/>
      </w:pPr>
      <w:r>
        <w:rPr>
          <w:b/>
          <w:bCs/>
        </w:rPr>
        <w:t>Export</w:t>
      </w:r>
      <w:r>
        <w:t>: A Bilateral Transact</w:t>
      </w:r>
      <w:r>
        <w:t xml:space="preserve">ion or purchase from the </w:t>
      </w:r>
      <w:r>
        <w:rPr>
          <w:bCs/>
          <w:iCs/>
        </w:rPr>
        <w:t>LBMP</w:t>
      </w:r>
      <w:r>
        <w:t xml:space="preserve"> Market where the Energy is delivered to an NYCA Interconnection with another Control Area.</w:t>
      </w:r>
    </w:p>
    <w:p w:rsidR="00BD4BAF" w:rsidRDefault="00965057" w:rsidP="00BD4BAF">
      <w:pPr>
        <w:pStyle w:val="Definition"/>
      </w:pPr>
      <w:r>
        <w:rPr>
          <w:b/>
        </w:rPr>
        <w:t xml:space="preserve">Export </w:t>
      </w:r>
      <w:bookmarkStart w:id="26" w:name="_GoBack"/>
      <w:bookmarkEnd w:id="26"/>
      <w:r>
        <w:rPr>
          <w:b/>
        </w:rPr>
        <w:t xml:space="preserve">Credit Requirement:  </w:t>
      </w:r>
      <w:r>
        <w:t>A component of the External Transaction Component of the Operating Requirement, calculated in accordance wi</w:t>
      </w:r>
      <w:r>
        <w:t>th Section 26.4.2 of Attachment K to this Services Tariff.</w:t>
      </w:r>
    </w:p>
    <w:p w:rsidR="00BD4BAF" w:rsidRDefault="00965057">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Control Areas.  Where a</w:t>
      </w:r>
      <w:r>
        <w:t xml:space="preserve"> specific Control Area is not referenced, the NYCA is the intended reference.</w:t>
      </w:r>
    </w:p>
    <w:p w:rsidR="00BD4BAF" w:rsidRDefault="00965057" w:rsidP="00BD4BAF">
      <w:pPr>
        <w:pStyle w:val="Definition"/>
      </w:pPr>
      <w:r>
        <w:rPr>
          <w:b/>
        </w:rPr>
        <w:t>External Transaction Component</w:t>
      </w:r>
      <w:r>
        <w:t>:  A component of the Operating Requirement, calculated in accordance with Section 26.4.2 of Attachment K to this Services Tariff.</w:t>
      </w:r>
    </w:p>
    <w:p w:rsidR="00BD4BAF" w:rsidRDefault="00965057">
      <w:pPr>
        <w:pStyle w:val="Definition"/>
      </w:pPr>
      <w:r>
        <w:rPr>
          <w:b/>
          <w:bCs/>
        </w:rPr>
        <w:t xml:space="preserve">External </w:t>
      </w:r>
      <w:r>
        <w:rPr>
          <w:b/>
          <w:bCs/>
        </w:rPr>
        <w:t>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Imports or Wheels Through).</w:t>
      </w:r>
    </w:p>
    <w:p w:rsidR="00BD4BAF" w:rsidRDefault="00965057">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84" w:rsidRDefault="00E51384" w:rsidP="00E51384">
      <w:r>
        <w:separator/>
      </w:r>
    </w:p>
  </w:endnote>
  <w:endnote w:type="continuationSeparator" w:id="0">
    <w:p w:rsidR="00E51384" w:rsidRDefault="00E51384" w:rsidP="00E513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84" w:rsidRDefault="0096505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E51384">
      <w:rPr>
        <w:rFonts w:ascii="Arial" w:eastAsia="Arial" w:hAnsi="Arial" w:cs="Arial"/>
        <w:color w:val="000000"/>
        <w:sz w:val="16"/>
      </w:rPr>
      <w:fldChar w:fldCharType="begin"/>
    </w:r>
    <w:r>
      <w:rPr>
        <w:rFonts w:ascii="Arial" w:eastAsia="Arial" w:hAnsi="Arial" w:cs="Arial"/>
        <w:color w:val="000000"/>
        <w:sz w:val="16"/>
      </w:rPr>
      <w:instrText>PAGE</w:instrText>
    </w:r>
    <w:r w:rsidR="00E5138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84" w:rsidRDefault="0096505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E5138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5138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84" w:rsidRDefault="00965057">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E51384">
      <w:rPr>
        <w:rFonts w:ascii="Arial" w:eastAsia="Arial" w:hAnsi="Arial" w:cs="Arial"/>
        <w:color w:val="000000"/>
        <w:sz w:val="16"/>
      </w:rPr>
      <w:fldChar w:fldCharType="begin"/>
    </w:r>
    <w:r>
      <w:rPr>
        <w:rFonts w:ascii="Arial" w:eastAsia="Arial" w:hAnsi="Arial" w:cs="Arial"/>
        <w:color w:val="000000"/>
        <w:sz w:val="16"/>
      </w:rPr>
      <w:instrText>PAGE</w:instrText>
    </w:r>
    <w:r w:rsidR="00E5138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84" w:rsidRDefault="00E51384" w:rsidP="00E51384">
      <w:r>
        <w:separator/>
      </w:r>
    </w:p>
  </w:footnote>
  <w:footnote w:type="continuationSeparator" w:id="0">
    <w:p w:rsidR="00E51384" w:rsidRDefault="00E51384" w:rsidP="00E51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84" w:rsidRDefault="0096505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84" w:rsidRDefault="00965057">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84" w:rsidRDefault="00965057">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DFA8402">
      <w:start w:val="1"/>
      <w:numFmt w:val="bullet"/>
      <w:pStyle w:val="Bulletpara"/>
      <w:lvlText w:val=""/>
      <w:lvlJc w:val="left"/>
      <w:pPr>
        <w:tabs>
          <w:tab w:val="num" w:pos="720"/>
        </w:tabs>
        <w:ind w:left="720" w:hanging="360"/>
      </w:pPr>
      <w:rPr>
        <w:rFonts w:ascii="Symbol" w:hAnsi="Symbol" w:hint="default"/>
      </w:rPr>
    </w:lvl>
    <w:lvl w:ilvl="1" w:tplc="9EB032FA" w:tentative="1">
      <w:start w:val="1"/>
      <w:numFmt w:val="bullet"/>
      <w:lvlText w:val="o"/>
      <w:lvlJc w:val="left"/>
      <w:pPr>
        <w:tabs>
          <w:tab w:val="num" w:pos="1440"/>
        </w:tabs>
        <w:ind w:left="1440" w:hanging="360"/>
      </w:pPr>
      <w:rPr>
        <w:rFonts w:ascii="Courier New" w:hAnsi="Courier New" w:hint="default"/>
      </w:rPr>
    </w:lvl>
    <w:lvl w:ilvl="2" w:tplc="21A29F02" w:tentative="1">
      <w:start w:val="1"/>
      <w:numFmt w:val="bullet"/>
      <w:lvlText w:val=""/>
      <w:lvlJc w:val="left"/>
      <w:pPr>
        <w:tabs>
          <w:tab w:val="num" w:pos="2160"/>
        </w:tabs>
        <w:ind w:left="2160" w:hanging="360"/>
      </w:pPr>
      <w:rPr>
        <w:rFonts w:ascii="Wingdings" w:hAnsi="Wingdings" w:hint="default"/>
      </w:rPr>
    </w:lvl>
    <w:lvl w:ilvl="3" w:tplc="B5E8171E" w:tentative="1">
      <w:start w:val="1"/>
      <w:numFmt w:val="bullet"/>
      <w:lvlText w:val=""/>
      <w:lvlJc w:val="left"/>
      <w:pPr>
        <w:tabs>
          <w:tab w:val="num" w:pos="2880"/>
        </w:tabs>
        <w:ind w:left="2880" w:hanging="360"/>
      </w:pPr>
      <w:rPr>
        <w:rFonts w:ascii="Symbol" w:hAnsi="Symbol" w:hint="default"/>
      </w:rPr>
    </w:lvl>
    <w:lvl w:ilvl="4" w:tplc="39D85F66" w:tentative="1">
      <w:start w:val="1"/>
      <w:numFmt w:val="bullet"/>
      <w:lvlText w:val="o"/>
      <w:lvlJc w:val="left"/>
      <w:pPr>
        <w:tabs>
          <w:tab w:val="num" w:pos="3600"/>
        </w:tabs>
        <w:ind w:left="3600" w:hanging="360"/>
      </w:pPr>
      <w:rPr>
        <w:rFonts w:ascii="Courier New" w:hAnsi="Courier New" w:hint="default"/>
      </w:rPr>
    </w:lvl>
    <w:lvl w:ilvl="5" w:tplc="2D927FE4" w:tentative="1">
      <w:start w:val="1"/>
      <w:numFmt w:val="bullet"/>
      <w:lvlText w:val=""/>
      <w:lvlJc w:val="left"/>
      <w:pPr>
        <w:tabs>
          <w:tab w:val="num" w:pos="4320"/>
        </w:tabs>
        <w:ind w:left="4320" w:hanging="360"/>
      </w:pPr>
      <w:rPr>
        <w:rFonts w:ascii="Wingdings" w:hAnsi="Wingdings" w:hint="default"/>
      </w:rPr>
    </w:lvl>
    <w:lvl w:ilvl="6" w:tplc="AC663C0C" w:tentative="1">
      <w:start w:val="1"/>
      <w:numFmt w:val="bullet"/>
      <w:lvlText w:val=""/>
      <w:lvlJc w:val="left"/>
      <w:pPr>
        <w:tabs>
          <w:tab w:val="num" w:pos="5040"/>
        </w:tabs>
        <w:ind w:left="5040" w:hanging="360"/>
      </w:pPr>
      <w:rPr>
        <w:rFonts w:ascii="Symbol" w:hAnsi="Symbol" w:hint="default"/>
      </w:rPr>
    </w:lvl>
    <w:lvl w:ilvl="7" w:tplc="11623850" w:tentative="1">
      <w:start w:val="1"/>
      <w:numFmt w:val="bullet"/>
      <w:lvlText w:val="o"/>
      <w:lvlJc w:val="left"/>
      <w:pPr>
        <w:tabs>
          <w:tab w:val="num" w:pos="5760"/>
        </w:tabs>
        <w:ind w:left="5760" w:hanging="360"/>
      </w:pPr>
      <w:rPr>
        <w:rFonts w:ascii="Courier New" w:hAnsi="Courier New" w:hint="default"/>
      </w:rPr>
    </w:lvl>
    <w:lvl w:ilvl="8" w:tplc="D918FD7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51384"/>
    <w:rsid w:val="00965057"/>
    <w:rsid w:val="00E5138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2017-11-22T17:01:00Z</dcterms:created>
  <dcterms:modified xsi:type="dcterms:W3CDTF">2017-11-22T17:01:00Z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