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0116FC">
      <w:pPr>
        <w:pStyle w:val="Heading2"/>
        <w:pageBreakBefore w:val="0"/>
      </w:pPr>
      <w:bookmarkStart w:id="0" w:name="_Toc261340944"/>
      <w:r>
        <w:t>15.4</w:t>
      </w:r>
      <w:r>
        <w:tab/>
        <w:t>Rate Schedule 4 - Payments for Supplying Operating Reserves</w:t>
      </w:r>
      <w:bookmarkEnd w:id="0"/>
    </w:p>
    <w:p w:rsidR="00B95177" w:rsidRDefault="000116F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0116FC">
      <w:pPr>
        <w:pStyle w:val="Heading3"/>
      </w:pPr>
      <w:bookmarkStart w:id="1" w:name="_Toc261340945"/>
      <w:r>
        <w:t>15.4.1</w:t>
      </w:r>
      <w:r>
        <w:tab/>
        <w:t>General Responsibilities and Requirements</w:t>
      </w:r>
      <w:bookmarkEnd w:id="1"/>
    </w:p>
    <w:p w:rsidR="00B95177" w:rsidRDefault="000116FC">
      <w:pPr>
        <w:pStyle w:val="Heading4"/>
        <w:rPr>
          <w:bCs/>
        </w:rPr>
      </w:pPr>
      <w:r>
        <w:t>15.4.1.1</w:t>
      </w:r>
      <w:r>
        <w:tab/>
        <w:t>ISO</w:t>
      </w:r>
      <w:r>
        <w:t xml:space="preserve"> Responsibilities</w:t>
      </w:r>
    </w:p>
    <w:p w:rsidR="00B95177" w:rsidRDefault="000116F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0116FC">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0116FC">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0116FC">
      <w:pPr>
        <w:pStyle w:val="Heading4"/>
      </w:pPr>
      <w:r>
        <w:lastRenderedPageBreak/>
        <w:t>15.4.1.2</w:t>
      </w:r>
      <w:r>
        <w:tab/>
        <w:t>Supplier Eligibility Criteria</w:t>
      </w:r>
    </w:p>
    <w:p w:rsidR="00B95177" w:rsidRDefault="000116FC">
      <w:pPr>
        <w:pStyle w:val="Bodypara"/>
        <w:rPr>
          <w:color w:val="000000"/>
        </w:rPr>
      </w:pPr>
      <w:r>
        <w:t xml:space="preserve">The ISO shall enforce the following criteria, which </w:t>
      </w:r>
      <w:r>
        <w:t>define which types of Suppliers are eligible to supply particular Operating Reserve products.</w:t>
      </w:r>
    </w:p>
    <w:p w:rsidR="00B95177" w:rsidRDefault="000116FC">
      <w:pPr>
        <w:pStyle w:val="Heading4"/>
      </w:pPr>
      <w:r>
        <w:t>15.4.1.2.1</w:t>
      </w:r>
      <w:r>
        <w:tab/>
        <w:t xml:space="preserve">Spinning Reserve:  </w:t>
      </w:r>
    </w:p>
    <w:p w:rsidR="00B95177" w:rsidRDefault="000116FC">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0116FC">
      <w:pPr>
        <w:pStyle w:val="Heading4"/>
      </w:pPr>
      <w:r>
        <w:t>15.4.1.2.2</w:t>
      </w:r>
      <w:r>
        <w:tab/>
        <w:t xml:space="preserve">10-Minute Non-Synchronized Reserve:  </w:t>
      </w:r>
    </w:p>
    <w:p w:rsidR="00B95177" w:rsidRDefault="000116FC">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0116FC">
      <w:pPr>
        <w:pStyle w:val="Heading4"/>
      </w:pPr>
      <w:r>
        <w:t>15.4.1.2.3</w:t>
      </w:r>
      <w:r>
        <w:tab/>
        <w:t xml:space="preserve">30-Minute Reserve:  </w:t>
      </w:r>
    </w:p>
    <w:p w:rsidR="00B95177" w:rsidRDefault="000116FC">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0116FC">
      <w:pPr>
        <w:pStyle w:val="Heading4"/>
      </w:pPr>
      <w:r>
        <w:t>15.4.1.2.4</w:t>
      </w:r>
      <w:r>
        <w:tab/>
        <w:t>Self-Com</w:t>
      </w:r>
      <w:r>
        <w:t>mitted Fixed and ISO-Committed Fixed Generators:</w:t>
      </w:r>
    </w:p>
    <w:p w:rsidR="00B95177" w:rsidRDefault="000116FC">
      <w:pPr>
        <w:pStyle w:val="Bodypara"/>
        <w:rPr>
          <w:color w:val="000000"/>
        </w:rPr>
      </w:pPr>
      <w:r>
        <w:rPr>
          <w:color w:val="000000"/>
        </w:rPr>
        <w:t>Shall not be eligible to provide any kind of Operating Reserve.</w:t>
      </w:r>
    </w:p>
    <w:p w:rsidR="00B95177" w:rsidRDefault="000116FC">
      <w:pPr>
        <w:pStyle w:val="Heading4"/>
      </w:pPr>
      <w:r>
        <w:t>15.4.1.3</w:t>
      </w:r>
      <w:r>
        <w:tab/>
        <w:t>Other Supplier Requirements</w:t>
      </w:r>
    </w:p>
    <w:p w:rsidR="00B95177" w:rsidRDefault="000116FC">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0116FC">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0116FC">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0116FC">
      <w:pPr>
        <w:pStyle w:val="Heading3"/>
      </w:pPr>
      <w:bookmarkStart w:id="12" w:name="_Toc261340946"/>
      <w:r>
        <w:t>15.4.2</w:t>
      </w:r>
      <w:r>
        <w:tab/>
        <w:t>General Day-Ahead Market Rules</w:t>
      </w:r>
      <w:bookmarkEnd w:id="12"/>
    </w:p>
    <w:p w:rsidR="00B95177" w:rsidRDefault="000116FC">
      <w:pPr>
        <w:pStyle w:val="Heading4"/>
      </w:pPr>
      <w:r>
        <w:t>15.4.2.1</w:t>
      </w:r>
      <w:r>
        <w:tab/>
        <w:t>Bidding a</w:t>
      </w:r>
      <w:r>
        <w:t>nd Bid Selection</w:t>
      </w:r>
    </w:p>
    <w:p w:rsidR="00B95177" w:rsidRDefault="000116FC">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0116FC">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0116FC">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0116FC">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0116FC">
      <w:pPr>
        <w:pStyle w:val="Heading4"/>
      </w:pPr>
      <w:r>
        <w:t>15.4.2.2</w:t>
      </w:r>
      <w:r>
        <w:tab/>
        <w:t>ISO Notice Requirement</w:t>
      </w:r>
    </w:p>
    <w:p w:rsidR="00B95177" w:rsidRDefault="000116FC">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0116FC">
      <w:pPr>
        <w:pStyle w:val="Heading4"/>
        <w:rPr>
          <w:bCs/>
          <w:color w:val="000000"/>
        </w:rPr>
      </w:pPr>
      <w:r>
        <w:t>15.4.2.3</w:t>
      </w:r>
      <w:r>
        <w:tab/>
        <w:t>Real-Time Market Responsibilities of Suppliers Scheduled to Provide Operating Reserves in the Day-Ahead Market</w:t>
      </w:r>
    </w:p>
    <w:p w:rsidR="00B95177" w:rsidRDefault="000116FC">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0116FC">
      <w:pPr>
        <w:pStyle w:val="Heading3"/>
      </w:pPr>
      <w:bookmarkStart w:id="13" w:name="_Toc261340947"/>
      <w:r>
        <w:t>15.4.3</w:t>
      </w:r>
      <w:r>
        <w:tab/>
        <w:t>General Real-Time Market Rules</w:t>
      </w:r>
      <w:bookmarkEnd w:id="13"/>
    </w:p>
    <w:p w:rsidR="00B95177" w:rsidRDefault="000116FC">
      <w:pPr>
        <w:pStyle w:val="Heading4"/>
      </w:pPr>
      <w:r>
        <w:t>15.4.3.1</w:t>
      </w:r>
      <w:r>
        <w:tab/>
        <w:t>Bid Selection</w:t>
      </w:r>
    </w:p>
    <w:p w:rsidR="00B95177" w:rsidRDefault="000116FC">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0116FC">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0116FC">
      <w:pPr>
        <w:pStyle w:val="Heading4"/>
      </w:pPr>
      <w:r>
        <w:t>15.4.3.2</w:t>
      </w:r>
      <w:r>
        <w:tab/>
        <w:t>ISO Notice Requirement</w:t>
      </w:r>
    </w:p>
    <w:p w:rsidR="00B95177" w:rsidRDefault="000116FC">
      <w:pPr>
        <w:pStyle w:val="Bodypara"/>
      </w:pPr>
      <w:bookmarkStart w:id="19" w:name="_DV_M71"/>
      <w:bookmarkEnd w:id="19"/>
      <w:r>
        <w:t>The ISO shall notify each Supplier of Operating Reserve that has been scheduled by RTD of the amount of Operating Reserve that it must provide.</w:t>
      </w:r>
    </w:p>
    <w:p w:rsidR="00B95177" w:rsidRDefault="000116FC">
      <w:pPr>
        <w:pStyle w:val="Heading4"/>
      </w:pPr>
      <w:r>
        <w:t>15.4.3.3</w:t>
      </w:r>
      <w:r>
        <w:tab/>
        <w:t>Obligation to Mak</w:t>
      </w:r>
      <w:r>
        <w:t>e Resources Available to Provide Operating Reserves</w:t>
      </w:r>
    </w:p>
    <w:p w:rsidR="00B95177" w:rsidRDefault="000116FC">
      <w:pPr>
        <w:pStyle w:val="Bodypara"/>
      </w:pPr>
      <w:r>
        <w:t>Any Resource that is eligible to supply Operating Reserves and that is made available to ISO for dispatch in Real-Time must also make itself available to provide Operating Reserves.</w:t>
      </w:r>
    </w:p>
    <w:p w:rsidR="00B95177" w:rsidRDefault="000116FC">
      <w:pPr>
        <w:pStyle w:val="Heading4"/>
      </w:pPr>
      <w:r>
        <w:t>15.4.3.4</w:t>
      </w:r>
      <w:r>
        <w:tab/>
        <w:t>Activation of</w:t>
      </w:r>
      <w:r>
        <w:t xml:space="preserve"> Operating Reserves</w:t>
      </w:r>
    </w:p>
    <w:p w:rsidR="00B95177" w:rsidRDefault="000116FC">
      <w:pPr>
        <w:pStyle w:val="Bodypara"/>
      </w:pPr>
      <w:r>
        <w:t>All Resources that are selected by the ISO to provide Operating Reserves shall respond to the ISO’s directions to activate in real-time.</w:t>
      </w:r>
    </w:p>
    <w:p w:rsidR="00B95177" w:rsidRDefault="000116FC">
      <w:pPr>
        <w:pStyle w:val="Heading4"/>
      </w:pPr>
      <w:r>
        <w:t>15.4.3.5</w:t>
      </w:r>
      <w:r>
        <w:tab/>
        <w:t>Performance Tracking and Supplier Disqualifications</w:t>
      </w:r>
    </w:p>
    <w:p w:rsidR="00B95177" w:rsidRDefault="000116FC">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0116FC">
      <w:pPr>
        <w:pStyle w:val="Heading3"/>
      </w:pPr>
      <w:bookmarkStart w:id="20" w:name="_Toc261340948"/>
      <w:r>
        <w:t>15.4.4</w:t>
      </w:r>
      <w:r>
        <w:tab/>
        <w:t>Operating Reserves Settlements - General Rules</w:t>
      </w:r>
      <w:bookmarkEnd w:id="20"/>
    </w:p>
    <w:p w:rsidR="00B95177" w:rsidRDefault="000116FC">
      <w:pPr>
        <w:pStyle w:val="Heading4"/>
      </w:pPr>
      <w:r>
        <w:t>15.4.4.1</w:t>
      </w:r>
      <w:r>
        <w:tab/>
        <w:t>Establishing Locational Reserve</w:t>
      </w:r>
      <w:r>
        <w:t xml:space="preserve"> and Scarcity Reserve Requirement</w:t>
      </w:r>
      <w:r>
        <w:t xml:space="preserve"> Prices</w:t>
      </w:r>
    </w:p>
    <w:p w:rsidR="00B95177" w:rsidRDefault="000116FC">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0116FC">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0116FC">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0116FC">
      <w:pPr>
        <w:pStyle w:val="Heading4"/>
      </w:pPr>
      <w:r>
        <w:t>15.4.4.3</w:t>
      </w:r>
      <w:r>
        <w:tab/>
        <w:t>“Cascading” of Operating Reserves</w:t>
      </w:r>
    </w:p>
    <w:p w:rsidR="00B95177" w:rsidRDefault="000116FC">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0116FC">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0116FC">
      <w:pPr>
        <w:pStyle w:val="Heading3"/>
      </w:pPr>
      <w:bookmarkStart w:id="28" w:name="_Toc261340949"/>
      <w:r>
        <w:t>15.4.5</w:t>
      </w:r>
      <w:r>
        <w:tab/>
        <w:t>Operating Reserve Settlements – Day-Ahead Market</w:t>
      </w:r>
      <w:bookmarkEnd w:id="28"/>
    </w:p>
    <w:p w:rsidR="00B95177" w:rsidRDefault="000116FC">
      <w:pPr>
        <w:pStyle w:val="Heading4"/>
      </w:pPr>
      <w:bookmarkStart w:id="29" w:name="_DV_M94"/>
      <w:bookmarkEnd w:id="29"/>
      <w:r>
        <w:t>15.4.5.1</w:t>
      </w:r>
      <w:r>
        <w:tab/>
        <w:t>Calculation of Day-Ahead Market Clearing Prices</w:t>
      </w:r>
    </w:p>
    <w:p w:rsidR="00B95177" w:rsidRDefault="000116FC">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0116FC">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0116FC">
      <w:pPr>
        <w:pStyle w:val="equationtext"/>
      </w:pPr>
      <w:r>
        <w:t>Market clearing price for Western 30-Mi</w:t>
      </w:r>
      <w:r>
        <w:t>nute Reserves  =  SP1</w:t>
      </w:r>
    </w:p>
    <w:p w:rsidR="00B95177" w:rsidRDefault="000116FC">
      <w:pPr>
        <w:pStyle w:val="equationtext"/>
      </w:pPr>
      <w:bookmarkStart w:id="30" w:name="_DV_M98"/>
      <w:bookmarkEnd w:id="30"/>
      <w:r>
        <w:t>Market clearing price for Western 10-Minute</w:t>
      </w:r>
      <w:r>
        <w:t xml:space="preserve"> </w:t>
      </w:r>
      <w:r>
        <w:t>Non-Synchronized Reserves  =  SP1 + SP2</w:t>
      </w:r>
    </w:p>
    <w:p w:rsidR="00B95177" w:rsidRDefault="000116FC">
      <w:pPr>
        <w:pStyle w:val="equationtext"/>
      </w:pPr>
      <w:bookmarkStart w:id="31" w:name="_DV_M99"/>
      <w:bookmarkEnd w:id="31"/>
      <w:r>
        <w:t>Market clearing price for Western Spinning Reserves  =  SP1 + SP2 + SP3</w:t>
      </w:r>
    </w:p>
    <w:p w:rsidR="00B95177" w:rsidRDefault="000116FC">
      <w:pPr>
        <w:pStyle w:val="equationtext"/>
      </w:pPr>
      <w:bookmarkStart w:id="32" w:name="_DV_M100"/>
      <w:bookmarkEnd w:id="32"/>
      <w:r>
        <w:t>Market clearing price for Eastern 30-Minute Reserves  =  SP1 + SP4</w:t>
      </w:r>
    </w:p>
    <w:p w:rsidR="00B95177" w:rsidRDefault="000116FC">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0116FC">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0116FC">
      <w:pPr>
        <w:pStyle w:val="equationtext"/>
        <w:ind w:left="6120" w:hanging="5400"/>
      </w:pPr>
      <w:bookmarkStart w:id="36" w:name="_DV_M104"/>
      <w:bookmarkEnd w:id="36"/>
      <w:r>
        <w:t>Market clearing price for Southeastern 30-Minute Reserves = SP1 + SP4 + SP7</w:t>
      </w:r>
    </w:p>
    <w:p w:rsidR="00EA5DBB" w:rsidRDefault="000116FC">
      <w:pPr>
        <w:pStyle w:val="equationtext"/>
        <w:ind w:left="6120" w:hanging="5400"/>
      </w:pPr>
      <w:r>
        <w:t>Market clearing price for Southeastern 10-Minute Non-Synchronized Reserves = SP1 + SP2 + SP4 + SP5 + SP7 + SP8</w:t>
      </w:r>
    </w:p>
    <w:p w:rsidR="00EA5DBB" w:rsidRDefault="000116FC">
      <w:pPr>
        <w:pStyle w:val="equationtext"/>
        <w:ind w:left="6120" w:hanging="5400"/>
      </w:pPr>
      <w:r>
        <w:t>Market clearing price for Southeastern Spinning Reserves = SP1 + SP2 + SP3 + SP4 + SP5 + SP6 + SP7 + SP8 + SP9</w:t>
      </w:r>
    </w:p>
    <w:p w:rsidR="00B95177" w:rsidRDefault="000116FC">
      <w:pPr>
        <w:pStyle w:val="equationtext"/>
      </w:pPr>
      <w:r>
        <w:t>Market clearing price for L.I. 30-</w:t>
      </w:r>
      <w:r>
        <w:t>Minute Reserves = SP1 + SP4 + SP7</w:t>
      </w:r>
      <w:r>
        <w:t xml:space="preserve"> + SP10</w:t>
      </w:r>
    </w:p>
    <w:p w:rsidR="00B95177" w:rsidRDefault="000116FC">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0116FC">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0116FC">
      <w:pPr>
        <w:pStyle w:val="Bodypara"/>
      </w:pPr>
      <w:bookmarkStart w:id="40" w:name="_DV_M108"/>
      <w:bookmarkEnd w:id="40"/>
      <w:r>
        <w:t>Where:</w:t>
      </w:r>
    </w:p>
    <w:p w:rsidR="00B95177" w:rsidRDefault="000116FC">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0116FC">
      <w:pPr>
        <w:pStyle w:val="equationtext"/>
      </w:pPr>
      <w:r>
        <w:t>SP2</w:t>
      </w:r>
      <w:r>
        <w:tab/>
        <w:t>= Shadow Price for total 10-Minute Reserve requirement constraint for the hour</w:t>
      </w:r>
      <w:bookmarkStart w:id="43" w:name="_DV_M111"/>
      <w:bookmarkEnd w:id="43"/>
    </w:p>
    <w:p w:rsidR="00B95177" w:rsidRDefault="000116FC">
      <w:pPr>
        <w:pStyle w:val="equationtext"/>
      </w:pPr>
      <w:r>
        <w:t>SP3</w:t>
      </w:r>
      <w:r>
        <w:tab/>
        <w:t>= Shadow Price for total Spinning Reserve requiremen</w:t>
      </w:r>
      <w:r>
        <w:t>t constraint for the hour</w:t>
      </w:r>
      <w:bookmarkStart w:id="44" w:name="_DV_M112"/>
      <w:bookmarkEnd w:id="44"/>
    </w:p>
    <w:p w:rsidR="00B95177" w:rsidRDefault="000116FC">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0116FC">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0116FC">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0116FC">
      <w:pPr>
        <w:pStyle w:val="equationtext"/>
      </w:pPr>
      <w:r>
        <w:t>SP7</w:t>
      </w:r>
      <w:r>
        <w:tab/>
        <w:t>= Shadow Price for Southeastern</w:t>
      </w:r>
      <w:r>
        <w:t>,</w:t>
      </w:r>
      <w:r>
        <w:t xml:space="preserve"> or </w:t>
      </w:r>
      <w:r>
        <w:t>L.I.</w:t>
      </w:r>
      <w:r>
        <w:t xml:space="preserve"> 30-Minute Reserve requirement constraint for the hour</w:t>
      </w:r>
    </w:p>
    <w:p w:rsidR="00266B21" w:rsidRDefault="000116FC">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0116FC">
      <w:pPr>
        <w:pStyle w:val="equationtext"/>
      </w:pPr>
      <w:r>
        <w:t>SP9</w:t>
      </w:r>
      <w:r>
        <w:tab/>
        <w:t>=Shadow Price for Southeastern</w:t>
      </w:r>
      <w:r>
        <w:t>,</w:t>
      </w:r>
      <w:r>
        <w:t xml:space="preserve"> or </w:t>
      </w:r>
      <w:r>
        <w:t>L.I.</w:t>
      </w:r>
      <w:r>
        <w:t xml:space="preserve"> Spinning Reserve requirement constraint for the hour</w:t>
      </w:r>
    </w:p>
    <w:p w:rsidR="00B95177" w:rsidRDefault="000116FC">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0116FC">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0116FC" w:rsidP="00E964F8">
      <w:pPr>
        <w:pStyle w:val="equationtext"/>
      </w:pPr>
      <w:r>
        <w:t>SP</w:t>
      </w:r>
      <w:r>
        <w:t>12</w:t>
      </w:r>
      <w:r>
        <w:tab/>
        <w:t>= Shadow Price for Long Island Spinning Reserve requirement constraint for the hour</w:t>
      </w:r>
    </w:p>
    <w:p w:rsidR="00B95177" w:rsidRDefault="000116FC">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0116FC">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0116FC">
      <w:pPr>
        <w:pStyle w:val="Heading4"/>
      </w:pPr>
      <w:r>
        <w:t>15.4.5.2</w:t>
      </w:r>
      <w:r>
        <w:tab/>
        <w:t>Other Day-Ahead Payments</w:t>
      </w:r>
    </w:p>
    <w:p w:rsidR="00B95177" w:rsidRDefault="000116FC">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0116FC">
      <w:pPr>
        <w:pStyle w:val="Heading3"/>
      </w:pPr>
      <w:bookmarkStart w:id="50" w:name="_Toc261340950"/>
      <w:r>
        <w:t>15.4.6</w:t>
      </w:r>
      <w:r>
        <w:tab/>
        <w:t>Operating Reserve Settlements – Real-Time Market</w:t>
      </w:r>
      <w:bookmarkEnd w:id="50"/>
    </w:p>
    <w:p w:rsidR="00B95177" w:rsidRDefault="000116FC">
      <w:pPr>
        <w:pStyle w:val="Heading4"/>
      </w:pPr>
      <w:bookmarkStart w:id="51" w:name="_DV_M123"/>
      <w:bookmarkEnd w:id="51"/>
      <w:r>
        <w:t>15.4.6.1</w:t>
      </w:r>
      <w:r>
        <w:tab/>
        <w:t>Calculation of Real-Time Market Clearing Prices</w:t>
      </w:r>
    </w:p>
    <w:p w:rsidR="00B95177" w:rsidRDefault="000116FC">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0116FC">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0116FC">
      <w:pPr>
        <w:pStyle w:val="equationtext"/>
      </w:pPr>
      <w:r>
        <w:t>Market clearing price for Western 30-Minute Reserves  =  SP1</w:t>
      </w:r>
    </w:p>
    <w:p w:rsidR="00B95177" w:rsidRDefault="000116FC">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0116FC">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0116FC"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0116FC"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0116FC"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0116FC">
      <w:pPr>
        <w:pStyle w:val="equationtext"/>
        <w:ind w:left="6120" w:hanging="5400"/>
      </w:pPr>
      <w:r>
        <w:t xml:space="preserve">Market clearing price for </w:t>
      </w:r>
      <w:r w:rsidRPr="003F05AC">
        <w:rPr>
          <w:szCs w:val="22"/>
        </w:rPr>
        <w:t>Southeastern</w:t>
      </w:r>
      <w:r>
        <w:t xml:space="preserve"> 30-Minute Reserves = SP1 + SP4 + SP7</w:t>
      </w:r>
    </w:p>
    <w:p w:rsidR="006E1D66" w:rsidRDefault="000116F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0116FC"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0116FC">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0116FC"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0116FC"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0116FC">
      <w:pPr>
        <w:spacing w:after="240"/>
        <w:ind w:firstLine="720"/>
      </w:pPr>
      <w:bookmarkStart w:id="62" w:name="_DV_M137"/>
      <w:bookmarkEnd w:id="62"/>
      <w:r>
        <w:t>Where:</w:t>
      </w:r>
    </w:p>
    <w:p w:rsidR="006E1D66" w:rsidRPr="0074434B" w:rsidRDefault="000116FC"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0116FC"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0116FC">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0116FC"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0116FC"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0116FC"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0116FC"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0116FC"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0116FC"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0116FC"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0116FC"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0116FC" w:rsidP="00F7103E">
      <w:pPr>
        <w:pStyle w:val="equationtext"/>
        <w:ind w:left="720" w:firstLine="0"/>
      </w:pPr>
      <w:r>
        <w:t>SP</w:t>
      </w:r>
      <w:r>
        <w:t>12</w:t>
      </w:r>
      <w:r>
        <w:tab/>
        <w:t>=  Shadow</w:t>
      </w:r>
      <w:r>
        <w:t xml:space="preserve"> Price for Long Island Spinning Reserve requirement constraint for the interval</w:t>
      </w:r>
    </w:p>
    <w:p w:rsidR="00B95177" w:rsidRDefault="000116FC">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0116FC">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0116FC"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0116FC"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0116FC"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0116FC"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0116FC"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0116FC"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0116FC"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0116FC"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0116FC"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0116FC"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0116FC">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0116FC"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0116FC"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0116FC">
      <w:pPr>
        <w:spacing w:line="480" w:lineRule="auto"/>
      </w:pPr>
    </w:p>
    <w:p w:rsidR="00B95177" w:rsidRDefault="000116FC">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0116FC">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0116FC">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0116FC">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0116FC">
      <w:pPr>
        <w:pStyle w:val="Heading4"/>
      </w:pPr>
      <w:r>
        <w:t>15.4.6.4</w:t>
      </w:r>
      <w:r>
        <w:tab/>
        <w:t>Other Real-Time Payments</w:t>
      </w:r>
    </w:p>
    <w:p w:rsidR="00B95177" w:rsidRDefault="000116FC">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0116FC">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0116FC">
      <w:pPr>
        <w:pStyle w:val="Bodypara"/>
      </w:pPr>
      <w:r>
        <w:t>A Suppli</w:t>
      </w:r>
      <w:r>
        <w:t>er that provides Operating Reserves may also be eligible for a Day-Ahead Margin Assurance Payment pursuant to Section 4.6.5 and Attachment J of this ISO Services Tariff.</w:t>
      </w:r>
    </w:p>
    <w:p w:rsidR="00B95177" w:rsidRDefault="000116FC">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0116FC">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0116FC">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0116FC">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0116FC">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0116FC"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0116FC"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0116FC">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0116FC">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0116FC">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0116FC">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0116FC">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0116FC">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0116F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0116FC">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116F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0116FC">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0116FC"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0116FC">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116F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0116FC"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0116FC">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0116FC">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0116FC">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0116FC"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0116FC" w:rsidP="00CA0FA8">
      <w:pPr>
        <w:pStyle w:val="Heading3"/>
      </w:pPr>
      <w:r>
        <w:t>15.4.8</w:t>
      </w:r>
      <w:r>
        <w:tab/>
        <w:t>Self-Supply</w:t>
      </w:r>
      <w:bookmarkEnd w:id="102"/>
    </w:p>
    <w:p w:rsidR="00B95177" w:rsidRDefault="000116FC">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0116FC">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5C" w:rsidRDefault="0004015C" w:rsidP="0004015C">
      <w:r>
        <w:separator/>
      </w:r>
    </w:p>
  </w:endnote>
  <w:endnote w:type="continuationSeparator" w:id="0">
    <w:p w:rsidR="0004015C" w:rsidRDefault="0004015C" w:rsidP="00040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jc w:val="right"/>
      <w:rPr>
        <w:rFonts w:ascii="Arial" w:eastAsia="Arial" w:hAnsi="Arial" w:cs="Arial"/>
        <w:color w:val="000000"/>
        <w:sz w:val="16"/>
      </w:rPr>
    </w:pPr>
    <w:r>
      <w:rPr>
        <w:rFonts w:ascii="Arial" w:eastAsia="Arial" w:hAnsi="Arial" w:cs="Arial"/>
        <w:color w:val="000000"/>
        <w:sz w:val="16"/>
      </w:rPr>
      <w:t>Effective Date: 6/22/2016 - D</w:t>
    </w:r>
    <w:r>
      <w:rPr>
        <w:rFonts w:ascii="Arial" w:eastAsia="Arial" w:hAnsi="Arial" w:cs="Arial"/>
        <w:color w:val="000000"/>
        <w:sz w:val="16"/>
      </w:rPr>
      <w:t xml:space="preserve">ocket #: ER16-425-005 - Page </w:t>
    </w:r>
    <w:r w:rsidR="0004015C">
      <w:rPr>
        <w:rFonts w:ascii="Arial" w:eastAsia="Arial" w:hAnsi="Arial" w:cs="Arial"/>
        <w:color w:val="000000"/>
        <w:sz w:val="16"/>
      </w:rPr>
      <w:fldChar w:fldCharType="begin"/>
    </w:r>
    <w:r>
      <w:rPr>
        <w:rFonts w:ascii="Arial" w:eastAsia="Arial" w:hAnsi="Arial" w:cs="Arial"/>
        <w:color w:val="000000"/>
        <w:sz w:val="16"/>
      </w:rPr>
      <w:instrText>PAGE</w:instrText>
    </w:r>
    <w:r w:rsidR="000401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401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01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4015C">
      <w:rPr>
        <w:rFonts w:ascii="Arial" w:eastAsia="Arial" w:hAnsi="Arial" w:cs="Arial"/>
        <w:color w:val="000000"/>
        <w:sz w:val="16"/>
      </w:rPr>
      <w:fldChar w:fldCharType="begin"/>
    </w:r>
    <w:r>
      <w:rPr>
        <w:rFonts w:ascii="Arial" w:eastAsia="Arial" w:hAnsi="Arial" w:cs="Arial"/>
        <w:color w:val="000000"/>
        <w:sz w:val="16"/>
      </w:rPr>
      <w:instrText>PAGE</w:instrText>
    </w:r>
    <w:r w:rsidR="000401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5C" w:rsidRDefault="0004015C" w:rsidP="0004015C">
      <w:r>
        <w:separator/>
      </w:r>
    </w:p>
  </w:footnote>
  <w:footnote w:type="continuationSeparator" w:id="0">
    <w:p w:rsidR="0004015C" w:rsidRDefault="0004015C" w:rsidP="00040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5C" w:rsidRDefault="000116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w:t>
    </w:r>
    <w:r>
      <w:rPr>
        <w:rFonts w:ascii="Arial" w:eastAsia="Arial" w:hAnsi="Arial" w:cs="Arial"/>
        <w:color w:val="000000"/>
        <w:sz w:val="16"/>
      </w:rPr>
      <w:t>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C7E81F4">
      <w:start w:val="1"/>
      <w:numFmt w:val="bullet"/>
      <w:pStyle w:val="Bulletpara"/>
      <w:lvlText w:val=""/>
      <w:lvlJc w:val="left"/>
      <w:pPr>
        <w:tabs>
          <w:tab w:val="num" w:pos="720"/>
        </w:tabs>
        <w:ind w:left="720" w:hanging="360"/>
      </w:pPr>
      <w:rPr>
        <w:rFonts w:ascii="Symbol" w:hAnsi="Symbol" w:hint="default"/>
      </w:rPr>
    </w:lvl>
    <w:lvl w:ilvl="1" w:tplc="EDC43108" w:tentative="1">
      <w:start w:val="1"/>
      <w:numFmt w:val="bullet"/>
      <w:lvlText w:val="o"/>
      <w:lvlJc w:val="left"/>
      <w:pPr>
        <w:tabs>
          <w:tab w:val="num" w:pos="1440"/>
        </w:tabs>
        <w:ind w:left="1440" w:hanging="360"/>
      </w:pPr>
      <w:rPr>
        <w:rFonts w:ascii="Courier New" w:hAnsi="Courier New" w:hint="default"/>
      </w:rPr>
    </w:lvl>
    <w:lvl w:ilvl="2" w:tplc="5BB6AC9C" w:tentative="1">
      <w:start w:val="1"/>
      <w:numFmt w:val="bullet"/>
      <w:lvlText w:val=""/>
      <w:lvlJc w:val="left"/>
      <w:pPr>
        <w:tabs>
          <w:tab w:val="num" w:pos="2160"/>
        </w:tabs>
        <w:ind w:left="2160" w:hanging="360"/>
      </w:pPr>
      <w:rPr>
        <w:rFonts w:ascii="Wingdings" w:hAnsi="Wingdings" w:hint="default"/>
      </w:rPr>
    </w:lvl>
    <w:lvl w:ilvl="3" w:tplc="82A4558E" w:tentative="1">
      <w:start w:val="1"/>
      <w:numFmt w:val="bullet"/>
      <w:lvlText w:val=""/>
      <w:lvlJc w:val="left"/>
      <w:pPr>
        <w:tabs>
          <w:tab w:val="num" w:pos="2880"/>
        </w:tabs>
        <w:ind w:left="2880" w:hanging="360"/>
      </w:pPr>
      <w:rPr>
        <w:rFonts w:ascii="Symbol" w:hAnsi="Symbol" w:hint="default"/>
      </w:rPr>
    </w:lvl>
    <w:lvl w:ilvl="4" w:tplc="BE1E3A5C" w:tentative="1">
      <w:start w:val="1"/>
      <w:numFmt w:val="bullet"/>
      <w:lvlText w:val="o"/>
      <w:lvlJc w:val="left"/>
      <w:pPr>
        <w:tabs>
          <w:tab w:val="num" w:pos="3600"/>
        </w:tabs>
        <w:ind w:left="3600" w:hanging="360"/>
      </w:pPr>
      <w:rPr>
        <w:rFonts w:ascii="Courier New" w:hAnsi="Courier New" w:hint="default"/>
      </w:rPr>
    </w:lvl>
    <w:lvl w:ilvl="5" w:tplc="353242BA" w:tentative="1">
      <w:start w:val="1"/>
      <w:numFmt w:val="bullet"/>
      <w:lvlText w:val=""/>
      <w:lvlJc w:val="left"/>
      <w:pPr>
        <w:tabs>
          <w:tab w:val="num" w:pos="4320"/>
        </w:tabs>
        <w:ind w:left="4320" w:hanging="360"/>
      </w:pPr>
      <w:rPr>
        <w:rFonts w:ascii="Wingdings" w:hAnsi="Wingdings" w:hint="default"/>
      </w:rPr>
    </w:lvl>
    <w:lvl w:ilvl="6" w:tplc="342A9902" w:tentative="1">
      <w:start w:val="1"/>
      <w:numFmt w:val="bullet"/>
      <w:lvlText w:val=""/>
      <w:lvlJc w:val="left"/>
      <w:pPr>
        <w:tabs>
          <w:tab w:val="num" w:pos="5040"/>
        </w:tabs>
        <w:ind w:left="5040" w:hanging="360"/>
      </w:pPr>
      <w:rPr>
        <w:rFonts w:ascii="Symbol" w:hAnsi="Symbol" w:hint="default"/>
      </w:rPr>
    </w:lvl>
    <w:lvl w:ilvl="7" w:tplc="90CA2870" w:tentative="1">
      <w:start w:val="1"/>
      <w:numFmt w:val="bullet"/>
      <w:lvlText w:val="o"/>
      <w:lvlJc w:val="left"/>
      <w:pPr>
        <w:tabs>
          <w:tab w:val="num" w:pos="5760"/>
        </w:tabs>
        <w:ind w:left="5760" w:hanging="360"/>
      </w:pPr>
      <w:rPr>
        <w:rFonts w:ascii="Courier New" w:hAnsi="Courier New" w:hint="default"/>
      </w:rPr>
    </w:lvl>
    <w:lvl w:ilvl="8" w:tplc="CE9CF17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FDB816C0">
      <w:start w:val="1"/>
      <w:numFmt w:val="lowerRoman"/>
      <w:lvlText w:val="%1."/>
      <w:lvlJc w:val="right"/>
      <w:pPr>
        <w:ind w:left="720" w:hanging="360"/>
      </w:pPr>
      <w:rPr>
        <w:rFonts w:hint="default"/>
      </w:rPr>
    </w:lvl>
    <w:lvl w:ilvl="1" w:tplc="1A101732">
      <w:start w:val="1"/>
      <w:numFmt w:val="lowerRoman"/>
      <w:lvlText w:val="%2."/>
      <w:lvlJc w:val="right"/>
      <w:pPr>
        <w:ind w:left="1440" w:hanging="360"/>
      </w:pPr>
    </w:lvl>
    <w:lvl w:ilvl="2" w:tplc="2C10B358" w:tentative="1">
      <w:start w:val="1"/>
      <w:numFmt w:val="lowerRoman"/>
      <w:lvlText w:val="%3."/>
      <w:lvlJc w:val="right"/>
      <w:pPr>
        <w:ind w:left="2160" w:hanging="180"/>
      </w:pPr>
    </w:lvl>
    <w:lvl w:ilvl="3" w:tplc="B80420F2" w:tentative="1">
      <w:start w:val="1"/>
      <w:numFmt w:val="decimal"/>
      <w:lvlText w:val="%4."/>
      <w:lvlJc w:val="left"/>
      <w:pPr>
        <w:ind w:left="2880" w:hanging="360"/>
      </w:pPr>
    </w:lvl>
    <w:lvl w:ilvl="4" w:tplc="263877A4" w:tentative="1">
      <w:start w:val="1"/>
      <w:numFmt w:val="lowerLetter"/>
      <w:lvlText w:val="%5."/>
      <w:lvlJc w:val="left"/>
      <w:pPr>
        <w:ind w:left="3600" w:hanging="360"/>
      </w:pPr>
    </w:lvl>
    <w:lvl w:ilvl="5" w:tplc="3F782FE2" w:tentative="1">
      <w:start w:val="1"/>
      <w:numFmt w:val="lowerRoman"/>
      <w:lvlText w:val="%6."/>
      <w:lvlJc w:val="right"/>
      <w:pPr>
        <w:ind w:left="4320" w:hanging="180"/>
      </w:pPr>
    </w:lvl>
    <w:lvl w:ilvl="6" w:tplc="7E62FD3E" w:tentative="1">
      <w:start w:val="1"/>
      <w:numFmt w:val="decimal"/>
      <w:lvlText w:val="%7."/>
      <w:lvlJc w:val="left"/>
      <w:pPr>
        <w:ind w:left="5040" w:hanging="360"/>
      </w:pPr>
    </w:lvl>
    <w:lvl w:ilvl="7" w:tplc="D4C661E0" w:tentative="1">
      <w:start w:val="1"/>
      <w:numFmt w:val="lowerLetter"/>
      <w:lvlText w:val="%8."/>
      <w:lvlJc w:val="left"/>
      <w:pPr>
        <w:ind w:left="5760" w:hanging="360"/>
      </w:pPr>
    </w:lvl>
    <w:lvl w:ilvl="8" w:tplc="2EC80602" w:tentative="1">
      <w:start w:val="1"/>
      <w:numFmt w:val="lowerRoman"/>
      <w:lvlText w:val="%9."/>
      <w:lvlJc w:val="right"/>
      <w:pPr>
        <w:ind w:left="6480" w:hanging="180"/>
      </w:pPr>
    </w:lvl>
  </w:abstractNum>
  <w:abstractNum w:abstractNumId="2">
    <w:nsid w:val="6E266C38"/>
    <w:multiLevelType w:val="hybridMultilevel"/>
    <w:tmpl w:val="AE1276CA"/>
    <w:lvl w:ilvl="0" w:tplc="2C3C5B64">
      <w:start w:val="1"/>
      <w:numFmt w:val="lowerRoman"/>
      <w:lvlText w:val="%1."/>
      <w:lvlJc w:val="right"/>
      <w:pPr>
        <w:ind w:left="720" w:hanging="360"/>
      </w:pPr>
      <w:rPr>
        <w:rFonts w:hint="default"/>
      </w:rPr>
    </w:lvl>
    <w:lvl w:ilvl="1" w:tplc="777C7200">
      <w:start w:val="1"/>
      <w:numFmt w:val="lowerRoman"/>
      <w:lvlText w:val="%2."/>
      <w:lvlJc w:val="right"/>
      <w:pPr>
        <w:ind w:left="1440" w:hanging="360"/>
      </w:pPr>
    </w:lvl>
    <w:lvl w:ilvl="2" w:tplc="DB8E6F44" w:tentative="1">
      <w:start w:val="1"/>
      <w:numFmt w:val="lowerRoman"/>
      <w:lvlText w:val="%3."/>
      <w:lvlJc w:val="right"/>
      <w:pPr>
        <w:ind w:left="2160" w:hanging="180"/>
      </w:pPr>
    </w:lvl>
    <w:lvl w:ilvl="3" w:tplc="0BF6280E" w:tentative="1">
      <w:start w:val="1"/>
      <w:numFmt w:val="decimal"/>
      <w:lvlText w:val="%4."/>
      <w:lvlJc w:val="left"/>
      <w:pPr>
        <w:ind w:left="2880" w:hanging="360"/>
      </w:pPr>
    </w:lvl>
    <w:lvl w:ilvl="4" w:tplc="02303C0A" w:tentative="1">
      <w:start w:val="1"/>
      <w:numFmt w:val="lowerLetter"/>
      <w:lvlText w:val="%5."/>
      <w:lvlJc w:val="left"/>
      <w:pPr>
        <w:ind w:left="3600" w:hanging="360"/>
      </w:pPr>
    </w:lvl>
    <w:lvl w:ilvl="5" w:tplc="C5E43552" w:tentative="1">
      <w:start w:val="1"/>
      <w:numFmt w:val="lowerRoman"/>
      <w:lvlText w:val="%6."/>
      <w:lvlJc w:val="right"/>
      <w:pPr>
        <w:ind w:left="4320" w:hanging="180"/>
      </w:pPr>
    </w:lvl>
    <w:lvl w:ilvl="6" w:tplc="121AE1F8" w:tentative="1">
      <w:start w:val="1"/>
      <w:numFmt w:val="decimal"/>
      <w:lvlText w:val="%7."/>
      <w:lvlJc w:val="left"/>
      <w:pPr>
        <w:ind w:left="5040" w:hanging="360"/>
      </w:pPr>
    </w:lvl>
    <w:lvl w:ilvl="7" w:tplc="89261372" w:tentative="1">
      <w:start w:val="1"/>
      <w:numFmt w:val="lowerLetter"/>
      <w:lvlText w:val="%8."/>
      <w:lvlJc w:val="left"/>
      <w:pPr>
        <w:ind w:left="5760" w:hanging="360"/>
      </w:pPr>
    </w:lvl>
    <w:lvl w:ilvl="8" w:tplc="3C5E748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4015C"/>
    <w:rsid w:val="000116FC"/>
    <w:rsid w:val="000401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68CE1-3211-46AA-9934-3EEFF549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