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682F01">
      <w:pPr>
        <w:pStyle w:val="Heading2"/>
      </w:pPr>
      <w:bookmarkStart w:id="0" w:name="_Toc263408272"/>
      <w:r>
        <w:t>17.1</w:t>
      </w:r>
      <w:r>
        <w:tab/>
        <w:t xml:space="preserve">LBMP Calculation </w:t>
      </w:r>
      <w:bookmarkEnd w:id="0"/>
    </w:p>
    <w:p w:rsidR="00A26C0D" w:rsidRDefault="00682F01">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682F01">
      <w:pPr>
        <w:pStyle w:val="Bodypara"/>
      </w:pPr>
      <w:r>
        <w:t>Additionally, for the purpose of calculating Real-Time LBMPs when RTD is committing and dispatching</w:t>
      </w:r>
      <w:r>
        <w:t xml:space="preserve"> Resources meeting Minimum Generation Levels and capable of starting in ten minutes pursuant to Section 4.4.3.3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682F01">
      <w:pPr>
        <w:pStyle w:val="Heading3"/>
      </w:pPr>
      <w:r>
        <w:lastRenderedPageBreak/>
        <w:t>17.1.1</w:t>
      </w:r>
      <w:r>
        <w:tab/>
        <w:t>LBMP Bus Calculation Method</w:t>
      </w:r>
    </w:p>
    <w:p w:rsidR="00A26C0D" w:rsidRDefault="00682F01">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682F01">
      <w:pPr>
        <w:pStyle w:val="Bodypara"/>
      </w:pPr>
      <w:r>
        <w:t>The LBMP at bus i can be written as:</w:t>
      </w:r>
    </w:p>
    <w:p w:rsidR="004B1951" w:rsidRDefault="00502360">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682F01">
      <w:pPr>
        <w:rPr>
          <w:iCs/>
        </w:rPr>
      </w:pPr>
    </w:p>
    <w:p w:rsidR="00A26C0D" w:rsidRDefault="00682F01">
      <w:r>
        <w:t>Where:</w:t>
      </w:r>
    </w:p>
    <w:p w:rsidR="00A26C0D" w:rsidRDefault="00682F01"/>
    <w:p w:rsidR="00A26C0D" w:rsidRDefault="00682F01">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682F01">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682F01"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682F01" w:rsidP="00E7559F">
      <w:pPr>
        <w:spacing w:after="120"/>
        <w:ind w:left="1440" w:firstLine="720"/>
      </w:pPr>
      <w:r>
        <w:t xml:space="preserve">cost of losses at bus </w:t>
      </w:r>
      <w:r w:rsidRPr="00E7559F">
        <w:rPr>
          <w:i/>
        </w:rPr>
        <w:t>i</w:t>
      </w:r>
      <w:r>
        <w:t xml:space="preserve"> relative to the Reference Bus</w:t>
      </w:r>
    </w:p>
    <w:p w:rsidR="00A26C0D" w:rsidRDefault="00502360"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682F01">
        <w:rPr>
          <w:i/>
        </w:rPr>
        <w:tab/>
        <w:t>=</w:t>
      </w:r>
      <w:r w:rsidR="00682F01">
        <w:rPr>
          <w:i/>
        </w:rPr>
        <w:tab/>
      </w:r>
      <w:r w:rsidR="00682F01">
        <w:t xml:space="preserve">Congestion Component of the LBMP at bus </w:t>
      </w:r>
      <w:r w:rsidR="00682F01" w:rsidRPr="00E7559F">
        <w:rPr>
          <w:i/>
        </w:rPr>
        <w:t>i</w:t>
      </w:r>
      <w:r w:rsidR="00682F01">
        <w:t xml:space="preserve"> which is the marginal cost of</w:t>
      </w:r>
    </w:p>
    <w:p w:rsidR="00A26C0D" w:rsidRDefault="00682F01">
      <w:pPr>
        <w:tabs>
          <w:tab w:val="left" w:pos="1152"/>
        </w:tabs>
        <w:spacing w:after="120"/>
        <w:ind w:left="1152"/>
      </w:pPr>
      <w:r>
        <w:tab/>
      </w:r>
      <w:r>
        <w:tab/>
        <w:t xml:space="preserve">Congestion at bus </w:t>
      </w:r>
      <w:r w:rsidRPr="00E7559F">
        <w:rPr>
          <w:i/>
        </w:rPr>
        <w:t>i</w:t>
      </w:r>
      <w:r>
        <w:t xml:space="preserve"> relative to the Reference Bus</w:t>
      </w:r>
    </w:p>
    <w:p w:rsidR="00A26C0D" w:rsidRDefault="00682F01">
      <w:pPr>
        <w:tabs>
          <w:tab w:val="right" w:pos="9360"/>
        </w:tabs>
      </w:pPr>
    </w:p>
    <w:p w:rsidR="00A26C0D" w:rsidRDefault="00682F01">
      <w:pPr>
        <w:pStyle w:val="Bodypara"/>
      </w:pPr>
      <w:r>
        <w:t>The Marginal Losses Component of the LBMP at any bus i is calculated</w:t>
      </w:r>
      <w:r>
        <w:t xml:space="preserve"> using</w:t>
      </w:r>
    </w:p>
    <w:p w:rsidR="00A26C0D" w:rsidRDefault="00682F01">
      <w:pPr>
        <w:pStyle w:val="Bodypara"/>
      </w:pPr>
      <w:r>
        <w:t>the equation:</w:t>
      </w:r>
    </w:p>
    <w:p w:rsidR="0071621B" w:rsidRPr="0071621B" w:rsidRDefault="00502360"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682F01" w:rsidP="000F6658">
      <w:pPr>
        <w:rPr>
          <w:vertAlign w:val="superscript"/>
        </w:rPr>
      </w:pPr>
    </w:p>
    <w:p w:rsidR="00A26C0D" w:rsidRDefault="00682F01">
      <w:pPr>
        <w:pStyle w:val="Bodypara"/>
      </w:pPr>
      <w:r>
        <w:t>Where:</w:t>
      </w:r>
    </w:p>
    <w:p w:rsidR="00A26C0D" w:rsidRDefault="00502360">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682F01">
        <w:rPr>
          <w:i/>
          <w:iCs/>
        </w:rPr>
        <w:tab/>
      </w:r>
      <w:r w:rsidR="00682F01">
        <w:rPr>
          <w:i/>
        </w:rPr>
        <w:t>=</w:t>
      </w:r>
      <w:r w:rsidR="00682F01">
        <w:tab/>
        <w:t xml:space="preserve">delivery factor for bus </w:t>
      </w:r>
      <w:r w:rsidR="00682F01" w:rsidRPr="00E7559F">
        <w:rPr>
          <w:i/>
        </w:rPr>
        <w:t>i</w:t>
      </w:r>
      <w:r w:rsidR="00682F01">
        <w:t xml:space="preserve"> to the system Reference Bus and:</w:t>
      </w:r>
    </w:p>
    <w:p w:rsidR="00A26C0D" w:rsidRDefault="00682F01">
      <w:pPr>
        <w:jc w:val="center"/>
        <w:rPr>
          <w:iCs/>
        </w:rPr>
      </w:pPr>
    </w:p>
    <w:p w:rsidR="00A060D2" w:rsidRPr="0071621B" w:rsidRDefault="00502360">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682F01">
      <w:pPr>
        <w:jc w:val="center"/>
        <w:rPr>
          <w:iCs/>
        </w:rPr>
      </w:pPr>
    </w:p>
    <w:p w:rsidR="00A26C0D" w:rsidRDefault="00682F01">
      <w:pPr>
        <w:pStyle w:val="Bodypara"/>
      </w:pPr>
      <w:r>
        <w:t>Where:</w:t>
      </w:r>
    </w:p>
    <w:p w:rsidR="00A26C0D" w:rsidRDefault="00682F01">
      <w:pPr>
        <w:pStyle w:val="equationtext"/>
      </w:pPr>
      <w:r w:rsidRPr="005C58E4">
        <w:rPr>
          <w:i/>
          <w:iCs/>
        </w:rPr>
        <w:t>L</w:t>
      </w:r>
      <w:r>
        <w:rPr>
          <w:iCs/>
        </w:rPr>
        <w:t xml:space="preserve"> </w:t>
      </w:r>
      <w:r>
        <w:rPr>
          <w:i/>
        </w:rPr>
        <w:tab/>
        <w:t>=</w:t>
      </w:r>
      <w:r>
        <w:tab/>
      </w:r>
      <w:r>
        <w:t xml:space="preserve">NYCA </w:t>
      </w:r>
      <w:r>
        <w:t>losses; and</w:t>
      </w:r>
    </w:p>
    <w:p w:rsidR="00A26C0D" w:rsidRDefault="00502360">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682F01">
        <w:rPr>
          <w:i/>
          <w:iCs/>
        </w:rPr>
        <w:tab/>
      </w:r>
      <w:r w:rsidR="00682F01">
        <w:rPr>
          <w:i/>
        </w:rPr>
        <w:t>=</w:t>
      </w:r>
      <w:r w:rsidR="00682F01">
        <w:tab/>
      </w:r>
      <w:r w:rsidR="00682F01">
        <w:rPr>
          <w:iCs/>
        </w:rPr>
        <w:t>injection</w:t>
      </w:r>
      <w:r w:rsidR="00682F01">
        <w:t xml:space="preserve"> at bus </w:t>
      </w:r>
      <w:r w:rsidR="00682F01" w:rsidRPr="005C58E4">
        <w:rPr>
          <w:i/>
        </w:rPr>
        <w:t>i</w:t>
      </w:r>
    </w:p>
    <w:p w:rsidR="00A26C0D" w:rsidRDefault="00682F01">
      <w:pPr>
        <w:jc w:val="both"/>
      </w:pPr>
    </w:p>
    <w:p w:rsidR="00A26C0D" w:rsidRDefault="00682F01">
      <w:pPr>
        <w:pStyle w:val="Bodypara"/>
      </w:pPr>
      <w:r>
        <w:t>The Congestion Component of the LBMP at bus i</w:t>
      </w:r>
      <w:r>
        <w:t xml:space="preserve"> is calculated using the equation:</w:t>
      </w:r>
    </w:p>
    <w:p w:rsidR="00A26C0D" w:rsidRDefault="00682F01">
      <w:pPr>
        <w:ind w:firstLine="720"/>
        <w:jc w:val="center"/>
      </w:pPr>
    </w:p>
    <w:p w:rsidR="0026155D" w:rsidRPr="0026155D" w:rsidRDefault="00502360">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682F01">
      <w:pPr>
        <w:ind w:firstLine="720"/>
        <w:jc w:val="center"/>
      </w:pPr>
    </w:p>
    <w:p w:rsidR="00A26C0D" w:rsidRDefault="00682F01">
      <w:pPr>
        <w:pStyle w:val="Bodypara"/>
      </w:pPr>
      <w:r>
        <w:t>Where:</w:t>
      </w:r>
    </w:p>
    <w:p w:rsidR="00A26C0D" w:rsidRDefault="00682F01">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502360"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682F01">
        <w:rPr>
          <w:i/>
          <w:iCs/>
        </w:rPr>
        <w:tab/>
      </w:r>
      <w:r w:rsidR="00682F01">
        <w:rPr>
          <w:i/>
        </w:rPr>
        <w:t>=</w:t>
      </w:r>
      <w:r w:rsidR="00682F01">
        <w:t xml:space="preserve">   </w:t>
      </w:r>
      <w:r w:rsidR="00682F01">
        <w:tab/>
        <w:t xml:space="preserve">Shift Factor for bus </w:t>
      </w:r>
      <w:r w:rsidR="00682F01" w:rsidRPr="005C58E4">
        <w:rPr>
          <w:i/>
        </w:rPr>
        <w:t>i</w:t>
      </w:r>
      <w:r w:rsidR="00682F01">
        <w:t xml:space="preserve"> on Constraint </w:t>
      </w:r>
      <w:r w:rsidR="00682F01" w:rsidRPr="005C58E4">
        <w:rPr>
          <w:i/>
        </w:rPr>
        <w:t>k</w:t>
      </w:r>
      <w:r w:rsidR="00682F01">
        <w:t xml:space="preserve"> in the pre- or post-</w:t>
      </w:r>
    </w:p>
    <w:p w:rsidR="00A26C0D" w:rsidRDefault="00682F01">
      <w:pPr>
        <w:ind w:left="2160"/>
      </w:pPr>
      <w:r>
        <w:t>Contingency case which limits flows across that Constraint (the Shift Fact</w:t>
      </w:r>
      <w:r>
        <w:t xml:space="preserve">or measures the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502360"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682F01">
        <w:rPr>
          <w:rFonts w:ascii="Symbol" w:hAnsi="Symbol"/>
          <w:i/>
          <w:iCs/>
          <w:sz w:val="32"/>
        </w:rPr>
        <w:tab/>
      </w:r>
      <w:r w:rsidR="00682F01">
        <w:t>=</w:t>
      </w:r>
      <w:r w:rsidR="00682F01">
        <w:rPr>
          <w:sz w:val="16"/>
        </w:rPr>
        <w:t xml:space="preserve">     </w:t>
      </w:r>
      <w:r w:rsidR="00682F01">
        <w:rPr>
          <w:sz w:val="16"/>
        </w:rPr>
        <w:tab/>
      </w:r>
      <w:r w:rsidR="00682F01">
        <w:t xml:space="preserve">the Shadow Price of Constraint </w:t>
      </w:r>
      <w:r w:rsidR="00682F01" w:rsidRPr="005C58E4">
        <w:rPr>
          <w:i/>
        </w:rPr>
        <w:t>k</w:t>
      </w:r>
      <w:r w:rsidR="00682F01">
        <w:t xml:space="preserve"> expres</w:t>
      </w:r>
      <w:r w:rsidR="00682F01">
        <w:t xml:space="preserve">sed in $/MWh, provided however, </w:t>
      </w:r>
    </w:p>
    <w:p w:rsidR="00A26C0D" w:rsidRDefault="00682F01" w:rsidP="005C58E4">
      <w:pPr>
        <w:ind w:left="1440" w:firstLine="720"/>
      </w:pPr>
      <w:r>
        <w:t>this Shadow Price</w:t>
      </w:r>
      <w:r>
        <w:t xml:space="preserve"> </w:t>
      </w:r>
      <w:r>
        <w:t>shall not exceed the Transmission Shortage Cost.</w:t>
      </w:r>
    </w:p>
    <w:p w:rsidR="00A26C0D" w:rsidRDefault="00682F01"/>
    <w:p w:rsidR="00A26C0D" w:rsidRDefault="00682F01">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502360">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682F01"/>
    <w:p w:rsidR="00A26C0D" w:rsidRDefault="00682F01">
      <w:pPr>
        <w:pStyle w:val="Bodypara"/>
      </w:pPr>
      <w:r>
        <w:t xml:space="preserve">LBMPs will be calculated for </w:t>
      </w:r>
      <w:r>
        <w:t>the Day-Ahead and the Real-Time Markets.  In the Day-Ahead Market, the three components of the LBMP at each location will be calculated from the SCUC results and posted for each of the twenty four (24) hours of the next day.  The Real-Time LBMPs will be ca</w:t>
      </w:r>
      <w:r>
        <w:t>lculated and posted for each execution of RTD.</w:t>
      </w:r>
    </w:p>
    <w:p w:rsidR="00364AED" w:rsidRDefault="00682F01" w:rsidP="006555CC">
      <w:pPr>
        <w:pStyle w:val="Heading4"/>
      </w:pPr>
      <w:r>
        <w:t>17.1.1.1</w:t>
      </w:r>
      <w:r>
        <w:tab/>
        <w:t>Determining Shift Factors and Incremental System Losses</w:t>
      </w:r>
    </w:p>
    <w:p w:rsidR="00364AED" w:rsidRDefault="00682F01"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w:t>
      </w:r>
      <w:r>
        <w:t xml:space="preserve">pected </w:t>
      </w:r>
      <w:r>
        <w:t xml:space="preserve">unscheduled </w:t>
      </w:r>
      <w:r>
        <w:t>power flows.</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w:t>
      </w:r>
      <w:r>
        <w:t>er flows.</w:t>
      </w:r>
    </w:p>
    <w:p w:rsidR="00D438FA" w:rsidRPr="00D438FA" w:rsidRDefault="00682F01" w:rsidP="006555CC">
      <w:pPr>
        <w:pStyle w:val="Heading4"/>
        <w:rPr>
          <w:b w:val="0"/>
        </w:rPr>
      </w:pPr>
      <w:r>
        <w:t>17.1.1.</w:t>
      </w:r>
      <w:r>
        <w:t>1.</w:t>
      </w:r>
      <w:r>
        <w:t>1</w:t>
      </w:r>
      <w:r w:rsidRPr="00D438FA">
        <w:tab/>
        <w:t>Determining Expected Unscheduled Power Flows</w:t>
      </w:r>
    </w:p>
    <w:p w:rsidR="00EE5FCD" w:rsidRDefault="00682F01"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w:t>
      </w:r>
      <w:r>
        <w:rPr>
          <w:bCs/>
        </w:rPr>
        <w:t>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w:t>
      </w:r>
      <w:r>
        <w:rPr>
          <w:bCs/>
        </w:rPr>
        <w:t>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682F01"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682F01" w:rsidP="006555CC">
      <w:pPr>
        <w:pStyle w:val="Heading4"/>
        <w:rPr>
          <w:b w:val="0"/>
        </w:rPr>
      </w:pPr>
      <w:r>
        <w:t>17.1.1.1.</w:t>
      </w:r>
      <w:r>
        <w:t>2</w:t>
      </w:r>
      <w:r w:rsidRPr="009C7200">
        <w:tab/>
        <w:t>Determining Expected Power Flows Resulting from NYISO Interchange Schedules</w:t>
      </w:r>
    </w:p>
    <w:p w:rsidR="009C7200" w:rsidRDefault="00682F01"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682F01" w:rsidP="006555CC">
      <w:pPr>
        <w:pStyle w:val="alphapara"/>
      </w:pPr>
      <w:r>
        <w:t>a.</w:t>
      </w:r>
      <w:r>
        <w:tab/>
        <w:t>Consolidated Edison Company of New York’s Day-Ahead Market hourly election under OATT Attachment CC, Schedule C;</w:t>
      </w:r>
    </w:p>
    <w:p w:rsidR="00E9199C" w:rsidRDefault="00682F01"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682F01"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682F01"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682F01" w:rsidP="00BC7612">
      <w:pPr>
        <w:pStyle w:val="Bodypara"/>
      </w:pPr>
      <w:r w:rsidRPr="002A0106">
        <w:t>The terms “ABC interface” and “JK interface” have the meaning ascribed to the</w:t>
      </w:r>
      <w:r w:rsidRPr="002A0106">
        <w:t xml:space="preserve">m in Schedule C to Attachment CC to the OATT.  </w:t>
      </w:r>
    </w:p>
    <w:p w:rsidR="00BC7612" w:rsidRDefault="00682F01"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682F01"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682F01"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682F01" w:rsidP="006555CC">
      <w:pPr>
        <w:pStyle w:val="Heading4"/>
        <w:rPr>
          <w:b w:val="0"/>
        </w:rPr>
      </w:pPr>
      <w:r>
        <w:t>17.1.1.1.3</w:t>
      </w:r>
      <w:r w:rsidRPr="00663D74">
        <w:tab/>
        <w:t>Scheduled Lines</w:t>
      </w:r>
      <w:r>
        <w:t xml:space="preserve"> and </w:t>
      </w:r>
      <w:r>
        <w:t>Chateauguay Interconnection with Hydro Quebec</w:t>
      </w:r>
    </w:p>
    <w:p w:rsidR="009C7200" w:rsidRDefault="00682F01"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Chateauguay</w:t>
      </w:r>
      <w:r>
        <w:t xml:space="preserve"> </w:t>
      </w:r>
      <w:r>
        <w:t xml:space="preserve">interconnection with </w:t>
      </w:r>
      <w:r>
        <w:t xml:space="preserve">Hydro </w:t>
      </w:r>
      <w:r>
        <w:t>Quebec,</w:t>
      </w:r>
      <w:r>
        <w:t xml:space="preserve"> in both the Day-Ahead and Real-Time Markets.  </w:t>
      </w:r>
    </w:p>
    <w:p w:rsidR="00A26C0D" w:rsidRDefault="00682F01">
      <w:pPr>
        <w:pStyle w:val="Heading3"/>
      </w:pPr>
      <w:bookmarkStart w:id="1" w:name="_Toc263408273"/>
      <w:r>
        <w:t>17.1.2</w:t>
      </w:r>
      <w:r>
        <w:tab/>
        <w:t>Real-Time LBMP Calculation Procedures</w:t>
      </w:r>
      <w:bookmarkEnd w:id="1"/>
    </w:p>
    <w:p w:rsidR="001B1869" w:rsidRPr="00F00116" w:rsidRDefault="00682F01"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682F01">
      <w:pPr>
        <w:pStyle w:val="Heading4"/>
      </w:pPr>
      <w:bookmarkStart w:id="2" w:name="_Toc263408274"/>
      <w:r>
        <w:t>17.1.2.1</w:t>
      </w:r>
      <w:r>
        <w:tab/>
        <w:t>General Procedures</w:t>
      </w:r>
      <w:bookmarkEnd w:id="2"/>
    </w:p>
    <w:p w:rsidR="00A26C0D" w:rsidRDefault="00682F01">
      <w:pPr>
        <w:pStyle w:val="Heading4"/>
      </w:pPr>
      <w:bookmarkStart w:id="3" w:name="_Toc263408275"/>
      <w:r>
        <w:t>17.1.2.1.1</w:t>
      </w:r>
      <w:r>
        <w:tab/>
        <w:t>Overview</w:t>
      </w:r>
      <w:bookmarkEnd w:id="3"/>
    </w:p>
    <w:p w:rsidR="00A26C0D" w:rsidRDefault="00682F01">
      <w:pPr>
        <w:pStyle w:val="Bodypara"/>
      </w:pPr>
      <w:r>
        <w:t>The ISO shall calculate Real-Time Market LBMPs using the three passes of each RTD run, except as noted below in Section 17.1.1.1.3.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682F01">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682F01">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682F01">
      <w:pPr>
        <w:pStyle w:val="Heading4"/>
      </w:pPr>
      <w:bookmarkStart w:id="4" w:name="_Toc263408276"/>
      <w:r>
        <w:t>17.1.2.1.2</w:t>
      </w:r>
      <w:r>
        <w:tab/>
        <w:t xml:space="preserve">Description </w:t>
      </w:r>
      <w:r>
        <w:t>of the Real-Time Dispatch Process</w:t>
      </w:r>
      <w:bookmarkEnd w:id="4"/>
    </w:p>
    <w:p w:rsidR="00A26C0D" w:rsidRDefault="00682F01">
      <w:pPr>
        <w:pStyle w:val="Heading4"/>
      </w:pPr>
      <w:bookmarkStart w:id="5" w:name="_Toc263408277"/>
      <w:r>
        <w:t>17.1.2.1.2.1</w:t>
      </w:r>
      <w:r>
        <w:tab/>
      </w:r>
      <w:r>
        <w:tab/>
      </w:r>
      <w:r>
        <w:t>The First Pass</w:t>
      </w:r>
      <w:bookmarkEnd w:id="5"/>
    </w:p>
    <w:p w:rsidR="00A26C0D" w:rsidRDefault="00682F01">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682F01">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682F01">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682F01">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682F01">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682F01">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682F01">
      <w:pPr>
        <w:pStyle w:val="Bodypara"/>
      </w:pPr>
      <w:r>
        <w:t>The RTD Base Point Signals sent to D</w:t>
      </w:r>
      <w:r>
        <w:t xml:space="preserve">ispatchable Resources shall be the same as the physical base points determined above.  </w:t>
      </w:r>
    </w:p>
    <w:p w:rsidR="00A26C0D" w:rsidRDefault="00682F01">
      <w:pPr>
        <w:pStyle w:val="Heading4"/>
      </w:pPr>
      <w:bookmarkStart w:id="7" w:name="_Toc263408279"/>
      <w:r>
        <w:t>17.1.2.1.2.1.2</w:t>
      </w:r>
      <w:r>
        <w:tab/>
        <w:t>Upper and Lower Dispatch Limits for Intermittent Power Resources That Depend on Wind as Their Fuel</w:t>
      </w:r>
      <w:bookmarkEnd w:id="7"/>
    </w:p>
    <w:p w:rsidR="00A26C0D" w:rsidRDefault="00682F01">
      <w:pPr>
        <w:pStyle w:val="Bodypara"/>
      </w:pPr>
      <w:r>
        <w:t>For all time points of the optimization period, the Lo</w:t>
      </w:r>
      <w:r>
        <w:t>wer Dispatch Limit shall be zero and the Upper Dispatch Limit shall be the Wind Energy Forecast for that Resource.  For Intermittent Power Resources depending on wind as their fuel in commercial operation as of January 1, 2002 with a name plate capacity of</w:t>
      </w:r>
      <w:r>
        <w:t xml:space="preserve"> 12 MWs or fewer, the Upper and Lower Dispatch Limits shall be the output level specified by the Wind Energy Forecast.</w:t>
      </w:r>
    </w:p>
    <w:p w:rsidR="00A26C0D" w:rsidRDefault="00682F01">
      <w:pPr>
        <w:pStyle w:val="Heading4"/>
      </w:pPr>
      <w:bookmarkStart w:id="8" w:name="_Toc263408280"/>
      <w:r>
        <w:t>17.1.2.1.2.1.3.</w:t>
      </w:r>
      <w:r>
        <w:tab/>
        <w:t>Setting Physical Basepoints for Fixed Generators</w:t>
      </w:r>
      <w:bookmarkEnd w:id="8"/>
    </w:p>
    <w:p w:rsidR="00A26C0D" w:rsidRDefault="00682F01">
      <w:pPr>
        <w:pStyle w:val="Bodypara"/>
      </w:pPr>
      <w:r>
        <w:t>When setting physical base points for Self-Committed Fixed Generators in</w:t>
      </w:r>
      <w:r>
        <w:t xml:space="preserve"> any time point, the ISO shall consider the feasibility of the Resource reaching the output levels that it specified in its self-commitment request for each time point in the RTD run given: (A) its metered output at the time that the run was initialized; a</w:t>
      </w:r>
      <w:r>
        <w:t xml:space="preserve">nd (B) its response rate.  </w:t>
      </w:r>
    </w:p>
    <w:p w:rsidR="00A26C0D" w:rsidRDefault="00682F01">
      <w:pPr>
        <w:pStyle w:val="Bodypara"/>
      </w:pPr>
      <w:r>
        <w:t>When setting physical base points for ISO-Committed Fixed Generators in any time point, the ISO shall consider the feasibility of the Resource reaching the output levels scheduled for it by RTC for each time point in the RTD run</w:t>
      </w:r>
      <w:r>
        <w:t xml:space="preserve"> given: (A) its metered output at the time that the run was initialized; and (B) its response rate.</w:t>
      </w:r>
    </w:p>
    <w:p w:rsidR="00A26C0D" w:rsidRDefault="00682F01">
      <w:pPr>
        <w:pStyle w:val="Bodypara"/>
      </w:pPr>
      <w:r>
        <w:t>The RTD Base Point Signals sent to Self-Committed Fixed Generators shall follow the quarter hour operating schedules that those Generators submitted in thei</w:t>
      </w:r>
      <w:r>
        <w:t>r real-time self-commitment requests</w:t>
      </w:r>
      <w:r>
        <w:rPr>
          <w:strike/>
        </w:rPr>
        <w:t xml:space="preserve"> </w:t>
      </w:r>
    </w:p>
    <w:p w:rsidR="00A26C0D" w:rsidRDefault="00682F01">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w:t>
      </w:r>
      <w:r>
        <w:t>possible, the ISO shall honor the response rates specified by such Generators when establishing RTD Base Point Signals.  If a Self-Committed Fixed Generator’s operating schedule is not feasible based on its real-time self-commitment requests then its RTD B</w:t>
      </w:r>
      <w:r>
        <w:t>ase Point Signals shall be determined using a response rate consistent with the operating schedule changes.</w:t>
      </w:r>
    </w:p>
    <w:p w:rsidR="00A26C0D" w:rsidRDefault="00682F01">
      <w:pPr>
        <w:pStyle w:val="Heading4"/>
      </w:pPr>
      <w:bookmarkStart w:id="9" w:name="_Toc263408281"/>
      <w:r>
        <w:t>17.1.2.1.2.2</w:t>
      </w:r>
      <w:r>
        <w:t xml:space="preserve"> </w:t>
      </w:r>
      <w:r>
        <w:tab/>
        <w:t>The Second Pass</w:t>
      </w:r>
      <w:bookmarkEnd w:id="9"/>
    </w:p>
    <w:p w:rsidR="00A26C0D" w:rsidRDefault="00682F01">
      <w:pPr>
        <w:pStyle w:val="Bodypara"/>
      </w:pPr>
      <w:r>
        <w:t xml:space="preserve">The second RTD pass consists of a least bid cost, multi-period, co-optimized dispatch for Energy, Regulation Service, </w:t>
      </w:r>
      <w:r>
        <w:t>and Operating Reserves that treats all Fixed Block Units that are committed by RTC, all Resources meeting Minimum Generation Levels and capable of starting in ten minutes that have not been committed by RTC and all units otherwise instructed to be online o</w:t>
      </w:r>
      <w:r>
        <w:t>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 shall establish “hybrid base points” (i.e., real-tim</w:t>
      </w:r>
      <w:r>
        <w:t>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 applicable, or dispatched flexibly.  The ISO will not use schedules for Energy,</w:t>
      </w:r>
      <w:r>
        <w:t xml:space="preserve"> Regulation Service and Operating Reserves established in the second pass to dispatch Resources.</w:t>
      </w:r>
    </w:p>
    <w:p w:rsidR="00A26C0D" w:rsidRDefault="00682F01">
      <w:pPr>
        <w:pStyle w:val="Bodypara"/>
      </w:pPr>
      <w:r>
        <w:t>The upper and lower dispatch limits used for ISO-Committed Fixed and Self-Committed Fixed Resources shall be the same as the physical base points calculated in</w:t>
      </w:r>
      <w:r>
        <w:t xml:space="preserve"> the first pass.</w:t>
      </w:r>
    </w:p>
    <w:p w:rsidR="00A26C0D" w:rsidRDefault="00682F01">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682F01">
      <w:pPr>
        <w:pStyle w:val="Bodypara"/>
      </w:pPr>
      <w:r>
        <w:t>The upper dispatch limit for the first time point of the second pass for a Dispatchable Res</w:t>
      </w:r>
      <w:r>
        <w:t>ource shall be the higher of: (A) its upper dispatch limit from the first pass; or (B) its “pricing base point” from the first time point of the prior RTD interval adjusted up within its Dispatchable range for any possible ramping since that pricing base p</w:t>
      </w:r>
      <w:r>
        <w:t>oint was issued less the higher of: (i) the physical base point established during the first pass of the RTD immediately prior to the previous RTD minus the Resource’s metered output level at the time that the current RTD run was initialized, or (ii) zero.</w:t>
      </w:r>
    </w:p>
    <w:p w:rsidR="00A26C0D" w:rsidRDefault="00682F01">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682F01">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682F01">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682F01">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682F01">
      <w:pPr>
        <w:pStyle w:val="Heading4"/>
      </w:pPr>
      <w:bookmarkStart w:id="12" w:name="_Toc263408284"/>
      <w:r>
        <w:t>17.1.2.1.2.3</w:t>
      </w:r>
      <w:r>
        <w:tab/>
      </w:r>
      <w:r>
        <w:t xml:space="preserve"> </w:t>
      </w:r>
      <w:r>
        <w:tab/>
      </w:r>
      <w:r>
        <w:t>The Third Pass</w:t>
      </w:r>
      <w:bookmarkEnd w:id="12"/>
    </w:p>
    <w:p w:rsidR="00A26C0D" w:rsidRDefault="00682F01" w:rsidP="00E013BF">
      <w:pPr>
        <w:pStyle w:val="Bodypara"/>
        <w:rPr>
          <w:b/>
          <w:bCs/>
        </w:rPr>
      </w:pPr>
      <w:r>
        <w:t xml:space="preserve">The third RTD pass is </w:t>
      </w:r>
      <w:r>
        <w:t>the same as the second pass with three variations.  First, the third pass treats Fixed Block Units that are committed by RTC, or are otherwise instructed to be online or remain online by the ISO that received a non-zero physical base point in the first pas</w:t>
      </w:r>
      <w:r>
        <w:t>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w:t>
      </w:r>
      <w:r>
        <w:t>culates real-time</w:t>
      </w:r>
      <w:r>
        <w:t xml:space="preserve"> </w:t>
      </w:r>
      <w:r>
        <w:t xml:space="preserve">Energy prices and </w:t>
      </w:r>
      <w:r w:rsidRPr="00E91885">
        <w:t>real-time Shadow Prices for Regulation Service and Operating Reserves that the ISO shall use for settlement purposes</w:t>
      </w:r>
      <w:r>
        <w:t xml:space="preserve"> </w:t>
      </w:r>
      <w:r>
        <w:t>pursuant to Article 4, Rate Schedule 15.3, and Rate Schedule 15.4 of this ISO Services Tariff respectiv</w:t>
      </w:r>
      <w:r>
        <w:t xml:space="preserve">ely.  The ISO shall not use schedules for Energy, Regulation Service and Operating Reserves that are established in the third pass to dispatch Resources.  </w:t>
      </w:r>
    </w:p>
    <w:p w:rsidR="00A26C0D" w:rsidRDefault="00682F01">
      <w:pPr>
        <w:pStyle w:val="Heading4"/>
      </w:pPr>
      <w:bookmarkStart w:id="13" w:name="_Toc263408285"/>
      <w:r>
        <w:t>17.1.2.1.3</w:t>
      </w:r>
      <w:r>
        <w:tab/>
        <w:t>Variations in RTD-CAM</w:t>
      </w:r>
      <w:bookmarkEnd w:id="13"/>
    </w:p>
    <w:p w:rsidR="00A26C0D" w:rsidRDefault="00682F01">
      <w:pPr>
        <w:pStyle w:val="Bodypara"/>
      </w:pPr>
      <w:r>
        <w:t>When the ISO activates RTD-CAM, the following variations to the rul</w:t>
      </w:r>
      <w:r>
        <w:t>es specified above in Sections 17.1.2.1.1 and 17.1.2.1.2 shall apply.</w:t>
      </w:r>
    </w:p>
    <w:p w:rsidR="00A26C0D" w:rsidRDefault="00682F01">
      <w:pPr>
        <w:pStyle w:val="Bodypara"/>
      </w:pPr>
      <w:r>
        <w:t xml:space="preserve">First, if the ISO enters reserve pickup mode: (i) the ISO will produce prices and schedules for a single ten minute interval  (not for a multi-point co-optimization period); (ii) the </w:t>
      </w:r>
      <w:r>
        <w:t>ISO</w:t>
      </w:r>
      <w:r>
        <w:t xml:space="preserve"> shall set </w:t>
      </w:r>
      <w:r>
        <w:t xml:space="preserve">Regulation Service </w:t>
      </w:r>
      <w:r>
        <w:t xml:space="preserve">schedules to zero </w:t>
      </w:r>
      <w:r>
        <w:t>as described in Rate Schedule 15.3 of this ISO Services Tariff; (iii) the ISO will have discretion to make additional Generator commitments before executing the three RTD passes; and (iv) the ISO will have di</w:t>
      </w:r>
      <w:r>
        <w:t>scretion to allow the RTD Base Point Signal of each Dispatchable Generator to be set to the higher of the Generator’s physical base point or its actual generation level.</w:t>
      </w:r>
    </w:p>
    <w:p w:rsidR="00A26C0D" w:rsidRDefault="00682F01">
      <w:pPr>
        <w:pStyle w:val="Bodypara"/>
      </w:pPr>
      <w:r>
        <w:t>Second, if the ISO enters maximum generation pickup mode: (i) the ISO will produce pri</w:t>
      </w:r>
      <w:r>
        <w:t>ces and schedules for a single five minute interval (not for a multi-point co-optimization period); (ii) the</w:t>
      </w:r>
      <w:r>
        <w:t xml:space="preserve"> ISO shall set</w:t>
      </w:r>
      <w:r>
        <w:t xml:space="preserve"> Regulation Service </w:t>
      </w:r>
      <w:r>
        <w:t xml:space="preserve">schedules to zero </w:t>
      </w:r>
      <w:r>
        <w:t>as described in Rate Schedule 15.3 of this ISO Services Tariff; (iii) the ISO will have discreti</w:t>
      </w:r>
      <w:r>
        <w:t>on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w:t>
      </w:r>
      <w:r>
        <w:t xml:space="preserve">ncy response rate or set it at a level equal to its physical base point.  </w:t>
      </w:r>
    </w:p>
    <w:p w:rsidR="00A26C0D" w:rsidRDefault="00682F01">
      <w:pPr>
        <w:pStyle w:val="Bodypara"/>
      </w:pPr>
      <w:r>
        <w:t>Third, if the ISO enters basepoints ASAP – no commitments mode it will produce prices and schedules for a single five minute interval (not for a multi-point co-optimization period).</w:t>
      </w:r>
    </w:p>
    <w:p w:rsidR="00A26C0D" w:rsidRDefault="00682F01">
      <w:pPr>
        <w:pStyle w:val="Bodypara"/>
      </w:pPr>
      <w:r>
        <w:t>Fourth, if the ISO enters basepoints ASAP – commit as needed mode: (i) the ISO will produce price and schedules for a single five minute interval (not for a multi-point co-optimization period); and (ii) the ISO may make additional commitments of Generator</w:t>
      </w:r>
      <w:r>
        <w:t>s that are capable of starting within ten minutes before executing the three RTD passes.</w:t>
      </w:r>
    </w:p>
    <w:p w:rsidR="00A26C0D" w:rsidRDefault="00682F01">
      <w:pPr>
        <w:pStyle w:val="Bodypara"/>
      </w:pPr>
      <w:r>
        <w:t xml:space="preserve">Fifth, and finally, if the ISO enters re-sequencing mode it will solve for a ten-minute optimization period consisting of two five-minute time points. </w:t>
      </w:r>
    </w:p>
    <w:p w:rsidR="00A26C0D" w:rsidRDefault="00682F01">
      <w:pPr>
        <w:pStyle w:val="Heading4"/>
      </w:pPr>
      <w:bookmarkStart w:id="14" w:name="_Toc263408287"/>
      <w:r>
        <w:t>17.1.2.1.4</w:t>
      </w:r>
      <w:r>
        <w:tab/>
        <w:t xml:space="preserve">The </w:t>
      </w:r>
      <w:r>
        <w:t>Real-Time Commitment (“RTC”) Process and Automated Mitigation</w:t>
      </w:r>
      <w:bookmarkEnd w:id="14"/>
    </w:p>
    <w:p w:rsidR="00A26C0D" w:rsidRDefault="00682F01">
      <w:pPr>
        <w:pStyle w:val="Bodypara"/>
      </w:pPr>
      <w:r>
        <w:t>Attachment H of this Services Tariff shall establish automated market power mitigation measures that may affect the calculation of Real-Time LBMPs.  To the extent that these measures are impleme</w:t>
      </w:r>
      <w:r>
        <w:t xml:space="preserve">nted they shall be incorporated into the RTC software through the establishment of a second, parallel, commitment evaluation that will assess the impact of the mitigation measures.  The first evaluation, referred to as the “RTC evaluation,” will determine </w:t>
      </w:r>
      <w:r>
        <w:t>the schedules and prices that would result using an original set of offers and Bids before any additional mitigation measures, the necessity for which will be considered in the RTC evaluation, are applied.  The second evaluation, referred to as the “RT-AMP</w:t>
      </w:r>
      <w:r>
        <w:t>” evaluation, will determine the schedules and prices that would result from using the original set of offers and bids as modified by any necessary mitigation measures.  Both evaluations will follow the rules governing RTC’s operation that are set forth in</w:t>
      </w:r>
      <w:r>
        <w:t xml:space="preserve"> Article 4 and this Attachment B to this ISO Services Tariff.</w:t>
      </w:r>
    </w:p>
    <w:p w:rsidR="00502360" w:rsidRDefault="00682F01" w:rsidP="0020571C">
      <w:pPr>
        <w:pStyle w:val="Bodypara"/>
      </w:pPr>
      <w:r>
        <w:t>In situations where Attachment H specifies that real-time automated mitigation measures be utilized, the ISO will perform the two parallel RTC evaluations in a manner that enables it to implemen</w:t>
      </w:r>
      <w:r>
        <w:t>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then apply the mitigation “impact” test, account for reference bid levels </w:t>
      </w:r>
      <w:r>
        <w:t>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w:t>
      </w:r>
      <w:r>
        <w:t>rated into future RTD runs).</w:t>
      </w:r>
    </w:p>
    <w:p w:rsidR="00A26C0D" w:rsidRDefault="00682F01">
      <w:pPr>
        <w:pStyle w:val="Heading3"/>
      </w:pPr>
      <w:bookmarkStart w:id="15" w:name="_Toc263408290"/>
      <w:r>
        <w:t>17.1.3</w:t>
      </w:r>
      <w:r>
        <w:tab/>
        <w:t>Day-Ahead LBMP</w:t>
      </w:r>
      <w:r>
        <w:rPr>
          <w:i/>
          <w:iCs/>
        </w:rPr>
        <w:t xml:space="preserve"> </w:t>
      </w:r>
      <w:r>
        <w:t>Calculation Procedures</w:t>
      </w:r>
      <w:bookmarkEnd w:id="15"/>
    </w:p>
    <w:p w:rsidR="00A26C0D" w:rsidRDefault="00682F01">
      <w:pPr>
        <w:pStyle w:val="Bodypara"/>
      </w:pPr>
      <w:r>
        <w:t xml:space="preserve">LBMPs in the Day-Ahead Market are calculated using five passes.  The first two passes are commitment and dispatch passes; the last three are dispatch only passes. </w:t>
      </w:r>
    </w:p>
    <w:p w:rsidR="00A26C0D" w:rsidRDefault="00682F01">
      <w:pPr>
        <w:pStyle w:val="Bodypara"/>
      </w:pPr>
      <w:r>
        <w:t>Pass 1 consists of</w:t>
      </w:r>
      <w:r>
        <w:t xml:space="preserve"> a least cost commitment and dispatch to meet Bid Load and reliable operation of the NYS Power System that includes Day-Ahead Reliability Units.</w:t>
      </w:r>
    </w:p>
    <w:p w:rsidR="00A26C0D" w:rsidRDefault="00682F01">
      <w:pPr>
        <w:pStyle w:val="Bodypara"/>
      </w:pPr>
      <w:r>
        <w:t xml:space="preserve">It consists of several steps.  Step 1A is a complete Security Constrained Unit Commitment (“SCUC”) to meet Bid </w:t>
      </w:r>
      <w:r>
        <w:t>Load.  At the end of this step, committed Fixed Block Units, Imports, Exports, Virtual Supply, Virtual Load, Demand Side Resources and non-Fixed Block Units are dispatched to meet Bid Load with Fixed Block Units treated as dispatchable on a flexible basis.</w:t>
      </w:r>
      <w:r>
        <w:t xml:space="preserve">  For mitigation purposes, LBMPs are calculated from this dispatch.  Following Step 1A, SCUC tests for automated mitigation procedure (“AMP”) activation.</w:t>
      </w:r>
    </w:p>
    <w:p w:rsidR="00A26C0D" w:rsidRDefault="00682F01">
      <w:pPr>
        <w:pStyle w:val="Bodypara"/>
      </w:pPr>
      <w:r>
        <w:t>If AMP is activated, Step 1B tests to determine if the AMP will be triggered by mitigating offer price</w:t>
      </w:r>
      <w:r>
        <w:t>s subject to mitigation that exceed the conduct threshold to their respective reference prices.  These mitigated offer prices together with all originally submitted offer prices not subject to automatic mitigation are then used to commit generation and dis</w:t>
      </w:r>
      <w:r>
        <w:t>patch energy to meet Bid Load.  This step is another iteration of the SCUC process.  At the end of Step 1B, committed Fixed Block Units, Imports, Exports, Virtual Supply, Virtual Load, Demand Side Resources, and non-Fixed Block Units are again dispatched t</w:t>
      </w:r>
      <w:r>
        <w:t>o meet Bid Load using the same mitigated or unmitigated Bids used to determine the commitment to meet Bid Load, with Fixed Block Units treated as dispatchable on a flexible basis.  For mitigation purposes, LBMPs are again calculated from this dispatch.  Th</w:t>
      </w:r>
      <w:r>
        <w:t>e LBMPs determined at the end of Step 1B are compared to the LBMPs determined at the end of Step 1A to determine the hours and zones in which the impact test is met.</w:t>
      </w:r>
    </w:p>
    <w:p w:rsidR="00A26C0D" w:rsidRDefault="00682F01">
      <w:pPr>
        <w:pStyle w:val="Bodypara"/>
      </w:pPr>
      <w:r>
        <w:t>In Step 1C, generation offer prices subject to mitigation that exceed the conduct threshol</w:t>
      </w:r>
      <w:r>
        <w:t>d are mitigated for those hours and zones in which the impact test was met in Step 1B.  The mitigated offer prices, together with the original unmitigated offer price of units whose offer prices were not subject to mitigation, or did not trigger the conduc</w:t>
      </w:r>
      <w:r>
        <w:t>t or impact thresholds, are used to commit generation and dispatch energy to meet Bid Load.  This step is also a complete iteration of the SCUC process.  At the end of Step 1C, committed Fixed Block Units, Imports, Exports, virtual supply, virtual load, De</w:t>
      </w:r>
      <w:r>
        <w:t>mand Side Resources, and non-Fixed Block Units are again dispatched to meet Bid Load, with Fixed Block Units treated as dispatchable on a flexible basis.  For mitigation purposes, LBMPs are again calculated from this dispatch.</w:t>
      </w:r>
    </w:p>
    <w:p w:rsidR="00A26C0D" w:rsidRDefault="00682F01">
      <w:pPr>
        <w:pStyle w:val="Bodypara"/>
      </w:pPr>
      <w:r>
        <w:t>All Demand Side Resources and</w:t>
      </w:r>
      <w:r>
        <w:t xml:space="preserve"> non-Fixed Block Units committed in the final step of Pass 1 (which could be either step 1A, 1B, or 1C depending on activation of and the AMP) are blocked on at least to minimum load in Passes 4 through 6.  The resources required to meet local system relia</w:t>
      </w:r>
      <w:r>
        <w:t>bility are determined in Pass 1.</w:t>
      </w:r>
    </w:p>
    <w:p w:rsidR="00A26C0D" w:rsidRDefault="00682F01">
      <w:pPr>
        <w:pStyle w:val="Bodypara"/>
      </w:pPr>
      <w:r>
        <w:t xml:space="preserve">Pass 2 consists of a least cost commitment and dispatch of Fixed Block Units, Imports, Exports, Demand Side Resources and non-Fixed Block Units to meet forecast Load requirements in excess of Bid Load, considering the Wind </w:t>
      </w:r>
      <w:r>
        <w:t>Energy Forecast, that minimizes the cost of incremental Minimum Generation and Start Up Bids, given revenues for Minimum Generation Energy based on LBMPs calculated in Pass 1, and assumes all Fixed Block Units are dispatchable on a flexible basis.  Increme</w:t>
      </w:r>
      <w:r>
        <w:t xml:space="preserve">ntal Import Capacity needed to meet forecast Load requirements is determined in Pass 2.  Fixed Block Units committed in this pass are not included in the least cost dispatches of Passes 5 or 6.  Demand Side Resources and non-Fixed Block Units committed in </w:t>
      </w:r>
      <w:r>
        <w:t>this step are blocked on at least to minimum Load in Passes 4 through 6.  Intermittent Power Resources that depend on wind as their fuel committed in this pass as a result of the consideration of the Wind Energy Forecast are not blocked in Passes 5 or 6.</w:t>
      </w:r>
    </w:p>
    <w:p w:rsidR="00A26C0D" w:rsidRDefault="00682F01">
      <w:pPr>
        <w:pStyle w:val="Bodypara"/>
      </w:pPr>
      <w:r>
        <w:t>P</w:t>
      </w:r>
      <w:r>
        <w:t>ass 3 is reserved for future use.</w:t>
      </w:r>
    </w:p>
    <w:p w:rsidR="00A26C0D" w:rsidRDefault="00682F01">
      <w:pPr>
        <w:pStyle w:val="Bodypara"/>
      </w:pPr>
      <w:r>
        <w:t>Pass 4 consists of a least cost dispatch to forecast Load.  It is not used to set schedules or prices.  It is used for operational purposes and provides a dispatch of Fixed Block Units, Imports, Exports, Demand Side Resour</w:t>
      </w:r>
      <w:r>
        <w:t>ces and non-Fixed Block Units committed in Passes 1 or 2.  Incremental Import Capacity committed in Pass 2 is re-evaluated and may be reduced if no longer required.</w:t>
      </w:r>
    </w:p>
    <w:p w:rsidR="00A26C0D" w:rsidRDefault="00682F01">
      <w:pPr>
        <w:pStyle w:val="Bodypara"/>
      </w:pPr>
      <w:r>
        <w:t>Pass 5 consists of a least cost dispatch of Fixed Block Units, Imports, Exports, Virtual Su</w:t>
      </w:r>
      <w:r>
        <w:t>pply, Virtual Load, Demand Side Resources and non-Fixed Block Units committed to meet Bid Load, based where appropriate on offer prices as mitigated in Pass 1.  Fixed Block Units are treated as dispatchable on a flexible basis.  LBMPs used to settle the Da</w:t>
      </w:r>
      <w:r>
        <w:t>y-Ahead Market are calculated from this dispatch.  The Shadow Prices used to compute Day-Ahead Market clearing prices for Regulation Service and for Operating Reserves in Rate Schedules 3 and 4 of this ISO Services Tariff are also calculated from this disp</w:t>
      </w:r>
      <w:r>
        <w:t>atch.  Final schedules for all Imports, Exports, Virtual Supply, Virtual Load, Demand Side Resources and non-Fixed Block Units in the Day-Ahead Market are calculated from this dispatch.</w:t>
      </w:r>
    </w:p>
    <w:p w:rsidR="00A26C0D" w:rsidRDefault="00682F01">
      <w:pPr>
        <w:pStyle w:val="Bodypara"/>
      </w:pPr>
      <w:r>
        <w:t>Pass 6 consists of a least cost dispatch of all Day-Ahead committed Resources, Imports, Exports, Virtual Supply, Virtual Load, based where appropriate on offer prices as mitigated in Pass 1, with the schedules of all Fixed Block Units committed in the fina</w:t>
      </w:r>
      <w:r>
        <w:t>l step of Pass 1 blocked on at maximum Capacity.  Final schedules for Fixed Block Units in the Day-Ahead Market are calculated from this dispatch.</w:t>
      </w:r>
    </w:p>
    <w:p w:rsidR="00A26C0D" w:rsidRDefault="00682F01">
      <w:pPr>
        <w:pStyle w:val="Heading3"/>
      </w:pPr>
      <w:bookmarkStart w:id="16" w:name="_Toc263408292"/>
      <w:r>
        <w:t>17.1.4</w:t>
      </w:r>
      <w:r>
        <w:tab/>
        <w:t>Determination of Transmission Shortage Cost</w:t>
      </w:r>
      <w:bookmarkEnd w:id="16"/>
    </w:p>
    <w:p w:rsidR="00A26C0D" w:rsidRDefault="00682F01">
      <w:pPr>
        <w:pStyle w:val="Bodypara"/>
      </w:pPr>
      <w:r>
        <w:t>The Transmission Shortage Cost</w:t>
      </w:r>
      <w:r>
        <w:t>s</w:t>
      </w:r>
      <w:r>
        <w:t xml:space="preserve"> represent the limit</w:t>
      </w:r>
      <w:r>
        <w:t>s</w:t>
      </w:r>
      <w:r>
        <w:t xml:space="preserve"> on sy</w:t>
      </w:r>
      <w:r>
        <w:t>stem costs associated with efficient dispatch to meet a particular Constraint.  It is the maximum Shadow Price that will be used in calculating LBMPs</w:t>
      </w:r>
      <w:r>
        <w:t xml:space="preserve"> under various levels of relaxation</w:t>
      </w:r>
      <w:r>
        <w:t xml:space="preserve">.  </w:t>
      </w:r>
    </w:p>
    <w:p w:rsidR="00A26C0D" w:rsidRDefault="00682F01">
      <w:pPr>
        <w:pStyle w:val="Bodypara"/>
      </w:pPr>
      <w:r>
        <w:t>The ISO may periodically evaluate the Transmission Shortage Cost</w:t>
      </w:r>
      <w:r>
        <w:t>s</w:t>
      </w:r>
      <w:r>
        <w:t xml:space="preserve"> to</w:t>
      </w:r>
      <w:r>
        <w:t xml:space="preserve"> determine whether it is necessary to modify the Transmission Shortage Cost</w:t>
      </w:r>
      <w:r>
        <w:t>s</w:t>
      </w:r>
      <w:r>
        <w:t xml:space="preserve"> to avoid future operational or reliability problems.  The ISO will consult with its Market Monitoring Unit after it conducts this evaluation.  If the ISO determines that it is nec</w:t>
      </w:r>
      <w:r>
        <w:t>essary to modify the Transmission Shortage Cost</w:t>
      </w:r>
      <w:r>
        <w:t>s</w:t>
      </w:r>
      <w:r>
        <w:t xml:space="preserve"> in order to avoid future operational or reliability problems the resolution of which would otherwise require recurring operator intervention outside normal market scheduling procedures, in order to avoid amo</w:t>
      </w:r>
      <w:r>
        <w:t xml:space="preserve">ng other reliability issues, a violation of NERC Interconnection Reliability Operating Limits or System Operating Limits, it may temporarily modify it for a period of up to ninety days, provided however the NYISO shall file such change with the Commission </w:t>
      </w:r>
      <w:r>
        <w:t>pursuant to Section 205 of the Federal Power Act within 45 days of such modification.  If circumstances reasonably allow, the ISO will consult with its Market Monitoring Unit, the Business Issues Committee, the Commission, and the PSC before implementing a</w:t>
      </w:r>
      <w:r>
        <w:t>ny such modification.  In all circumstances, the ISO will consult with those entities as soon as reasonably possible after implementing a temporary modification and shall explain the reasons for the change.</w:t>
      </w:r>
    </w:p>
    <w:p w:rsidR="00A26C0D" w:rsidRDefault="00682F01">
      <w:pPr>
        <w:pStyle w:val="Bodypara"/>
      </w:pPr>
      <w:r>
        <w:t>The responsibilities of the ISO and the Market Mo</w:t>
      </w:r>
      <w:r>
        <w:t>nitoring Unit in evaluating and modifying the Transmission Shortage Cost</w:t>
      </w:r>
      <w:r>
        <w:t>s</w:t>
      </w:r>
      <w:r>
        <w:t>, as necessary are addressed in Attachment O, Section 30.4.6.8.1 of this Market Services Tariff (“Market Monitoring Plan”).</w:t>
      </w:r>
    </w:p>
    <w:p w:rsidR="00A26C0D" w:rsidRDefault="00682F01">
      <w:pPr>
        <w:pStyle w:val="Heading3"/>
      </w:pPr>
      <w:bookmarkStart w:id="17" w:name="_Toc263408293"/>
      <w:r>
        <w:t>17.1.5</w:t>
      </w:r>
      <w:r>
        <w:tab/>
        <w:t>Zonal LBMP Calculation Method</w:t>
      </w:r>
      <w:bookmarkEnd w:id="17"/>
    </w:p>
    <w:p w:rsidR="00A26C0D" w:rsidRDefault="00682F01">
      <w:pPr>
        <w:pStyle w:val="Bodypara"/>
      </w:pPr>
      <w:r>
        <w:t>The computation descri</w:t>
      </w:r>
      <w:r>
        <w:t>bed in Section 17.1.1 of this Attachment B is at the bus level.  An eleven (11) zone model will be used for the LBMP billing related to Loads.  The LBMP for a zone will be a Load weighted average of the Load bus LBMPs in the Load Zone.  The Load weights wh</w:t>
      </w:r>
      <w:r>
        <w:t xml:space="preserve">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502360">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682F01">
      <w:r>
        <w:t xml:space="preserve">where: </w:t>
      </w:r>
    </w:p>
    <w:p w:rsidR="00796C02" w:rsidRDefault="00682F01"/>
    <w:tbl>
      <w:tblPr>
        <w:tblStyle w:val="TableGrid"/>
        <w:tblW w:w="0" w:type="auto"/>
        <w:jc w:val="center"/>
        <w:tblBorders>
          <w:top w:val="nil"/>
          <w:left w:val="nil"/>
          <w:bottom w:val="nil"/>
          <w:right w:val="nil"/>
          <w:insideH w:val="nil"/>
          <w:insideV w:val="nil"/>
        </w:tblBorders>
        <w:tblLook w:val="04A0"/>
      </w:tblPr>
      <w:tblGrid>
        <w:gridCol w:w="2298"/>
        <w:gridCol w:w="6120"/>
      </w:tblGrid>
      <w:tr w:rsidR="00502360" w:rsidTr="006627F5">
        <w:trPr>
          <w:trHeight w:val="423"/>
          <w:jc w:val="center"/>
        </w:trPr>
        <w:tc>
          <w:tcPr>
            <w:tcW w:w="2298" w:type="dxa"/>
          </w:tcPr>
          <w:p w:rsidR="00796C02" w:rsidRDefault="00502360"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682F01">
              <w:t xml:space="preserve"> =</w:t>
            </w:r>
          </w:p>
        </w:tc>
        <w:tc>
          <w:tcPr>
            <w:tcW w:w="6120" w:type="dxa"/>
          </w:tcPr>
          <w:p w:rsidR="00796C02" w:rsidRDefault="00682F01" w:rsidP="006627F5">
            <w:r w:rsidRPr="00796C02">
              <w:t>LBMP for zone j,</w:t>
            </w:r>
          </w:p>
        </w:tc>
      </w:tr>
      <w:tr w:rsidR="00502360" w:rsidTr="006627F5">
        <w:trPr>
          <w:trHeight w:val="990"/>
          <w:jc w:val="center"/>
        </w:trPr>
        <w:tc>
          <w:tcPr>
            <w:tcW w:w="2298" w:type="dxa"/>
          </w:tcPr>
          <w:p w:rsidR="00796C02" w:rsidRDefault="00502360"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682F01" w:rsidP="006627F5">
            <w:r w:rsidRPr="00796C02">
              <w:t>is the Marginal Losses Component of the LBMP for zone j</w:t>
            </w:r>
            <w:r>
              <w:t>;</w:t>
            </w:r>
          </w:p>
        </w:tc>
      </w:tr>
      <w:tr w:rsidR="00502360" w:rsidTr="006627F5">
        <w:trPr>
          <w:trHeight w:val="801"/>
          <w:jc w:val="center"/>
        </w:trPr>
        <w:tc>
          <w:tcPr>
            <w:tcW w:w="2298" w:type="dxa"/>
          </w:tcPr>
          <w:p w:rsidR="00796C02" w:rsidRDefault="00502360"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682F01" w:rsidP="006627F5">
            <w:r w:rsidRPr="00796C02">
              <w:t>is the Congestion Component of the LBMP for zone j;</w:t>
            </w:r>
          </w:p>
        </w:tc>
      </w:tr>
      <w:tr w:rsidR="00502360" w:rsidTr="006627F5">
        <w:trPr>
          <w:trHeight w:val="819"/>
          <w:jc w:val="center"/>
        </w:trPr>
        <w:tc>
          <w:tcPr>
            <w:tcW w:w="2298" w:type="dxa"/>
          </w:tcPr>
          <w:p w:rsidR="00796C02" w:rsidRPr="00796C02" w:rsidRDefault="00682F01" w:rsidP="00796C02">
            <w:pPr>
              <w:rPr>
                <w:i/>
              </w:rPr>
            </w:pPr>
            <w:r>
              <w:rPr>
                <w:i/>
              </w:rPr>
              <w:t>n =</w:t>
            </w:r>
          </w:p>
        </w:tc>
        <w:tc>
          <w:tcPr>
            <w:tcW w:w="6120" w:type="dxa"/>
          </w:tcPr>
          <w:p w:rsidR="00796C02" w:rsidRDefault="00682F01" w:rsidP="006627F5">
            <w:r w:rsidRPr="00796C02">
              <w:t xml:space="preserve">number of Load buses in zone </w:t>
            </w:r>
            <w:r w:rsidRPr="00796C02">
              <w:t>j for which LBMPs are calculated; and</w:t>
            </w:r>
          </w:p>
        </w:tc>
      </w:tr>
      <w:tr w:rsidR="00502360" w:rsidTr="006627F5">
        <w:trPr>
          <w:jc w:val="center"/>
        </w:trPr>
        <w:tc>
          <w:tcPr>
            <w:tcW w:w="2298" w:type="dxa"/>
          </w:tcPr>
          <w:p w:rsidR="00796C02" w:rsidRDefault="00502360"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682F01" w:rsidP="006627F5">
            <w:r>
              <w:t>Load weighting factor for bus i.</w:t>
            </w:r>
          </w:p>
        </w:tc>
      </w:tr>
    </w:tbl>
    <w:p w:rsidR="00796C02" w:rsidRDefault="00682F01"/>
    <w:p w:rsidR="0002682A" w:rsidRDefault="00682F01" w:rsidP="00A26C0D">
      <w:pPr>
        <w:pStyle w:val="Bodypara"/>
      </w:pPr>
      <w:r w:rsidRPr="007E1842">
        <w:t xml:space="preserve">The NYISO also calculates and posts zonal LBMP for four (4) external zones for informational purposes only.  Settlements for External Transactions are determined using the </w:t>
      </w:r>
      <w:r w:rsidRPr="007E1842">
        <w:t>Proxy Generator Bus LBMP. Each external zonal LBMP is equal to the LBMP of the Proxy Generator Bus associated with that external zone.  The table below identifies which Proxy Generator Bus LBMP is used to determine each of the posted external zonal LBMPs.</w:t>
      </w:r>
    </w:p>
    <w:p w:rsidR="0002682A" w:rsidRDefault="00682F01">
      <w:r>
        <w:br w:type="page"/>
      </w:r>
    </w:p>
    <w:p w:rsidR="00A26C0D" w:rsidRPr="007E1842" w:rsidRDefault="00682F01" w:rsidP="00A26C0D">
      <w:pPr>
        <w:pStyle w:val="Bodypara"/>
      </w:pPr>
    </w:p>
    <w:tbl>
      <w:tblPr>
        <w:tblW w:w="8243" w:type="dxa"/>
        <w:jc w:val="center"/>
        <w:tblInd w:w="78" w:type="dxa"/>
        <w:tblLayout w:type="fixed"/>
        <w:tblLook w:val="0000"/>
      </w:tblPr>
      <w:tblGrid>
        <w:gridCol w:w="1185"/>
        <w:gridCol w:w="1710"/>
        <w:gridCol w:w="3027"/>
        <w:gridCol w:w="2321"/>
      </w:tblGrid>
      <w:tr w:rsidR="00502360"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682F01"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682F01"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682F01"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682F01"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502360"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682F01"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682F0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682F01"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682F0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502360"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682F0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682F0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682F01"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682F0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502360"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682F01"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682F0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682F01"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682F0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502360"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682F0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682F0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682F01"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682F0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682F01" w:rsidP="00A26C0D">
      <w:pPr>
        <w:pStyle w:val="Bodypara"/>
      </w:pPr>
    </w:p>
    <w:p w:rsidR="00A26C0D" w:rsidRPr="007E1842" w:rsidRDefault="00682F01"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682F01">
      <w:pPr>
        <w:pStyle w:val="Heading3"/>
        <w:rPr>
          <w:i/>
          <w:iCs/>
        </w:rPr>
      </w:pPr>
      <w:bookmarkStart w:id="18" w:name="_Toc263408294"/>
      <w:r>
        <w:t>17.1.6</w:t>
      </w:r>
      <w:r>
        <w:tab/>
        <w:t>Real Time LBMP Calculation Methods for Proxy Generator Buses, Non-Competitive Proxy Generator Buses and Proxy Generator Buses Associated wi</w:t>
      </w:r>
      <w:r>
        <w:t>th Designated Scheduled Lines</w:t>
      </w:r>
      <w:bookmarkEnd w:id="18"/>
    </w:p>
    <w:p w:rsidR="00A26C0D" w:rsidRDefault="00682F01">
      <w:pPr>
        <w:pStyle w:val="Heading4"/>
      </w:pPr>
      <w:bookmarkStart w:id="19" w:name="_Toc263408295"/>
      <w:r>
        <w:t>17.1.6.1</w:t>
      </w:r>
      <w:r>
        <w:tab/>
        <w:t>Definitions</w:t>
      </w:r>
    </w:p>
    <w:p w:rsidR="00A26C0D" w:rsidRDefault="00682F01">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682F01">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682F01">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682F01">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682F01"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682F01"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682F01">
      <w:pPr>
        <w:pStyle w:val="Definition"/>
      </w:pPr>
      <w:r>
        <w:rPr>
          <w:b/>
        </w:rPr>
        <w:t xml:space="preserve">Unconstrained RTD LBMP:  </w:t>
      </w:r>
      <w:r>
        <w:t xml:space="preserve">The LBMP as calculated </w:t>
      </w:r>
      <w:r>
        <w:t>by RTD less any congestion associated with a Proxy Generator Bus Constraint.</w:t>
      </w:r>
    </w:p>
    <w:p w:rsidR="00A26C0D" w:rsidRDefault="00682F01">
      <w:pPr>
        <w:pStyle w:val="Heading4"/>
      </w:pPr>
      <w:r>
        <w:t>17.1.6.2</w:t>
      </w:r>
      <w:r>
        <w:tab/>
        <w:t>General Rules</w:t>
      </w:r>
      <w:bookmarkEnd w:id="19"/>
    </w:p>
    <w:p w:rsidR="00A26C0D" w:rsidRDefault="00682F01">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w:t>
      </w:r>
      <w:r>
        <w:t xml:space="preserv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682F01" w:rsidP="00A26C0D">
      <w:pPr>
        <w:pStyle w:val="Bodypara"/>
      </w:pPr>
      <w:r>
        <w:t>The Generator and Load locations for</w:t>
      </w:r>
      <w:r>
        <w:t xml:space="preserve"> which LBMPs will be calculated will initially be limited to a pre-defined set of Proxy Generator Buses.  LBMPs will be calculated for each Proxy Generator Bus within this limited set.  When an Interface with multiple Proxy Generator Buses is constrained, </w:t>
      </w:r>
      <w:r>
        <w:t>the ISO will apply the constraint to all of the Proxy Generator Buses located at that Interface. Except as set forth in Sections 17.1.6.3 and 17.1.6.4, the NYISO will calculate the three components of LBMP for Transactions at a Proxy Generator Bus as provi</w:t>
      </w:r>
      <w:r>
        <w:t>ded in the  tables below.</w:t>
      </w:r>
    </w:p>
    <w:p w:rsidR="000F1E82" w:rsidRDefault="00682F01" w:rsidP="00A26C0D">
      <w:pPr>
        <w:pStyle w:val="Bodypara"/>
      </w:pPr>
      <w:r>
        <w:t>When determining the External Interface Congestion, if any, to apply to determine the LBMP for RTD intervals that bridge two RTC intervals, the NYISO shall use the External Interface Congestion associated with the second (later) R</w:t>
      </w:r>
      <w:r>
        <w:t>TC interval.</w:t>
      </w:r>
    </w:p>
    <w:p w:rsidR="00A26C0D" w:rsidRPr="00A26C0D" w:rsidRDefault="00682F01" w:rsidP="00A26C0D">
      <w:pPr>
        <w:pStyle w:val="Heading4"/>
      </w:pPr>
      <w:r w:rsidRPr="00A26C0D">
        <w:t>17.1.6.2.1</w:t>
      </w:r>
      <w:r w:rsidRPr="00A26C0D">
        <w:tab/>
        <w:t xml:space="preserve">Pricing rules for Dynamically Scheduled Proxy Generator Buses </w:t>
      </w:r>
    </w:p>
    <w:p w:rsidR="00A26C0D" w:rsidRDefault="00682F01" w:rsidP="00611C21">
      <w:pPr>
        <w:pStyle w:val="Bodypara"/>
      </w:pPr>
      <w:r>
        <w:t>The pricing rules for Dynamically Scheduled Proxy Generator Buses</w:t>
      </w:r>
      <w:r>
        <w:t xml:space="preserve"> </w:t>
      </w:r>
      <w:r>
        <w:t xml:space="preserve">are </w:t>
      </w:r>
      <w:r>
        <w:t>to be determined</w:t>
      </w:r>
      <w:r>
        <w:t>.</w:t>
      </w:r>
    </w:p>
    <w:p w:rsidR="00A26C0D" w:rsidRPr="007E1842" w:rsidRDefault="00682F01" w:rsidP="00A26C0D">
      <w:pPr>
        <w:pStyle w:val="Heading4"/>
      </w:pPr>
      <w:r w:rsidRPr="007E1842">
        <w:t>17.1.6.2.2</w:t>
      </w:r>
      <w:r w:rsidRPr="007E1842">
        <w:tab/>
        <w:t>Pricing rules for Variably Scheduled Proxy Generator Buses</w:t>
      </w:r>
    </w:p>
    <w:p w:rsidR="00A26C0D" w:rsidRDefault="00682F01">
      <w:pPr>
        <w:pStyle w:val="Bodypara"/>
      </w:pPr>
      <w:r>
        <w:t>The pricing</w:t>
      </w:r>
      <w:r>
        <w:t xml:space="preserve">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502360"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682F01"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682F01"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682F01"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682F01"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682F01"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502360"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682F01">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682F01">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682F01">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682F01"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502360"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682F01">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682F01">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682F01">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682F01">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682F01">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682F01"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682F01">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502360" w:rsidTr="00D6122C">
        <w:trPr>
          <w:cantSplit/>
          <w:trHeight w:val="998"/>
          <w:tblHeader/>
        </w:trPr>
        <w:tc>
          <w:tcPr>
            <w:tcW w:w="630" w:type="dxa"/>
            <w:shd w:val="clear" w:color="auto" w:fill="D9D9D9"/>
            <w:vAlign w:val="center"/>
          </w:tcPr>
          <w:p w:rsidR="00A26C0D" w:rsidRPr="00D6122C" w:rsidRDefault="00682F01"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682F01"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682F01"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682F01"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682F01"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502360" w:rsidTr="00D6122C">
        <w:trPr>
          <w:cantSplit/>
          <w:trHeight w:val="552"/>
        </w:trPr>
        <w:tc>
          <w:tcPr>
            <w:tcW w:w="630" w:type="dxa"/>
          </w:tcPr>
          <w:p w:rsidR="00651186" w:rsidRPr="00D6122C" w:rsidRDefault="00682F01">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682F01">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682F01">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682F01">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502360" w:rsidTr="00D6122C">
        <w:trPr>
          <w:cantSplit/>
          <w:trHeight w:val="499"/>
        </w:trPr>
        <w:tc>
          <w:tcPr>
            <w:tcW w:w="630" w:type="dxa"/>
          </w:tcPr>
          <w:p w:rsidR="00651186" w:rsidRPr="00D6122C" w:rsidRDefault="00682F01">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682F01">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682F01">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682F01">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682F01">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w:t>
            </w:r>
            <w:r w:rsidRPr="00D6122C">
              <w:rPr>
                <w:sz w:val="20"/>
                <w:szCs w:val="20"/>
              </w:rPr>
              <w:t>Congestion</w:t>
            </w:r>
            <w:r w:rsidRPr="00D6122C">
              <w:rPr>
                <w:sz w:val="20"/>
                <w:szCs w:val="20"/>
                <w:vertAlign w:val="subscript"/>
              </w:rPr>
              <w:t>a</w:t>
            </w:r>
          </w:p>
        </w:tc>
      </w:tr>
    </w:tbl>
    <w:p w:rsidR="00A26C0D" w:rsidRDefault="00682F01">
      <w:pPr>
        <w:pStyle w:val="Heading4"/>
      </w:pPr>
      <w:bookmarkStart w:id="20" w:name="_Toc263408296"/>
      <w:r>
        <w:t>17.1.6.</w:t>
      </w:r>
      <w:r>
        <w:rPr>
          <w:iCs/>
        </w:rPr>
        <w:t>3</w:t>
      </w:r>
      <w:r>
        <w:rPr>
          <w:i/>
          <w:iCs/>
        </w:rPr>
        <w:tab/>
      </w:r>
      <w:r>
        <w:t>Rules</w:t>
      </w:r>
      <w:r>
        <w:rPr>
          <w:i/>
          <w:iCs/>
        </w:rPr>
        <w:t xml:space="preserve"> </w:t>
      </w:r>
      <w:r>
        <w:t>for Non-Competitive Proxy Generator Buses</w:t>
      </w:r>
      <w:bookmarkEnd w:id="20"/>
      <w:r>
        <w:t xml:space="preserve"> and Associated Interfaces</w:t>
      </w:r>
    </w:p>
    <w:p w:rsidR="00A26C0D" w:rsidRDefault="00682F01">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682F01" w:rsidP="00021DFF">
      <w:pPr>
        <w:pStyle w:val="Heading4"/>
      </w:pPr>
      <w:r w:rsidRPr="007E1842">
        <w:t>17.1.6.3.1</w:t>
      </w:r>
      <w:r w:rsidRPr="007E1842">
        <w:tab/>
        <w:t xml:space="preserve">Pricing rules for Non-Competitive, Dynamically Scheduled Proxy Generator Buses </w:t>
      </w:r>
    </w:p>
    <w:p w:rsidR="00A26C0D" w:rsidRDefault="00682F01">
      <w:pPr>
        <w:pStyle w:val="Bodypara"/>
      </w:pPr>
      <w:r>
        <w:t xml:space="preserve">The pricing rules for Non-Competitive, Dynamically Scheduled Proxy Generator Buses are </w:t>
      </w:r>
      <w:r>
        <w:t>to be determined</w:t>
      </w:r>
      <w:r>
        <w:t>.</w:t>
      </w:r>
    </w:p>
    <w:p w:rsidR="00021DFF" w:rsidRPr="007E1842" w:rsidRDefault="00682F01" w:rsidP="00021DFF">
      <w:pPr>
        <w:pStyle w:val="Heading4"/>
      </w:pPr>
      <w:r w:rsidRPr="007E1842">
        <w:t>17.1.6.3.2</w:t>
      </w:r>
      <w:r w:rsidRPr="007E1842">
        <w:tab/>
        <w:t>Pri</w:t>
      </w:r>
      <w:r w:rsidRPr="007E1842">
        <w:t xml:space="preserve">cing rules for Non-Competitive, Variably Scheduled Proxy Generator Buses </w:t>
      </w:r>
    </w:p>
    <w:p w:rsidR="00A26C0D" w:rsidRDefault="00682F01">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502360" w:rsidTr="00DF0820">
        <w:trPr>
          <w:cantSplit/>
          <w:trHeight w:val="903"/>
          <w:tblHeader/>
        </w:trPr>
        <w:tc>
          <w:tcPr>
            <w:tcW w:w="660" w:type="dxa"/>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682F01"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02360" w:rsidTr="00DF0820">
        <w:trPr>
          <w:cantSplit/>
          <w:trHeight w:val="525"/>
          <w:tblHeader/>
        </w:trPr>
        <w:tc>
          <w:tcPr>
            <w:tcW w:w="660" w:type="dxa"/>
          </w:tcPr>
          <w:p w:rsidR="00E31BB2" w:rsidRPr="00DF0820" w:rsidRDefault="00682F01">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682F01">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682F01">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682F01">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02360" w:rsidTr="00DF0820">
        <w:trPr>
          <w:cantSplit/>
          <w:trHeight w:val="1065"/>
          <w:tblHeader/>
        </w:trPr>
        <w:tc>
          <w:tcPr>
            <w:tcW w:w="660" w:type="dxa"/>
          </w:tcPr>
          <w:p w:rsidR="00651186" w:rsidRPr="00DF0820" w:rsidRDefault="00682F01">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682F01">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682F01">
            <w:pPr>
              <w:autoSpaceDE w:val="0"/>
              <w:autoSpaceDN w:val="0"/>
              <w:adjustRightInd w:val="0"/>
              <w:rPr>
                <w:color w:val="000000"/>
                <w:sz w:val="20"/>
                <w:szCs w:val="20"/>
              </w:rPr>
            </w:pPr>
            <w:r w:rsidRPr="00DF0820">
              <w:rPr>
                <w:color w:val="000000"/>
                <w:sz w:val="20"/>
                <w:szCs w:val="20"/>
              </w:rPr>
              <w:t>Into NYCA</w:t>
            </w:r>
          </w:p>
          <w:p w:rsidR="00A26C0D" w:rsidRPr="00DF0820" w:rsidRDefault="00682F01">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682F01">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682F01">
            <w:pPr>
              <w:autoSpaceDE w:val="0"/>
              <w:autoSpaceDN w:val="0"/>
              <w:adjustRightInd w:val="0"/>
              <w:rPr>
                <w:color w:val="000000"/>
                <w:sz w:val="20"/>
                <w:szCs w:val="20"/>
              </w:rPr>
            </w:pPr>
          </w:p>
          <w:p w:rsidR="00651186" w:rsidRPr="00DF0820" w:rsidRDefault="00682F0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02360" w:rsidTr="00DF0820">
        <w:trPr>
          <w:cantSplit/>
          <w:trHeight w:val="975"/>
          <w:tblHeader/>
        </w:trPr>
        <w:tc>
          <w:tcPr>
            <w:tcW w:w="660" w:type="dxa"/>
          </w:tcPr>
          <w:p w:rsidR="00651186" w:rsidRPr="00DF0820" w:rsidRDefault="00682F01">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682F01">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682F01">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682F01"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682F01">
            <w:pPr>
              <w:autoSpaceDE w:val="0"/>
              <w:autoSpaceDN w:val="0"/>
              <w:adjustRightInd w:val="0"/>
              <w:rPr>
                <w:sz w:val="20"/>
                <w:szCs w:val="20"/>
              </w:rPr>
            </w:pPr>
          </w:p>
          <w:p w:rsidR="00651186" w:rsidRPr="00DF0820" w:rsidRDefault="00682F0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682F01"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682F01">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682F01">
      <w:r>
        <w:br w:type="page"/>
      </w:r>
    </w:p>
    <w:tbl>
      <w:tblPr>
        <w:tblW w:w="9390" w:type="dxa"/>
        <w:tblInd w:w="78" w:type="dxa"/>
        <w:tblLayout w:type="fixed"/>
        <w:tblLook w:val="0000"/>
      </w:tblPr>
      <w:tblGrid>
        <w:gridCol w:w="660"/>
        <w:gridCol w:w="3780"/>
        <w:gridCol w:w="1890"/>
        <w:gridCol w:w="3060"/>
      </w:tblGrid>
      <w:tr w:rsidR="00502360"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682F01"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02360"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682F01">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682F01">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682F01">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682F01">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02360"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682F01">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682F01">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682F01">
            <w:pPr>
              <w:autoSpaceDE w:val="0"/>
              <w:autoSpaceDN w:val="0"/>
              <w:adjustRightInd w:val="0"/>
              <w:rPr>
                <w:color w:val="000000"/>
                <w:sz w:val="20"/>
                <w:szCs w:val="20"/>
              </w:rPr>
            </w:pPr>
            <w:r w:rsidRPr="00DF0820">
              <w:rPr>
                <w:color w:val="000000"/>
                <w:sz w:val="20"/>
                <w:szCs w:val="20"/>
              </w:rPr>
              <w:t>Into NYCA</w:t>
            </w:r>
          </w:p>
          <w:p w:rsidR="00A26C0D" w:rsidRPr="00DF0820" w:rsidRDefault="00682F01">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682F01"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682F01">
            <w:pPr>
              <w:autoSpaceDE w:val="0"/>
              <w:autoSpaceDN w:val="0"/>
              <w:adjustRightInd w:val="0"/>
              <w:rPr>
                <w:sz w:val="20"/>
                <w:szCs w:val="20"/>
              </w:rPr>
            </w:pPr>
          </w:p>
          <w:p w:rsidR="00651186" w:rsidRPr="00DF0820" w:rsidRDefault="00682F0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02360"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682F01">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682F01">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682F01">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682F01"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682F01">
            <w:pPr>
              <w:autoSpaceDE w:val="0"/>
              <w:autoSpaceDN w:val="0"/>
              <w:adjustRightInd w:val="0"/>
              <w:rPr>
                <w:sz w:val="20"/>
                <w:szCs w:val="20"/>
              </w:rPr>
            </w:pPr>
          </w:p>
          <w:p w:rsidR="00651186" w:rsidRPr="00DF0820" w:rsidRDefault="00682F0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w:t>
            </w:r>
            <w:r w:rsidRPr="00DF0820">
              <w:rPr>
                <w:sz w:val="20"/>
                <w:szCs w:val="20"/>
              </w:rPr>
              <w:t>LBMP</w:t>
            </w:r>
            <w:r w:rsidRPr="00DF0820">
              <w:rPr>
                <w:sz w:val="20"/>
                <w:szCs w:val="20"/>
                <w:vertAlign w:val="subscript"/>
              </w:rPr>
              <w:t>a</w:t>
            </w:r>
            <w:r w:rsidRPr="00DF0820">
              <w:rPr>
                <w:color w:val="000000"/>
                <w:sz w:val="20"/>
                <w:szCs w:val="20"/>
              </w:rPr>
              <w:t xml:space="preserve"> </w:t>
            </w:r>
          </w:p>
        </w:tc>
      </w:tr>
    </w:tbl>
    <w:p w:rsidR="00A26C0D" w:rsidRDefault="00682F01">
      <w:pPr>
        <w:pStyle w:val="Heading4"/>
      </w:pPr>
      <w:bookmarkStart w:id="21" w:name="_Toc263408297"/>
      <w:r>
        <w:t>17.1.6.4</w:t>
      </w:r>
      <w:r>
        <w:tab/>
        <w:t>Special Pricing Rules for Proxy Generator Buses Associated with Designated Scheduled Lines</w:t>
      </w:r>
      <w:bookmarkEnd w:id="21"/>
    </w:p>
    <w:p w:rsidR="00A26C0D" w:rsidRDefault="00682F01">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682F01"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682F01">
      <w:pPr>
        <w:pStyle w:val="Bodypara"/>
      </w:pPr>
      <w:r>
        <w:t xml:space="preserve">The pricing rules for Dynamically Scheduled Proxy Generator Buses that are associated with designated Scheduled Lines are </w:t>
      </w:r>
      <w:r>
        <w:t>to be determined</w:t>
      </w:r>
      <w:r>
        <w:t>.</w:t>
      </w:r>
    </w:p>
    <w:p w:rsidR="00021DFF" w:rsidRPr="007E1842" w:rsidRDefault="00682F01"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682F01">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502360" w:rsidTr="00DF0820">
        <w:trPr>
          <w:cantSplit/>
          <w:trHeight w:val="998"/>
          <w:tblHeader/>
        </w:trPr>
        <w:tc>
          <w:tcPr>
            <w:tcW w:w="660" w:type="dxa"/>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682F01"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02360" w:rsidTr="00DF0820">
        <w:trPr>
          <w:cantSplit/>
          <w:trHeight w:val="498"/>
        </w:trPr>
        <w:tc>
          <w:tcPr>
            <w:tcW w:w="660" w:type="dxa"/>
          </w:tcPr>
          <w:p w:rsidR="009840C5" w:rsidRPr="00DF0820" w:rsidRDefault="00682F01">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682F01">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682F01">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682F01">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02360" w:rsidTr="00DF0820">
        <w:trPr>
          <w:cantSplit/>
          <w:trHeight w:val="795"/>
        </w:trPr>
        <w:tc>
          <w:tcPr>
            <w:tcW w:w="660" w:type="dxa"/>
          </w:tcPr>
          <w:p w:rsidR="00651186" w:rsidRPr="00DF0820" w:rsidRDefault="00682F01">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682F01">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682F01">
            <w:pPr>
              <w:autoSpaceDE w:val="0"/>
              <w:autoSpaceDN w:val="0"/>
              <w:adjustRightInd w:val="0"/>
              <w:rPr>
                <w:color w:val="000000"/>
                <w:sz w:val="20"/>
                <w:szCs w:val="20"/>
              </w:rPr>
            </w:pPr>
            <w:r w:rsidRPr="00DF0820">
              <w:rPr>
                <w:color w:val="000000"/>
                <w:sz w:val="20"/>
                <w:szCs w:val="20"/>
              </w:rPr>
              <w:t>Into NYCA</w:t>
            </w:r>
          </w:p>
          <w:p w:rsidR="00A26C0D" w:rsidRPr="00DF0820" w:rsidRDefault="00682F01">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682F01"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682F01">
            <w:pPr>
              <w:autoSpaceDE w:val="0"/>
              <w:autoSpaceDN w:val="0"/>
              <w:adjustRightInd w:val="0"/>
              <w:rPr>
                <w:sz w:val="20"/>
                <w:szCs w:val="20"/>
              </w:rPr>
            </w:pPr>
          </w:p>
          <w:p w:rsidR="00651186" w:rsidRPr="00DF0820" w:rsidRDefault="00682F0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02360" w:rsidTr="00DF0820">
        <w:trPr>
          <w:cantSplit/>
          <w:trHeight w:val="975"/>
        </w:trPr>
        <w:tc>
          <w:tcPr>
            <w:tcW w:w="660" w:type="dxa"/>
          </w:tcPr>
          <w:p w:rsidR="00651186" w:rsidRPr="00DF0820" w:rsidRDefault="00682F01">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682F01">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682F01">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682F01"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w:t>
            </w:r>
            <w:r w:rsidRPr="00DF0820">
              <w:rPr>
                <w:sz w:val="20"/>
                <w:szCs w:val="20"/>
              </w:rPr>
              <w:t>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682F01">
            <w:pPr>
              <w:autoSpaceDE w:val="0"/>
              <w:autoSpaceDN w:val="0"/>
              <w:adjustRightInd w:val="0"/>
              <w:rPr>
                <w:sz w:val="20"/>
                <w:szCs w:val="20"/>
              </w:rPr>
            </w:pPr>
          </w:p>
          <w:p w:rsidR="00651186" w:rsidRPr="00DF0820" w:rsidRDefault="00682F0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682F01" w:rsidP="00021DFF">
      <w:pPr>
        <w:pStyle w:val="Heading4"/>
      </w:pPr>
      <w:r w:rsidRPr="007E1842">
        <w:t>17.1.6.4.3</w:t>
      </w:r>
      <w:r w:rsidRPr="007E1842">
        <w:tab/>
        <w:t xml:space="preserve">Pricing rules for Proxy Generator Buses that are associated with Designated Scheduled Lines that are not Dynamically Scheduled or Variably </w:t>
      </w:r>
      <w:r w:rsidRPr="007E1842">
        <w:t>Scheduled Proxy Generator Buses</w:t>
      </w:r>
    </w:p>
    <w:p w:rsidR="00A26C0D" w:rsidRDefault="00682F01">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rsidR="00502360"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sz w:val="20"/>
                <w:szCs w:val="20"/>
              </w:rPr>
              <w:t>Pr</w:t>
            </w:r>
            <w:r w:rsidRPr="00DF0820">
              <w:rPr>
                <w:b/>
                <w:sz w:val="20"/>
                <w:szCs w:val="20"/>
              </w:rPr>
              <w:t xml:space="preserve">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82F01"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682F01"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502360"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682F01">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682F01">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682F01">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682F01">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502360"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682F01">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682F01">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682F01">
            <w:pPr>
              <w:autoSpaceDE w:val="0"/>
              <w:autoSpaceDN w:val="0"/>
              <w:adjustRightInd w:val="0"/>
              <w:rPr>
                <w:color w:val="000000"/>
                <w:sz w:val="20"/>
                <w:szCs w:val="20"/>
              </w:rPr>
            </w:pPr>
            <w:r w:rsidRPr="00DF0820">
              <w:rPr>
                <w:color w:val="000000"/>
                <w:sz w:val="20"/>
                <w:szCs w:val="20"/>
              </w:rPr>
              <w:t>Into NYCA</w:t>
            </w:r>
          </w:p>
          <w:p w:rsidR="00A26C0D" w:rsidRPr="00DF0820" w:rsidRDefault="00682F01">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682F01"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682F01">
            <w:pPr>
              <w:autoSpaceDE w:val="0"/>
              <w:autoSpaceDN w:val="0"/>
              <w:adjustRightInd w:val="0"/>
              <w:rPr>
                <w:sz w:val="20"/>
                <w:szCs w:val="20"/>
              </w:rPr>
            </w:pPr>
          </w:p>
          <w:p w:rsidR="00651186" w:rsidRPr="00DF0820" w:rsidRDefault="00682F0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502360"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682F01">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682F01">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682F01">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682F01"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682F01">
            <w:pPr>
              <w:autoSpaceDE w:val="0"/>
              <w:autoSpaceDN w:val="0"/>
              <w:adjustRightInd w:val="0"/>
              <w:rPr>
                <w:sz w:val="20"/>
                <w:szCs w:val="20"/>
              </w:rPr>
            </w:pPr>
          </w:p>
          <w:p w:rsidR="00651186" w:rsidRPr="00DF0820" w:rsidRDefault="00682F0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682F01">
      <w:pPr>
        <w:pStyle w:val="Heading4"/>
      </w:pPr>
      <w:bookmarkStart w:id="22"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2"/>
    </w:p>
    <w:p w:rsidR="00A26C0D" w:rsidRDefault="00682F01">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682F01">
      <w:pPr>
        <w:pStyle w:val="Bodypara"/>
      </w:pPr>
      <w:r>
        <w:t>When the Real-Time LBMP is set to zero and that zero</w:t>
      </w:r>
      <w:r>
        <w:t xml:space="preserve"> price was not the result of using the RTD, RTC or SCUC-determined LBMP; </w:t>
      </w:r>
    </w:p>
    <w:p w:rsidR="001A670B" w:rsidRDefault="00682F01">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682F01" w:rsidP="0096513D">
      <w:pPr>
        <w:pStyle w:val="Bodypara"/>
      </w:pPr>
      <w:r>
        <w:t xml:space="preserve">and </w:t>
      </w:r>
    </w:p>
    <w:p w:rsidR="001A670B" w:rsidRPr="001A670B" w:rsidRDefault="00682F01"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682F01">
      <w:pPr>
        <w:spacing w:line="480" w:lineRule="auto"/>
        <w:ind w:firstLine="720"/>
      </w:pPr>
      <w:r>
        <w:t>where:</w:t>
      </w:r>
    </w:p>
    <w:p w:rsidR="00A26C0D" w:rsidRDefault="00502360">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682F01">
        <w:rPr>
          <w:vertAlign w:val="subscript"/>
        </w:rPr>
        <w:t xml:space="preserve">  </w:t>
      </w:r>
      <w:r w:rsidR="00682F01">
        <w:rPr>
          <w:vertAlign w:val="subscript"/>
        </w:rPr>
        <w:tab/>
        <w:t xml:space="preserve"> </w:t>
      </w:r>
      <w:r w:rsidR="00682F01">
        <w:t>=</w:t>
      </w:r>
      <w:r w:rsidR="00682F01">
        <w:rPr>
          <w:vertAlign w:val="subscript"/>
        </w:rPr>
        <w:t xml:space="preserve"> </w:t>
      </w:r>
      <w:r w:rsidR="00682F01">
        <w:tab/>
      </w:r>
      <w:r w:rsidR="00682F01">
        <w:t>T</w:t>
      </w:r>
      <w:r w:rsidR="00682F01">
        <w:t xml:space="preserve">he marginal Bid cost of providing Energy </w:t>
      </w:r>
      <w:r w:rsidR="00682F01">
        <w:t xml:space="preserve">at the reference Bus, as calculated by RTD for that 5-minute interval; </w:t>
      </w:r>
      <w:r w:rsidR="00682F01">
        <w:t>and</w:t>
      </w:r>
    </w:p>
    <w:p w:rsidR="00A26C0D" w:rsidRDefault="00502360">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682F01">
        <w:t xml:space="preserve">= </w:t>
      </w:r>
      <w:r w:rsidR="00682F01">
        <w:tab/>
      </w:r>
      <w:r w:rsidR="00682F01">
        <w:t>T</w:t>
      </w:r>
      <w:r w:rsidR="00682F01">
        <w:t>he Marginal Losses Component of the LBMP as calculated by RTD  for that 5-minute interval at the Non-Competitive Proxy G</w:t>
      </w:r>
      <w:r w:rsidR="00682F01">
        <w:t>enerator Bus or Proxy Generator Bus associated with a designated Scheduled Line</w:t>
      </w:r>
      <w:r w:rsidR="00682F01">
        <w:t>.</w:t>
      </w:r>
    </w:p>
    <w:p w:rsidR="00A26C0D" w:rsidRDefault="00682F01">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360" w:rsidRDefault="00502360" w:rsidP="00502360">
      <w:r>
        <w:separator/>
      </w:r>
    </w:p>
  </w:endnote>
  <w:endnote w:type="continuationSeparator" w:id="0">
    <w:p w:rsidR="00502360" w:rsidRDefault="00502360" w:rsidP="00502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60" w:rsidRDefault="00682F01">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502360">
      <w:rPr>
        <w:rFonts w:ascii="Arial" w:eastAsia="Arial" w:hAnsi="Arial" w:cs="Arial"/>
        <w:color w:val="000000"/>
        <w:sz w:val="16"/>
      </w:rPr>
      <w:fldChar w:fldCharType="begin"/>
    </w:r>
    <w:r>
      <w:rPr>
        <w:rFonts w:ascii="Arial" w:eastAsia="Arial" w:hAnsi="Arial" w:cs="Arial"/>
        <w:color w:val="000000"/>
        <w:sz w:val="16"/>
      </w:rPr>
      <w:instrText>PAGE</w:instrText>
    </w:r>
    <w:r w:rsidR="0050236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60" w:rsidRDefault="00682F01">
    <w:pPr>
      <w:jc w:val="right"/>
      <w:rPr>
        <w:rFonts w:ascii="Arial" w:eastAsia="Arial" w:hAnsi="Arial" w:cs="Arial"/>
        <w:color w:val="000000"/>
        <w:sz w:val="16"/>
      </w:rPr>
    </w:pPr>
    <w:r>
      <w:rPr>
        <w:rFonts w:ascii="Arial" w:eastAsia="Arial" w:hAnsi="Arial" w:cs="Arial"/>
        <w:color w:val="000000"/>
        <w:sz w:val="16"/>
      </w:rPr>
      <w:t>Effective Date: 6/21</w:t>
    </w:r>
    <w:r>
      <w:rPr>
        <w:rFonts w:ascii="Arial" w:eastAsia="Arial" w:hAnsi="Arial" w:cs="Arial"/>
        <w:color w:val="000000"/>
        <w:sz w:val="16"/>
      </w:rPr>
      <w:t xml:space="preserve">/2016 - Docket #: ER16-425-002 - Page </w:t>
    </w:r>
    <w:r w:rsidR="0050236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0236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60" w:rsidRDefault="00682F01">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502360">
      <w:rPr>
        <w:rFonts w:ascii="Arial" w:eastAsia="Arial" w:hAnsi="Arial" w:cs="Arial"/>
        <w:color w:val="000000"/>
        <w:sz w:val="16"/>
      </w:rPr>
      <w:fldChar w:fldCharType="begin"/>
    </w:r>
    <w:r>
      <w:rPr>
        <w:rFonts w:ascii="Arial" w:eastAsia="Arial" w:hAnsi="Arial" w:cs="Arial"/>
        <w:color w:val="000000"/>
        <w:sz w:val="16"/>
      </w:rPr>
      <w:instrText>PAGE</w:instrText>
    </w:r>
    <w:r w:rsidR="0050236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360" w:rsidRDefault="00502360" w:rsidP="00502360">
      <w:r>
        <w:separator/>
      </w:r>
    </w:p>
  </w:footnote>
  <w:footnote w:type="continuationSeparator" w:id="0">
    <w:p w:rsidR="00502360" w:rsidRDefault="00502360" w:rsidP="00502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60" w:rsidRDefault="00682F0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60" w:rsidRDefault="00682F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60" w:rsidRDefault="00682F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7788410C">
      <w:start w:val="1"/>
      <w:numFmt w:val="bullet"/>
      <w:pStyle w:val="Bulletpara"/>
      <w:lvlText w:val=""/>
      <w:lvlJc w:val="left"/>
      <w:pPr>
        <w:tabs>
          <w:tab w:val="num" w:pos="720"/>
        </w:tabs>
        <w:ind w:left="720" w:hanging="360"/>
      </w:pPr>
      <w:rPr>
        <w:rFonts w:ascii="Symbol" w:hAnsi="Symbol" w:hint="default"/>
        <w:sz w:val="20"/>
      </w:rPr>
    </w:lvl>
    <w:lvl w:ilvl="1" w:tplc="BB66B166" w:tentative="1">
      <w:start w:val="1"/>
      <w:numFmt w:val="bullet"/>
      <w:lvlText w:val="o"/>
      <w:lvlJc w:val="left"/>
      <w:pPr>
        <w:tabs>
          <w:tab w:val="num" w:pos="1440"/>
        </w:tabs>
        <w:ind w:left="1440" w:hanging="360"/>
      </w:pPr>
      <w:rPr>
        <w:rFonts w:ascii="Courier New" w:hAnsi="Courier New" w:hint="default"/>
      </w:rPr>
    </w:lvl>
    <w:lvl w:ilvl="2" w:tplc="4448026C" w:tentative="1">
      <w:start w:val="1"/>
      <w:numFmt w:val="bullet"/>
      <w:lvlText w:val=""/>
      <w:lvlJc w:val="left"/>
      <w:pPr>
        <w:tabs>
          <w:tab w:val="num" w:pos="2160"/>
        </w:tabs>
        <w:ind w:left="2160" w:hanging="360"/>
      </w:pPr>
      <w:rPr>
        <w:rFonts w:ascii="Wingdings" w:hAnsi="Wingdings" w:hint="default"/>
      </w:rPr>
    </w:lvl>
    <w:lvl w:ilvl="3" w:tplc="384E88B2" w:tentative="1">
      <w:start w:val="1"/>
      <w:numFmt w:val="bullet"/>
      <w:lvlText w:val=""/>
      <w:lvlJc w:val="left"/>
      <w:pPr>
        <w:tabs>
          <w:tab w:val="num" w:pos="2880"/>
        </w:tabs>
        <w:ind w:left="2880" w:hanging="360"/>
      </w:pPr>
      <w:rPr>
        <w:rFonts w:ascii="Symbol" w:hAnsi="Symbol" w:hint="default"/>
      </w:rPr>
    </w:lvl>
    <w:lvl w:ilvl="4" w:tplc="8716D724" w:tentative="1">
      <w:start w:val="1"/>
      <w:numFmt w:val="bullet"/>
      <w:lvlText w:val="o"/>
      <w:lvlJc w:val="left"/>
      <w:pPr>
        <w:tabs>
          <w:tab w:val="num" w:pos="3600"/>
        </w:tabs>
        <w:ind w:left="3600" w:hanging="360"/>
      </w:pPr>
      <w:rPr>
        <w:rFonts w:ascii="Courier New" w:hAnsi="Courier New" w:hint="default"/>
      </w:rPr>
    </w:lvl>
    <w:lvl w:ilvl="5" w:tplc="3A7CF278" w:tentative="1">
      <w:start w:val="1"/>
      <w:numFmt w:val="bullet"/>
      <w:lvlText w:val=""/>
      <w:lvlJc w:val="left"/>
      <w:pPr>
        <w:tabs>
          <w:tab w:val="num" w:pos="4320"/>
        </w:tabs>
        <w:ind w:left="4320" w:hanging="360"/>
      </w:pPr>
      <w:rPr>
        <w:rFonts w:ascii="Wingdings" w:hAnsi="Wingdings" w:hint="default"/>
      </w:rPr>
    </w:lvl>
    <w:lvl w:ilvl="6" w:tplc="7422A2F2" w:tentative="1">
      <w:start w:val="1"/>
      <w:numFmt w:val="bullet"/>
      <w:lvlText w:val=""/>
      <w:lvlJc w:val="left"/>
      <w:pPr>
        <w:tabs>
          <w:tab w:val="num" w:pos="5040"/>
        </w:tabs>
        <w:ind w:left="5040" w:hanging="360"/>
      </w:pPr>
      <w:rPr>
        <w:rFonts w:ascii="Symbol" w:hAnsi="Symbol" w:hint="default"/>
      </w:rPr>
    </w:lvl>
    <w:lvl w:ilvl="7" w:tplc="AAB210EE" w:tentative="1">
      <w:start w:val="1"/>
      <w:numFmt w:val="bullet"/>
      <w:lvlText w:val="o"/>
      <w:lvlJc w:val="left"/>
      <w:pPr>
        <w:tabs>
          <w:tab w:val="num" w:pos="5760"/>
        </w:tabs>
        <w:ind w:left="5760" w:hanging="360"/>
      </w:pPr>
      <w:rPr>
        <w:rFonts w:ascii="Courier New" w:hAnsi="Courier New" w:hint="default"/>
      </w:rPr>
    </w:lvl>
    <w:lvl w:ilvl="8" w:tplc="F49228A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DACA089E">
      <w:start w:val="1"/>
      <w:numFmt w:val="lowerLetter"/>
      <w:lvlText w:val="%1."/>
      <w:lvlJc w:val="left"/>
      <w:pPr>
        <w:ind w:left="1440" w:hanging="360"/>
      </w:pPr>
      <w:rPr>
        <w:rFonts w:cs="Times New Roman"/>
      </w:rPr>
    </w:lvl>
    <w:lvl w:ilvl="1" w:tplc="E2D6C99E" w:tentative="1">
      <w:start w:val="1"/>
      <w:numFmt w:val="lowerLetter"/>
      <w:lvlText w:val="%2."/>
      <w:lvlJc w:val="left"/>
      <w:pPr>
        <w:ind w:left="2160" w:hanging="360"/>
      </w:pPr>
      <w:rPr>
        <w:rFonts w:cs="Times New Roman"/>
      </w:rPr>
    </w:lvl>
    <w:lvl w:ilvl="2" w:tplc="46E2DFBE" w:tentative="1">
      <w:start w:val="1"/>
      <w:numFmt w:val="lowerRoman"/>
      <w:lvlText w:val="%3."/>
      <w:lvlJc w:val="right"/>
      <w:pPr>
        <w:ind w:left="2880" w:hanging="180"/>
      </w:pPr>
      <w:rPr>
        <w:rFonts w:cs="Times New Roman"/>
      </w:rPr>
    </w:lvl>
    <w:lvl w:ilvl="3" w:tplc="39142C58" w:tentative="1">
      <w:start w:val="1"/>
      <w:numFmt w:val="decimal"/>
      <w:lvlText w:val="%4."/>
      <w:lvlJc w:val="left"/>
      <w:pPr>
        <w:ind w:left="3600" w:hanging="360"/>
      </w:pPr>
      <w:rPr>
        <w:rFonts w:cs="Times New Roman"/>
      </w:rPr>
    </w:lvl>
    <w:lvl w:ilvl="4" w:tplc="B18834AA" w:tentative="1">
      <w:start w:val="1"/>
      <w:numFmt w:val="lowerLetter"/>
      <w:lvlText w:val="%5."/>
      <w:lvlJc w:val="left"/>
      <w:pPr>
        <w:ind w:left="4320" w:hanging="360"/>
      </w:pPr>
      <w:rPr>
        <w:rFonts w:cs="Times New Roman"/>
      </w:rPr>
    </w:lvl>
    <w:lvl w:ilvl="5" w:tplc="C0D64C0C" w:tentative="1">
      <w:start w:val="1"/>
      <w:numFmt w:val="lowerRoman"/>
      <w:lvlText w:val="%6."/>
      <w:lvlJc w:val="right"/>
      <w:pPr>
        <w:ind w:left="5040" w:hanging="180"/>
      </w:pPr>
      <w:rPr>
        <w:rFonts w:cs="Times New Roman"/>
      </w:rPr>
    </w:lvl>
    <w:lvl w:ilvl="6" w:tplc="F6909704" w:tentative="1">
      <w:start w:val="1"/>
      <w:numFmt w:val="decimal"/>
      <w:lvlText w:val="%7."/>
      <w:lvlJc w:val="left"/>
      <w:pPr>
        <w:ind w:left="5760" w:hanging="360"/>
      </w:pPr>
      <w:rPr>
        <w:rFonts w:cs="Times New Roman"/>
      </w:rPr>
    </w:lvl>
    <w:lvl w:ilvl="7" w:tplc="19D69216" w:tentative="1">
      <w:start w:val="1"/>
      <w:numFmt w:val="lowerLetter"/>
      <w:lvlText w:val="%8."/>
      <w:lvlJc w:val="left"/>
      <w:pPr>
        <w:ind w:left="6480" w:hanging="360"/>
      </w:pPr>
      <w:rPr>
        <w:rFonts w:cs="Times New Roman"/>
      </w:rPr>
    </w:lvl>
    <w:lvl w:ilvl="8" w:tplc="F2B81476"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D312F34E">
      <w:start w:val="1"/>
      <w:numFmt w:val="decimal"/>
      <w:lvlText w:val="%1)"/>
      <w:lvlJc w:val="left"/>
      <w:pPr>
        <w:tabs>
          <w:tab w:val="num" w:pos="720"/>
        </w:tabs>
        <w:ind w:left="720" w:hanging="360"/>
      </w:pPr>
      <w:rPr>
        <w:rFonts w:cs="Times New Roman"/>
      </w:rPr>
    </w:lvl>
    <w:lvl w:ilvl="1" w:tplc="B324E210">
      <w:start w:val="1"/>
      <w:numFmt w:val="lowerLetter"/>
      <w:lvlText w:val="%2."/>
      <w:lvlJc w:val="left"/>
      <w:pPr>
        <w:tabs>
          <w:tab w:val="num" w:pos="1440"/>
        </w:tabs>
        <w:ind w:left="1440" w:hanging="360"/>
      </w:pPr>
      <w:rPr>
        <w:rFonts w:cs="Times New Roman"/>
      </w:rPr>
    </w:lvl>
    <w:lvl w:ilvl="2" w:tplc="4522803C">
      <w:start w:val="1"/>
      <w:numFmt w:val="lowerRoman"/>
      <w:lvlText w:val="%3."/>
      <w:lvlJc w:val="right"/>
      <w:pPr>
        <w:tabs>
          <w:tab w:val="num" w:pos="2160"/>
        </w:tabs>
        <w:ind w:left="2160" w:hanging="180"/>
      </w:pPr>
      <w:rPr>
        <w:rFonts w:cs="Times New Roman"/>
      </w:rPr>
    </w:lvl>
    <w:lvl w:ilvl="3" w:tplc="04D249FC" w:tentative="1">
      <w:start w:val="1"/>
      <w:numFmt w:val="decimal"/>
      <w:lvlText w:val="%4."/>
      <w:lvlJc w:val="left"/>
      <w:pPr>
        <w:tabs>
          <w:tab w:val="num" w:pos="2880"/>
        </w:tabs>
        <w:ind w:left="2880" w:hanging="360"/>
      </w:pPr>
      <w:rPr>
        <w:rFonts w:cs="Times New Roman"/>
      </w:rPr>
    </w:lvl>
    <w:lvl w:ilvl="4" w:tplc="A40E3D7C" w:tentative="1">
      <w:start w:val="1"/>
      <w:numFmt w:val="lowerLetter"/>
      <w:lvlText w:val="%5."/>
      <w:lvlJc w:val="left"/>
      <w:pPr>
        <w:tabs>
          <w:tab w:val="num" w:pos="3600"/>
        </w:tabs>
        <w:ind w:left="3600" w:hanging="360"/>
      </w:pPr>
      <w:rPr>
        <w:rFonts w:cs="Times New Roman"/>
      </w:rPr>
    </w:lvl>
    <w:lvl w:ilvl="5" w:tplc="3F64617A" w:tentative="1">
      <w:start w:val="1"/>
      <w:numFmt w:val="lowerRoman"/>
      <w:lvlText w:val="%6."/>
      <w:lvlJc w:val="right"/>
      <w:pPr>
        <w:tabs>
          <w:tab w:val="num" w:pos="4320"/>
        </w:tabs>
        <w:ind w:left="4320" w:hanging="180"/>
      </w:pPr>
      <w:rPr>
        <w:rFonts w:cs="Times New Roman"/>
      </w:rPr>
    </w:lvl>
    <w:lvl w:ilvl="6" w:tplc="0F22FC3C" w:tentative="1">
      <w:start w:val="1"/>
      <w:numFmt w:val="decimal"/>
      <w:lvlText w:val="%7."/>
      <w:lvlJc w:val="left"/>
      <w:pPr>
        <w:tabs>
          <w:tab w:val="num" w:pos="5040"/>
        </w:tabs>
        <w:ind w:left="5040" w:hanging="360"/>
      </w:pPr>
      <w:rPr>
        <w:rFonts w:cs="Times New Roman"/>
      </w:rPr>
    </w:lvl>
    <w:lvl w:ilvl="7" w:tplc="1FD80C90" w:tentative="1">
      <w:start w:val="1"/>
      <w:numFmt w:val="lowerLetter"/>
      <w:lvlText w:val="%8."/>
      <w:lvlJc w:val="left"/>
      <w:pPr>
        <w:tabs>
          <w:tab w:val="num" w:pos="5760"/>
        </w:tabs>
        <w:ind w:left="5760" w:hanging="360"/>
      </w:pPr>
      <w:rPr>
        <w:rFonts w:cs="Times New Roman"/>
      </w:rPr>
    </w:lvl>
    <w:lvl w:ilvl="8" w:tplc="377C16E6"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2306FBB8">
      <w:start w:val="2"/>
      <w:numFmt w:val="lowerRoman"/>
      <w:lvlText w:val="(%1)"/>
      <w:lvlJc w:val="left"/>
      <w:pPr>
        <w:tabs>
          <w:tab w:val="num" w:pos="1440"/>
        </w:tabs>
        <w:ind w:left="1440" w:hanging="720"/>
      </w:pPr>
      <w:rPr>
        <w:rFonts w:cs="Times New Roman" w:hint="default"/>
      </w:rPr>
    </w:lvl>
    <w:lvl w:ilvl="1" w:tplc="7C9872F6" w:tentative="1">
      <w:start w:val="1"/>
      <w:numFmt w:val="lowerLetter"/>
      <w:lvlText w:val="%2."/>
      <w:lvlJc w:val="left"/>
      <w:pPr>
        <w:tabs>
          <w:tab w:val="num" w:pos="1800"/>
        </w:tabs>
        <w:ind w:left="1800" w:hanging="360"/>
      </w:pPr>
      <w:rPr>
        <w:rFonts w:cs="Times New Roman"/>
      </w:rPr>
    </w:lvl>
    <w:lvl w:ilvl="2" w:tplc="B2341F70" w:tentative="1">
      <w:start w:val="1"/>
      <w:numFmt w:val="lowerRoman"/>
      <w:lvlText w:val="%3."/>
      <w:lvlJc w:val="right"/>
      <w:pPr>
        <w:tabs>
          <w:tab w:val="num" w:pos="2520"/>
        </w:tabs>
        <w:ind w:left="2520" w:hanging="180"/>
      </w:pPr>
      <w:rPr>
        <w:rFonts w:cs="Times New Roman"/>
      </w:rPr>
    </w:lvl>
    <w:lvl w:ilvl="3" w:tplc="4D4A9DBC" w:tentative="1">
      <w:start w:val="1"/>
      <w:numFmt w:val="decimal"/>
      <w:lvlText w:val="%4."/>
      <w:lvlJc w:val="left"/>
      <w:pPr>
        <w:tabs>
          <w:tab w:val="num" w:pos="3240"/>
        </w:tabs>
        <w:ind w:left="3240" w:hanging="360"/>
      </w:pPr>
      <w:rPr>
        <w:rFonts w:cs="Times New Roman"/>
      </w:rPr>
    </w:lvl>
    <w:lvl w:ilvl="4" w:tplc="D2DCE3E2" w:tentative="1">
      <w:start w:val="1"/>
      <w:numFmt w:val="lowerLetter"/>
      <w:lvlText w:val="%5."/>
      <w:lvlJc w:val="left"/>
      <w:pPr>
        <w:tabs>
          <w:tab w:val="num" w:pos="3960"/>
        </w:tabs>
        <w:ind w:left="3960" w:hanging="360"/>
      </w:pPr>
      <w:rPr>
        <w:rFonts w:cs="Times New Roman"/>
      </w:rPr>
    </w:lvl>
    <w:lvl w:ilvl="5" w:tplc="D480BEB8" w:tentative="1">
      <w:start w:val="1"/>
      <w:numFmt w:val="lowerRoman"/>
      <w:lvlText w:val="%6."/>
      <w:lvlJc w:val="right"/>
      <w:pPr>
        <w:tabs>
          <w:tab w:val="num" w:pos="4680"/>
        </w:tabs>
        <w:ind w:left="4680" w:hanging="180"/>
      </w:pPr>
      <w:rPr>
        <w:rFonts w:cs="Times New Roman"/>
      </w:rPr>
    </w:lvl>
    <w:lvl w:ilvl="6" w:tplc="2FCC17A4" w:tentative="1">
      <w:start w:val="1"/>
      <w:numFmt w:val="decimal"/>
      <w:lvlText w:val="%7."/>
      <w:lvlJc w:val="left"/>
      <w:pPr>
        <w:tabs>
          <w:tab w:val="num" w:pos="5400"/>
        </w:tabs>
        <w:ind w:left="5400" w:hanging="360"/>
      </w:pPr>
      <w:rPr>
        <w:rFonts w:cs="Times New Roman"/>
      </w:rPr>
    </w:lvl>
    <w:lvl w:ilvl="7" w:tplc="5B7E5188" w:tentative="1">
      <w:start w:val="1"/>
      <w:numFmt w:val="lowerLetter"/>
      <w:lvlText w:val="%8."/>
      <w:lvlJc w:val="left"/>
      <w:pPr>
        <w:tabs>
          <w:tab w:val="num" w:pos="6120"/>
        </w:tabs>
        <w:ind w:left="6120" w:hanging="360"/>
      </w:pPr>
      <w:rPr>
        <w:rFonts w:cs="Times New Roman"/>
      </w:rPr>
    </w:lvl>
    <w:lvl w:ilvl="8" w:tplc="26A8509A"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33F24B9C">
      <w:start w:val="1"/>
      <w:numFmt w:val="bullet"/>
      <w:lvlText w:val=""/>
      <w:lvlJc w:val="left"/>
      <w:pPr>
        <w:tabs>
          <w:tab w:val="num" w:pos="1440"/>
        </w:tabs>
        <w:ind w:left="1440" w:hanging="360"/>
      </w:pPr>
      <w:rPr>
        <w:rFonts w:ascii="Symbol" w:hAnsi="Symbol" w:hint="default"/>
        <w:sz w:val="20"/>
      </w:rPr>
    </w:lvl>
    <w:lvl w:ilvl="1" w:tplc="F8DA6DEE" w:tentative="1">
      <w:start w:val="1"/>
      <w:numFmt w:val="bullet"/>
      <w:lvlText w:val="o"/>
      <w:lvlJc w:val="left"/>
      <w:pPr>
        <w:tabs>
          <w:tab w:val="num" w:pos="2160"/>
        </w:tabs>
        <w:ind w:left="2160" w:hanging="360"/>
      </w:pPr>
      <w:rPr>
        <w:rFonts w:ascii="Courier New" w:hAnsi="Courier New" w:hint="default"/>
      </w:rPr>
    </w:lvl>
    <w:lvl w:ilvl="2" w:tplc="E496D6CA" w:tentative="1">
      <w:start w:val="1"/>
      <w:numFmt w:val="bullet"/>
      <w:lvlText w:val=""/>
      <w:lvlJc w:val="left"/>
      <w:pPr>
        <w:tabs>
          <w:tab w:val="num" w:pos="2880"/>
        </w:tabs>
        <w:ind w:left="2880" w:hanging="360"/>
      </w:pPr>
      <w:rPr>
        <w:rFonts w:ascii="Wingdings" w:hAnsi="Wingdings" w:hint="default"/>
      </w:rPr>
    </w:lvl>
    <w:lvl w:ilvl="3" w:tplc="8E2CA80E" w:tentative="1">
      <w:start w:val="1"/>
      <w:numFmt w:val="bullet"/>
      <w:lvlText w:val=""/>
      <w:lvlJc w:val="left"/>
      <w:pPr>
        <w:tabs>
          <w:tab w:val="num" w:pos="3600"/>
        </w:tabs>
        <w:ind w:left="3600" w:hanging="360"/>
      </w:pPr>
      <w:rPr>
        <w:rFonts w:ascii="Symbol" w:hAnsi="Symbol" w:hint="default"/>
      </w:rPr>
    </w:lvl>
    <w:lvl w:ilvl="4" w:tplc="942A985A" w:tentative="1">
      <w:start w:val="1"/>
      <w:numFmt w:val="bullet"/>
      <w:lvlText w:val="o"/>
      <w:lvlJc w:val="left"/>
      <w:pPr>
        <w:tabs>
          <w:tab w:val="num" w:pos="4320"/>
        </w:tabs>
        <w:ind w:left="4320" w:hanging="360"/>
      </w:pPr>
      <w:rPr>
        <w:rFonts w:ascii="Courier New" w:hAnsi="Courier New" w:hint="default"/>
      </w:rPr>
    </w:lvl>
    <w:lvl w:ilvl="5" w:tplc="35C89092" w:tentative="1">
      <w:start w:val="1"/>
      <w:numFmt w:val="bullet"/>
      <w:lvlText w:val=""/>
      <w:lvlJc w:val="left"/>
      <w:pPr>
        <w:tabs>
          <w:tab w:val="num" w:pos="5040"/>
        </w:tabs>
        <w:ind w:left="5040" w:hanging="360"/>
      </w:pPr>
      <w:rPr>
        <w:rFonts w:ascii="Wingdings" w:hAnsi="Wingdings" w:hint="default"/>
      </w:rPr>
    </w:lvl>
    <w:lvl w:ilvl="6" w:tplc="BF1AC7B6" w:tentative="1">
      <w:start w:val="1"/>
      <w:numFmt w:val="bullet"/>
      <w:lvlText w:val=""/>
      <w:lvlJc w:val="left"/>
      <w:pPr>
        <w:tabs>
          <w:tab w:val="num" w:pos="5760"/>
        </w:tabs>
        <w:ind w:left="5760" w:hanging="360"/>
      </w:pPr>
      <w:rPr>
        <w:rFonts w:ascii="Symbol" w:hAnsi="Symbol" w:hint="default"/>
      </w:rPr>
    </w:lvl>
    <w:lvl w:ilvl="7" w:tplc="1C6CDE0C" w:tentative="1">
      <w:start w:val="1"/>
      <w:numFmt w:val="bullet"/>
      <w:lvlText w:val="o"/>
      <w:lvlJc w:val="left"/>
      <w:pPr>
        <w:tabs>
          <w:tab w:val="num" w:pos="6480"/>
        </w:tabs>
        <w:ind w:left="6480" w:hanging="360"/>
      </w:pPr>
      <w:rPr>
        <w:rFonts w:ascii="Courier New" w:hAnsi="Courier New" w:hint="default"/>
      </w:rPr>
    </w:lvl>
    <w:lvl w:ilvl="8" w:tplc="F9909E90"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3210F6EC">
      <w:start w:val="1"/>
      <w:numFmt w:val="lowerRoman"/>
      <w:lvlText w:val="(%1)"/>
      <w:lvlJc w:val="left"/>
      <w:pPr>
        <w:tabs>
          <w:tab w:val="num" w:pos="2448"/>
        </w:tabs>
        <w:ind w:left="2448" w:hanging="648"/>
      </w:pPr>
      <w:rPr>
        <w:rFonts w:cs="Times New Roman" w:hint="default"/>
        <w:b w:val="0"/>
        <w:i w:val="0"/>
        <w:u w:val="none"/>
      </w:rPr>
    </w:lvl>
    <w:lvl w:ilvl="1" w:tplc="44BC4C6E" w:tentative="1">
      <w:start w:val="1"/>
      <w:numFmt w:val="lowerLetter"/>
      <w:lvlText w:val="%2."/>
      <w:lvlJc w:val="left"/>
      <w:pPr>
        <w:tabs>
          <w:tab w:val="num" w:pos="1440"/>
        </w:tabs>
        <w:ind w:left="1440" w:hanging="360"/>
      </w:pPr>
      <w:rPr>
        <w:rFonts w:cs="Times New Roman"/>
      </w:rPr>
    </w:lvl>
    <w:lvl w:ilvl="2" w:tplc="A350DA46" w:tentative="1">
      <w:start w:val="1"/>
      <w:numFmt w:val="lowerRoman"/>
      <w:lvlText w:val="%3."/>
      <w:lvlJc w:val="right"/>
      <w:pPr>
        <w:tabs>
          <w:tab w:val="num" w:pos="2160"/>
        </w:tabs>
        <w:ind w:left="2160" w:hanging="180"/>
      </w:pPr>
      <w:rPr>
        <w:rFonts w:cs="Times New Roman"/>
      </w:rPr>
    </w:lvl>
    <w:lvl w:ilvl="3" w:tplc="5150D270" w:tentative="1">
      <w:start w:val="1"/>
      <w:numFmt w:val="decimal"/>
      <w:lvlText w:val="%4."/>
      <w:lvlJc w:val="left"/>
      <w:pPr>
        <w:tabs>
          <w:tab w:val="num" w:pos="2880"/>
        </w:tabs>
        <w:ind w:left="2880" w:hanging="360"/>
      </w:pPr>
      <w:rPr>
        <w:rFonts w:cs="Times New Roman"/>
      </w:rPr>
    </w:lvl>
    <w:lvl w:ilvl="4" w:tplc="D108DDA4" w:tentative="1">
      <w:start w:val="1"/>
      <w:numFmt w:val="lowerLetter"/>
      <w:lvlText w:val="%5."/>
      <w:lvlJc w:val="left"/>
      <w:pPr>
        <w:tabs>
          <w:tab w:val="num" w:pos="3600"/>
        </w:tabs>
        <w:ind w:left="3600" w:hanging="360"/>
      </w:pPr>
      <w:rPr>
        <w:rFonts w:cs="Times New Roman"/>
      </w:rPr>
    </w:lvl>
    <w:lvl w:ilvl="5" w:tplc="89EC8CAC" w:tentative="1">
      <w:start w:val="1"/>
      <w:numFmt w:val="lowerRoman"/>
      <w:lvlText w:val="%6."/>
      <w:lvlJc w:val="right"/>
      <w:pPr>
        <w:tabs>
          <w:tab w:val="num" w:pos="4320"/>
        </w:tabs>
        <w:ind w:left="4320" w:hanging="180"/>
      </w:pPr>
      <w:rPr>
        <w:rFonts w:cs="Times New Roman"/>
      </w:rPr>
    </w:lvl>
    <w:lvl w:ilvl="6" w:tplc="21DE9CFC" w:tentative="1">
      <w:start w:val="1"/>
      <w:numFmt w:val="decimal"/>
      <w:lvlText w:val="%7."/>
      <w:lvlJc w:val="left"/>
      <w:pPr>
        <w:tabs>
          <w:tab w:val="num" w:pos="5040"/>
        </w:tabs>
        <w:ind w:left="5040" w:hanging="360"/>
      </w:pPr>
      <w:rPr>
        <w:rFonts w:cs="Times New Roman"/>
      </w:rPr>
    </w:lvl>
    <w:lvl w:ilvl="7" w:tplc="F74602D0" w:tentative="1">
      <w:start w:val="1"/>
      <w:numFmt w:val="lowerLetter"/>
      <w:lvlText w:val="%8."/>
      <w:lvlJc w:val="left"/>
      <w:pPr>
        <w:tabs>
          <w:tab w:val="num" w:pos="5760"/>
        </w:tabs>
        <w:ind w:left="5760" w:hanging="360"/>
      </w:pPr>
      <w:rPr>
        <w:rFonts w:cs="Times New Roman"/>
      </w:rPr>
    </w:lvl>
    <w:lvl w:ilvl="8" w:tplc="64C8AF0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7258FE60">
      <w:start w:val="5"/>
      <w:numFmt w:val="lowerRoman"/>
      <w:lvlText w:val="(%1)"/>
      <w:lvlJc w:val="left"/>
      <w:pPr>
        <w:tabs>
          <w:tab w:val="num" w:pos="1440"/>
        </w:tabs>
        <w:ind w:left="1440" w:hanging="720"/>
      </w:pPr>
      <w:rPr>
        <w:rFonts w:cs="Times New Roman" w:hint="default"/>
      </w:rPr>
    </w:lvl>
    <w:lvl w:ilvl="1" w:tplc="3CB8AA68" w:tentative="1">
      <w:start w:val="1"/>
      <w:numFmt w:val="lowerLetter"/>
      <w:lvlText w:val="%2."/>
      <w:lvlJc w:val="left"/>
      <w:pPr>
        <w:tabs>
          <w:tab w:val="num" w:pos="1800"/>
        </w:tabs>
        <w:ind w:left="1800" w:hanging="360"/>
      </w:pPr>
      <w:rPr>
        <w:rFonts w:cs="Times New Roman"/>
      </w:rPr>
    </w:lvl>
    <w:lvl w:ilvl="2" w:tplc="F0A0D99E" w:tentative="1">
      <w:start w:val="1"/>
      <w:numFmt w:val="lowerRoman"/>
      <w:lvlText w:val="%3."/>
      <w:lvlJc w:val="right"/>
      <w:pPr>
        <w:tabs>
          <w:tab w:val="num" w:pos="2520"/>
        </w:tabs>
        <w:ind w:left="2520" w:hanging="180"/>
      </w:pPr>
      <w:rPr>
        <w:rFonts w:cs="Times New Roman"/>
      </w:rPr>
    </w:lvl>
    <w:lvl w:ilvl="3" w:tplc="10E69938" w:tentative="1">
      <w:start w:val="1"/>
      <w:numFmt w:val="decimal"/>
      <w:lvlText w:val="%4."/>
      <w:lvlJc w:val="left"/>
      <w:pPr>
        <w:tabs>
          <w:tab w:val="num" w:pos="3240"/>
        </w:tabs>
        <w:ind w:left="3240" w:hanging="360"/>
      </w:pPr>
      <w:rPr>
        <w:rFonts w:cs="Times New Roman"/>
      </w:rPr>
    </w:lvl>
    <w:lvl w:ilvl="4" w:tplc="844CBF00" w:tentative="1">
      <w:start w:val="1"/>
      <w:numFmt w:val="lowerLetter"/>
      <w:lvlText w:val="%5."/>
      <w:lvlJc w:val="left"/>
      <w:pPr>
        <w:tabs>
          <w:tab w:val="num" w:pos="3960"/>
        </w:tabs>
        <w:ind w:left="3960" w:hanging="360"/>
      </w:pPr>
      <w:rPr>
        <w:rFonts w:cs="Times New Roman"/>
      </w:rPr>
    </w:lvl>
    <w:lvl w:ilvl="5" w:tplc="00320028" w:tentative="1">
      <w:start w:val="1"/>
      <w:numFmt w:val="lowerRoman"/>
      <w:lvlText w:val="%6."/>
      <w:lvlJc w:val="right"/>
      <w:pPr>
        <w:tabs>
          <w:tab w:val="num" w:pos="4680"/>
        </w:tabs>
        <w:ind w:left="4680" w:hanging="180"/>
      </w:pPr>
      <w:rPr>
        <w:rFonts w:cs="Times New Roman"/>
      </w:rPr>
    </w:lvl>
    <w:lvl w:ilvl="6" w:tplc="4B6000D8" w:tentative="1">
      <w:start w:val="1"/>
      <w:numFmt w:val="decimal"/>
      <w:lvlText w:val="%7."/>
      <w:lvlJc w:val="left"/>
      <w:pPr>
        <w:tabs>
          <w:tab w:val="num" w:pos="5400"/>
        </w:tabs>
        <w:ind w:left="5400" w:hanging="360"/>
      </w:pPr>
      <w:rPr>
        <w:rFonts w:cs="Times New Roman"/>
      </w:rPr>
    </w:lvl>
    <w:lvl w:ilvl="7" w:tplc="CE4608C8" w:tentative="1">
      <w:start w:val="1"/>
      <w:numFmt w:val="lowerLetter"/>
      <w:lvlText w:val="%8."/>
      <w:lvlJc w:val="left"/>
      <w:pPr>
        <w:tabs>
          <w:tab w:val="num" w:pos="6120"/>
        </w:tabs>
        <w:ind w:left="6120" w:hanging="360"/>
      </w:pPr>
      <w:rPr>
        <w:rFonts w:cs="Times New Roman"/>
      </w:rPr>
    </w:lvl>
    <w:lvl w:ilvl="8" w:tplc="2DB015CA"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1F6843E8">
      <w:start w:val="1"/>
      <w:numFmt w:val="decimal"/>
      <w:lvlText w:val="%1."/>
      <w:lvlJc w:val="left"/>
      <w:pPr>
        <w:tabs>
          <w:tab w:val="num" w:pos="720"/>
        </w:tabs>
        <w:ind w:left="720" w:hanging="360"/>
      </w:pPr>
      <w:rPr>
        <w:rFonts w:cs="Times New Roman"/>
      </w:rPr>
    </w:lvl>
    <w:lvl w:ilvl="1" w:tplc="86780CD6" w:tentative="1">
      <w:start w:val="1"/>
      <w:numFmt w:val="lowerLetter"/>
      <w:lvlText w:val="%2."/>
      <w:lvlJc w:val="left"/>
      <w:pPr>
        <w:tabs>
          <w:tab w:val="num" w:pos="1440"/>
        </w:tabs>
        <w:ind w:left="1440" w:hanging="360"/>
      </w:pPr>
      <w:rPr>
        <w:rFonts w:cs="Times New Roman"/>
      </w:rPr>
    </w:lvl>
    <w:lvl w:ilvl="2" w:tplc="D0A843FA" w:tentative="1">
      <w:start w:val="1"/>
      <w:numFmt w:val="lowerRoman"/>
      <w:lvlText w:val="%3."/>
      <w:lvlJc w:val="right"/>
      <w:pPr>
        <w:tabs>
          <w:tab w:val="num" w:pos="2160"/>
        </w:tabs>
        <w:ind w:left="2160" w:hanging="180"/>
      </w:pPr>
      <w:rPr>
        <w:rFonts w:cs="Times New Roman"/>
      </w:rPr>
    </w:lvl>
    <w:lvl w:ilvl="3" w:tplc="1F8C9204" w:tentative="1">
      <w:start w:val="1"/>
      <w:numFmt w:val="decimal"/>
      <w:lvlText w:val="%4."/>
      <w:lvlJc w:val="left"/>
      <w:pPr>
        <w:tabs>
          <w:tab w:val="num" w:pos="2880"/>
        </w:tabs>
        <w:ind w:left="2880" w:hanging="360"/>
      </w:pPr>
      <w:rPr>
        <w:rFonts w:cs="Times New Roman"/>
      </w:rPr>
    </w:lvl>
    <w:lvl w:ilvl="4" w:tplc="483226AC" w:tentative="1">
      <w:start w:val="1"/>
      <w:numFmt w:val="lowerLetter"/>
      <w:lvlText w:val="%5."/>
      <w:lvlJc w:val="left"/>
      <w:pPr>
        <w:tabs>
          <w:tab w:val="num" w:pos="3600"/>
        </w:tabs>
        <w:ind w:left="3600" w:hanging="360"/>
      </w:pPr>
      <w:rPr>
        <w:rFonts w:cs="Times New Roman"/>
      </w:rPr>
    </w:lvl>
    <w:lvl w:ilvl="5" w:tplc="058887C2" w:tentative="1">
      <w:start w:val="1"/>
      <w:numFmt w:val="lowerRoman"/>
      <w:lvlText w:val="%6."/>
      <w:lvlJc w:val="right"/>
      <w:pPr>
        <w:tabs>
          <w:tab w:val="num" w:pos="4320"/>
        </w:tabs>
        <w:ind w:left="4320" w:hanging="180"/>
      </w:pPr>
      <w:rPr>
        <w:rFonts w:cs="Times New Roman"/>
      </w:rPr>
    </w:lvl>
    <w:lvl w:ilvl="6" w:tplc="BEFC7010" w:tentative="1">
      <w:start w:val="1"/>
      <w:numFmt w:val="decimal"/>
      <w:lvlText w:val="%7."/>
      <w:lvlJc w:val="left"/>
      <w:pPr>
        <w:tabs>
          <w:tab w:val="num" w:pos="5040"/>
        </w:tabs>
        <w:ind w:left="5040" w:hanging="360"/>
      </w:pPr>
      <w:rPr>
        <w:rFonts w:cs="Times New Roman"/>
      </w:rPr>
    </w:lvl>
    <w:lvl w:ilvl="7" w:tplc="9DA2D6B8" w:tentative="1">
      <w:start w:val="1"/>
      <w:numFmt w:val="lowerLetter"/>
      <w:lvlText w:val="%8."/>
      <w:lvlJc w:val="left"/>
      <w:pPr>
        <w:tabs>
          <w:tab w:val="num" w:pos="5760"/>
        </w:tabs>
        <w:ind w:left="5760" w:hanging="360"/>
      </w:pPr>
      <w:rPr>
        <w:rFonts w:cs="Times New Roman"/>
      </w:rPr>
    </w:lvl>
    <w:lvl w:ilvl="8" w:tplc="045EFFAC"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F84639D4">
      <w:start w:val="1"/>
      <w:numFmt w:val="bullet"/>
      <w:lvlText w:val=""/>
      <w:lvlJc w:val="left"/>
      <w:pPr>
        <w:tabs>
          <w:tab w:val="num" w:pos="720"/>
        </w:tabs>
        <w:ind w:left="720" w:hanging="360"/>
      </w:pPr>
      <w:rPr>
        <w:rFonts w:ascii="Symbol" w:hAnsi="Symbol" w:hint="default"/>
      </w:rPr>
    </w:lvl>
    <w:lvl w:ilvl="1" w:tplc="D31EB9E2" w:tentative="1">
      <w:start w:val="1"/>
      <w:numFmt w:val="bullet"/>
      <w:lvlText w:val="o"/>
      <w:lvlJc w:val="left"/>
      <w:pPr>
        <w:tabs>
          <w:tab w:val="num" w:pos="1440"/>
        </w:tabs>
        <w:ind w:left="1440" w:hanging="360"/>
      </w:pPr>
      <w:rPr>
        <w:rFonts w:ascii="Courier New" w:hAnsi="Courier New" w:hint="default"/>
      </w:rPr>
    </w:lvl>
    <w:lvl w:ilvl="2" w:tplc="BF7C6ADA" w:tentative="1">
      <w:start w:val="1"/>
      <w:numFmt w:val="bullet"/>
      <w:lvlText w:val=""/>
      <w:lvlJc w:val="left"/>
      <w:pPr>
        <w:tabs>
          <w:tab w:val="num" w:pos="2160"/>
        </w:tabs>
        <w:ind w:left="2160" w:hanging="360"/>
      </w:pPr>
      <w:rPr>
        <w:rFonts w:ascii="Wingdings" w:hAnsi="Wingdings" w:hint="default"/>
      </w:rPr>
    </w:lvl>
    <w:lvl w:ilvl="3" w:tplc="AA806BD4" w:tentative="1">
      <w:start w:val="1"/>
      <w:numFmt w:val="bullet"/>
      <w:lvlText w:val=""/>
      <w:lvlJc w:val="left"/>
      <w:pPr>
        <w:tabs>
          <w:tab w:val="num" w:pos="2880"/>
        </w:tabs>
        <w:ind w:left="2880" w:hanging="360"/>
      </w:pPr>
      <w:rPr>
        <w:rFonts w:ascii="Symbol" w:hAnsi="Symbol" w:hint="default"/>
      </w:rPr>
    </w:lvl>
    <w:lvl w:ilvl="4" w:tplc="4078B608" w:tentative="1">
      <w:start w:val="1"/>
      <w:numFmt w:val="bullet"/>
      <w:lvlText w:val="o"/>
      <w:lvlJc w:val="left"/>
      <w:pPr>
        <w:tabs>
          <w:tab w:val="num" w:pos="3600"/>
        </w:tabs>
        <w:ind w:left="3600" w:hanging="360"/>
      </w:pPr>
      <w:rPr>
        <w:rFonts w:ascii="Courier New" w:hAnsi="Courier New" w:hint="default"/>
      </w:rPr>
    </w:lvl>
    <w:lvl w:ilvl="5" w:tplc="FEC08F92" w:tentative="1">
      <w:start w:val="1"/>
      <w:numFmt w:val="bullet"/>
      <w:lvlText w:val=""/>
      <w:lvlJc w:val="left"/>
      <w:pPr>
        <w:tabs>
          <w:tab w:val="num" w:pos="4320"/>
        </w:tabs>
        <w:ind w:left="4320" w:hanging="360"/>
      </w:pPr>
      <w:rPr>
        <w:rFonts w:ascii="Wingdings" w:hAnsi="Wingdings" w:hint="default"/>
      </w:rPr>
    </w:lvl>
    <w:lvl w:ilvl="6" w:tplc="597C59D8" w:tentative="1">
      <w:start w:val="1"/>
      <w:numFmt w:val="bullet"/>
      <w:lvlText w:val=""/>
      <w:lvlJc w:val="left"/>
      <w:pPr>
        <w:tabs>
          <w:tab w:val="num" w:pos="5040"/>
        </w:tabs>
        <w:ind w:left="5040" w:hanging="360"/>
      </w:pPr>
      <w:rPr>
        <w:rFonts w:ascii="Symbol" w:hAnsi="Symbol" w:hint="default"/>
      </w:rPr>
    </w:lvl>
    <w:lvl w:ilvl="7" w:tplc="3E745FAC" w:tentative="1">
      <w:start w:val="1"/>
      <w:numFmt w:val="bullet"/>
      <w:lvlText w:val="o"/>
      <w:lvlJc w:val="left"/>
      <w:pPr>
        <w:tabs>
          <w:tab w:val="num" w:pos="5760"/>
        </w:tabs>
        <w:ind w:left="5760" w:hanging="360"/>
      </w:pPr>
      <w:rPr>
        <w:rFonts w:ascii="Courier New" w:hAnsi="Courier New" w:hint="default"/>
      </w:rPr>
    </w:lvl>
    <w:lvl w:ilvl="8" w:tplc="C89A4914"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C928AABE">
      <w:start w:val="1"/>
      <w:numFmt w:val="bullet"/>
      <w:lvlText w:val=""/>
      <w:lvlJc w:val="left"/>
      <w:pPr>
        <w:tabs>
          <w:tab w:val="num" w:pos="720"/>
        </w:tabs>
        <w:ind w:left="720" w:hanging="360"/>
      </w:pPr>
      <w:rPr>
        <w:rFonts w:ascii="Symbol" w:hAnsi="Symbol" w:hint="default"/>
        <w:u w:val="none"/>
      </w:rPr>
    </w:lvl>
    <w:lvl w:ilvl="1" w:tplc="EC169EDE" w:tentative="1">
      <w:start w:val="1"/>
      <w:numFmt w:val="bullet"/>
      <w:lvlText w:val="o"/>
      <w:lvlJc w:val="left"/>
      <w:pPr>
        <w:tabs>
          <w:tab w:val="num" w:pos="2880"/>
        </w:tabs>
        <w:ind w:left="2880" w:hanging="360"/>
      </w:pPr>
      <w:rPr>
        <w:rFonts w:ascii="Courier New" w:hAnsi="Courier New" w:hint="default"/>
      </w:rPr>
    </w:lvl>
    <w:lvl w:ilvl="2" w:tplc="537A0598" w:tentative="1">
      <w:start w:val="1"/>
      <w:numFmt w:val="bullet"/>
      <w:lvlText w:val=""/>
      <w:lvlJc w:val="left"/>
      <w:pPr>
        <w:tabs>
          <w:tab w:val="num" w:pos="3600"/>
        </w:tabs>
        <w:ind w:left="3600" w:hanging="360"/>
      </w:pPr>
      <w:rPr>
        <w:rFonts w:ascii="Wingdings" w:hAnsi="Wingdings" w:hint="default"/>
      </w:rPr>
    </w:lvl>
    <w:lvl w:ilvl="3" w:tplc="DE4A3634" w:tentative="1">
      <w:start w:val="1"/>
      <w:numFmt w:val="bullet"/>
      <w:lvlText w:val=""/>
      <w:lvlJc w:val="left"/>
      <w:pPr>
        <w:tabs>
          <w:tab w:val="num" w:pos="4320"/>
        </w:tabs>
        <w:ind w:left="4320" w:hanging="360"/>
      </w:pPr>
      <w:rPr>
        <w:rFonts w:ascii="Symbol" w:hAnsi="Symbol" w:hint="default"/>
      </w:rPr>
    </w:lvl>
    <w:lvl w:ilvl="4" w:tplc="E5488082" w:tentative="1">
      <w:start w:val="1"/>
      <w:numFmt w:val="bullet"/>
      <w:lvlText w:val="o"/>
      <w:lvlJc w:val="left"/>
      <w:pPr>
        <w:tabs>
          <w:tab w:val="num" w:pos="5040"/>
        </w:tabs>
        <w:ind w:left="5040" w:hanging="360"/>
      </w:pPr>
      <w:rPr>
        <w:rFonts w:ascii="Courier New" w:hAnsi="Courier New" w:hint="default"/>
      </w:rPr>
    </w:lvl>
    <w:lvl w:ilvl="5" w:tplc="81E4853E" w:tentative="1">
      <w:start w:val="1"/>
      <w:numFmt w:val="bullet"/>
      <w:lvlText w:val=""/>
      <w:lvlJc w:val="left"/>
      <w:pPr>
        <w:tabs>
          <w:tab w:val="num" w:pos="5760"/>
        </w:tabs>
        <w:ind w:left="5760" w:hanging="360"/>
      </w:pPr>
      <w:rPr>
        <w:rFonts w:ascii="Wingdings" w:hAnsi="Wingdings" w:hint="default"/>
      </w:rPr>
    </w:lvl>
    <w:lvl w:ilvl="6" w:tplc="21C87C42" w:tentative="1">
      <w:start w:val="1"/>
      <w:numFmt w:val="bullet"/>
      <w:lvlText w:val=""/>
      <w:lvlJc w:val="left"/>
      <w:pPr>
        <w:tabs>
          <w:tab w:val="num" w:pos="6480"/>
        </w:tabs>
        <w:ind w:left="6480" w:hanging="360"/>
      </w:pPr>
      <w:rPr>
        <w:rFonts w:ascii="Symbol" w:hAnsi="Symbol" w:hint="default"/>
      </w:rPr>
    </w:lvl>
    <w:lvl w:ilvl="7" w:tplc="8CDECB56" w:tentative="1">
      <w:start w:val="1"/>
      <w:numFmt w:val="bullet"/>
      <w:lvlText w:val="o"/>
      <w:lvlJc w:val="left"/>
      <w:pPr>
        <w:tabs>
          <w:tab w:val="num" w:pos="7200"/>
        </w:tabs>
        <w:ind w:left="7200" w:hanging="360"/>
      </w:pPr>
      <w:rPr>
        <w:rFonts w:ascii="Courier New" w:hAnsi="Courier New" w:hint="default"/>
      </w:rPr>
    </w:lvl>
    <w:lvl w:ilvl="8" w:tplc="2A6A767E"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99E209E2">
      <w:start w:val="1"/>
      <w:numFmt w:val="bullet"/>
      <w:lvlText w:val=""/>
      <w:lvlJc w:val="left"/>
      <w:pPr>
        <w:tabs>
          <w:tab w:val="num" w:pos="5760"/>
        </w:tabs>
        <w:ind w:left="5760" w:hanging="360"/>
      </w:pPr>
      <w:rPr>
        <w:rFonts w:ascii="Symbol" w:hAnsi="Symbol" w:hint="default"/>
        <w:color w:val="auto"/>
        <w:u w:val="none"/>
      </w:rPr>
    </w:lvl>
    <w:lvl w:ilvl="1" w:tplc="A6F23EB0" w:tentative="1">
      <w:start w:val="1"/>
      <w:numFmt w:val="bullet"/>
      <w:lvlText w:val="o"/>
      <w:lvlJc w:val="left"/>
      <w:pPr>
        <w:tabs>
          <w:tab w:val="num" w:pos="3600"/>
        </w:tabs>
        <w:ind w:left="3600" w:hanging="360"/>
      </w:pPr>
      <w:rPr>
        <w:rFonts w:ascii="Courier New" w:hAnsi="Courier New" w:hint="default"/>
      </w:rPr>
    </w:lvl>
    <w:lvl w:ilvl="2" w:tplc="474C8314" w:tentative="1">
      <w:start w:val="1"/>
      <w:numFmt w:val="bullet"/>
      <w:lvlText w:val=""/>
      <w:lvlJc w:val="left"/>
      <w:pPr>
        <w:tabs>
          <w:tab w:val="num" w:pos="4320"/>
        </w:tabs>
        <w:ind w:left="4320" w:hanging="360"/>
      </w:pPr>
      <w:rPr>
        <w:rFonts w:ascii="Wingdings" w:hAnsi="Wingdings" w:hint="default"/>
      </w:rPr>
    </w:lvl>
    <w:lvl w:ilvl="3" w:tplc="0D166836">
      <w:start w:val="1"/>
      <w:numFmt w:val="bullet"/>
      <w:lvlText w:val=""/>
      <w:lvlJc w:val="left"/>
      <w:pPr>
        <w:tabs>
          <w:tab w:val="num" w:pos="5040"/>
        </w:tabs>
        <w:ind w:left="5040" w:hanging="360"/>
      </w:pPr>
      <w:rPr>
        <w:rFonts w:ascii="Symbol" w:hAnsi="Symbol" w:hint="default"/>
      </w:rPr>
    </w:lvl>
    <w:lvl w:ilvl="4" w:tplc="5ECE5F0C" w:tentative="1">
      <w:start w:val="1"/>
      <w:numFmt w:val="bullet"/>
      <w:lvlText w:val="o"/>
      <w:lvlJc w:val="left"/>
      <w:pPr>
        <w:tabs>
          <w:tab w:val="num" w:pos="5760"/>
        </w:tabs>
        <w:ind w:left="5760" w:hanging="360"/>
      </w:pPr>
      <w:rPr>
        <w:rFonts w:ascii="Courier New" w:hAnsi="Courier New" w:hint="default"/>
      </w:rPr>
    </w:lvl>
    <w:lvl w:ilvl="5" w:tplc="EE1EA472" w:tentative="1">
      <w:start w:val="1"/>
      <w:numFmt w:val="bullet"/>
      <w:lvlText w:val=""/>
      <w:lvlJc w:val="left"/>
      <w:pPr>
        <w:tabs>
          <w:tab w:val="num" w:pos="6480"/>
        </w:tabs>
        <w:ind w:left="6480" w:hanging="360"/>
      </w:pPr>
      <w:rPr>
        <w:rFonts w:ascii="Wingdings" w:hAnsi="Wingdings" w:hint="default"/>
      </w:rPr>
    </w:lvl>
    <w:lvl w:ilvl="6" w:tplc="4E90781C" w:tentative="1">
      <w:start w:val="1"/>
      <w:numFmt w:val="bullet"/>
      <w:lvlText w:val=""/>
      <w:lvlJc w:val="left"/>
      <w:pPr>
        <w:tabs>
          <w:tab w:val="num" w:pos="7200"/>
        </w:tabs>
        <w:ind w:left="7200" w:hanging="360"/>
      </w:pPr>
      <w:rPr>
        <w:rFonts w:ascii="Symbol" w:hAnsi="Symbol" w:hint="default"/>
      </w:rPr>
    </w:lvl>
    <w:lvl w:ilvl="7" w:tplc="40EAD2C4" w:tentative="1">
      <w:start w:val="1"/>
      <w:numFmt w:val="bullet"/>
      <w:lvlText w:val="o"/>
      <w:lvlJc w:val="left"/>
      <w:pPr>
        <w:tabs>
          <w:tab w:val="num" w:pos="7920"/>
        </w:tabs>
        <w:ind w:left="7920" w:hanging="360"/>
      </w:pPr>
      <w:rPr>
        <w:rFonts w:ascii="Courier New" w:hAnsi="Courier New" w:hint="default"/>
      </w:rPr>
    </w:lvl>
    <w:lvl w:ilvl="8" w:tplc="412A57BA"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CB586C22">
      <w:start w:val="1"/>
      <w:numFmt w:val="decimal"/>
      <w:lvlText w:val="(%1)"/>
      <w:lvlJc w:val="left"/>
      <w:pPr>
        <w:tabs>
          <w:tab w:val="num" w:pos="2520"/>
        </w:tabs>
        <w:ind w:left="2520" w:hanging="720"/>
      </w:pPr>
      <w:rPr>
        <w:rFonts w:cs="Times New Roman" w:hint="default"/>
      </w:rPr>
    </w:lvl>
    <w:lvl w:ilvl="1" w:tplc="AC8E4B90">
      <w:start w:val="1"/>
      <w:numFmt w:val="lowerRoman"/>
      <w:lvlText w:val="(%2)"/>
      <w:lvlJc w:val="left"/>
      <w:pPr>
        <w:tabs>
          <w:tab w:val="num" w:pos="1800"/>
        </w:tabs>
        <w:ind w:left="1800" w:hanging="720"/>
      </w:pPr>
      <w:rPr>
        <w:rFonts w:cs="Times New Roman" w:hint="default"/>
        <w:b w:val="0"/>
      </w:rPr>
    </w:lvl>
    <w:lvl w:ilvl="2" w:tplc="46E63C2A">
      <w:start w:val="1"/>
      <w:numFmt w:val="decimal"/>
      <w:lvlText w:val="(%3)"/>
      <w:lvlJc w:val="right"/>
      <w:pPr>
        <w:tabs>
          <w:tab w:val="num" w:pos="2160"/>
        </w:tabs>
        <w:ind w:left="2160" w:hanging="180"/>
      </w:pPr>
      <w:rPr>
        <w:rFonts w:ascii="Times New Roman" w:eastAsia="Times New Roman" w:hAnsi="Times New Roman" w:cs="Times New Roman"/>
        <w:b w:val="0"/>
      </w:rPr>
    </w:lvl>
    <w:lvl w:ilvl="3" w:tplc="9DC89C6A">
      <w:start w:val="1"/>
      <w:numFmt w:val="lowerRoman"/>
      <w:lvlText w:val="(%4)"/>
      <w:lvlJc w:val="left"/>
      <w:pPr>
        <w:tabs>
          <w:tab w:val="num" w:pos="2520"/>
        </w:tabs>
        <w:ind w:left="2880" w:hanging="360"/>
      </w:pPr>
      <w:rPr>
        <w:rFonts w:cs="Times New Roman" w:hint="default"/>
        <w:b w:val="0"/>
      </w:rPr>
    </w:lvl>
    <w:lvl w:ilvl="4" w:tplc="340E5A18" w:tentative="1">
      <w:start w:val="1"/>
      <w:numFmt w:val="lowerLetter"/>
      <w:lvlText w:val="%5."/>
      <w:lvlJc w:val="left"/>
      <w:pPr>
        <w:tabs>
          <w:tab w:val="num" w:pos="3600"/>
        </w:tabs>
        <w:ind w:left="3600" w:hanging="360"/>
      </w:pPr>
      <w:rPr>
        <w:rFonts w:cs="Times New Roman"/>
      </w:rPr>
    </w:lvl>
    <w:lvl w:ilvl="5" w:tplc="B3CAC656" w:tentative="1">
      <w:start w:val="1"/>
      <w:numFmt w:val="lowerRoman"/>
      <w:lvlText w:val="%6."/>
      <w:lvlJc w:val="right"/>
      <w:pPr>
        <w:tabs>
          <w:tab w:val="num" w:pos="4320"/>
        </w:tabs>
        <w:ind w:left="4320" w:hanging="180"/>
      </w:pPr>
      <w:rPr>
        <w:rFonts w:cs="Times New Roman"/>
      </w:rPr>
    </w:lvl>
    <w:lvl w:ilvl="6" w:tplc="8938AFC0" w:tentative="1">
      <w:start w:val="1"/>
      <w:numFmt w:val="decimal"/>
      <w:lvlText w:val="%7."/>
      <w:lvlJc w:val="left"/>
      <w:pPr>
        <w:tabs>
          <w:tab w:val="num" w:pos="5040"/>
        </w:tabs>
        <w:ind w:left="5040" w:hanging="360"/>
      </w:pPr>
      <w:rPr>
        <w:rFonts w:cs="Times New Roman"/>
      </w:rPr>
    </w:lvl>
    <w:lvl w:ilvl="7" w:tplc="0A6070EC" w:tentative="1">
      <w:start w:val="1"/>
      <w:numFmt w:val="lowerLetter"/>
      <w:lvlText w:val="%8."/>
      <w:lvlJc w:val="left"/>
      <w:pPr>
        <w:tabs>
          <w:tab w:val="num" w:pos="5760"/>
        </w:tabs>
        <w:ind w:left="5760" w:hanging="360"/>
      </w:pPr>
      <w:rPr>
        <w:rFonts w:cs="Times New Roman"/>
      </w:rPr>
    </w:lvl>
    <w:lvl w:ilvl="8" w:tplc="9EEC2EDC"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502360"/>
    <w:rsid w:val="00502360"/>
    <w:rsid w:val="00682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9DA828-0488-4404-BA8A-E710E00E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7127</Words>
  <Characters>40626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630737947</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-1872345897</vt:i4>
  </property>
  <property fmtid="{D5CDD505-2E9C-101B-9397-08002B2CF9AE}" pid="13" name="_ReviewingToolsShownOnce">
    <vt:lpwstr/>
  </property>
</Properties>
</file>