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1B1A3E">
      <w:pPr>
        <w:pStyle w:val="Heading2"/>
      </w:pPr>
      <w:bookmarkStart w:id="0" w:name="_DV_M7"/>
      <w:bookmarkStart w:id="1" w:name="_Toc261252161"/>
      <w:bookmarkEnd w:id="0"/>
      <w:r>
        <w:t>23.2</w:t>
      </w:r>
      <w:r>
        <w:tab/>
        <w:t>Conduct Warranting Mitigation</w:t>
      </w:r>
      <w:bookmarkEnd w:id="1"/>
    </w:p>
    <w:p w:rsidR="00C17202" w:rsidRDefault="001B1A3E">
      <w:pPr>
        <w:pStyle w:val="Heading3"/>
      </w:pPr>
      <w:bookmarkStart w:id="2" w:name="_DV_M8"/>
      <w:bookmarkStart w:id="3" w:name="_Toc261252162"/>
      <w:bookmarkEnd w:id="2"/>
      <w:r>
        <w:t>23.2.1</w:t>
      </w:r>
      <w:r>
        <w:tab/>
        <w:t>Definitions</w:t>
      </w:r>
      <w:bookmarkEnd w:id="3"/>
    </w:p>
    <w:p w:rsidR="00C17202" w:rsidRDefault="001B1A3E">
      <w:pPr>
        <w:pStyle w:val="Bodypara"/>
      </w:pPr>
      <w:r>
        <w:t>The following definitions are applicable to this Attachment H:</w:t>
      </w:r>
    </w:p>
    <w:p w:rsidR="001504C1" w:rsidRDefault="001B1A3E"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1B1A3E"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1B1A3E">
      <w:pPr>
        <w:pStyle w:val="romannumeralpara"/>
        <w:spacing w:before="120" w:after="120" w:line="240" w:lineRule="auto"/>
      </w:pPr>
      <w:r>
        <w:t>i)</w:t>
      </w:r>
      <w:r>
        <w:tab/>
        <w:t>all persons or Entities that directly or indirectly control</w:t>
      </w:r>
      <w:r>
        <w:t xml:space="preserve"> such person or Entity; </w:t>
      </w:r>
    </w:p>
    <w:p w:rsidR="00C17202" w:rsidRDefault="001B1A3E">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1B1A3E">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xml:space="preserve">, if such services relate to the determination or submission of offers for Unforced Capacity in a market administered by the ISO; or </w:t>
      </w:r>
    </w:p>
    <w:p w:rsidR="00C17202" w:rsidRDefault="001B1A3E">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except an RMR Generator,</w:t>
      </w:r>
      <w:r>
        <w:rPr>
          <w:bCs/>
        </w:rPr>
        <w:t xml:space="preserve"> with which such person or </w:t>
      </w:r>
      <w:r>
        <w:rPr>
          <w:bCs/>
        </w:rPr>
        <w:t xml:space="preserve">Entity has any form of agreement under which such person or </w:t>
      </w:r>
      <w:r>
        <w:t>Entity</w:t>
      </w:r>
      <w:r>
        <w:rPr>
          <w:bCs/>
        </w:rPr>
        <w:t xml:space="preserve"> has retained or has conferred rights of Control of Unforced Capacity.</w:t>
      </w:r>
    </w:p>
    <w:p w:rsidR="00C17202" w:rsidRDefault="001B1A3E"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w:t>
      </w:r>
      <w:r>
        <w:rPr>
          <w:bCs/>
        </w:rPr>
        <w:t xml:space="preserve">ent </w:t>
      </w:r>
      <w:r>
        <w:t>or</w:t>
      </w:r>
      <w:r>
        <w:rPr>
          <w:bCs/>
        </w:rPr>
        <w:t xml:space="preserve"> policies of a person or Entity, and shall be rebuttably presumed from an ownership, voting or equivalent interest of ten percent or more.  </w:t>
      </w:r>
    </w:p>
    <w:p w:rsidR="006302F0" w:rsidRDefault="001B1A3E"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w:t>
      </w:r>
      <w:r w:rsidRPr="00A016A2">
        <w:rPr>
          <w:bCs/>
        </w:rPr>
        <w:t xml:space="preserve">ly required a repair time of at least 270 days, from the date of the event resulting in the Forced Outage, had it, or a comparable Forced Outage been suffered at a generating facility that is reasonably the same as or similar to the Generator’s, the owner </w:t>
      </w:r>
      <w:r w:rsidRPr="00A016A2">
        <w:rPr>
          <w:bCs/>
        </w:rPr>
        <w:t xml:space="preserve">of which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w:t>
      </w:r>
      <w:r w:rsidRPr="00A016A2">
        <w:rPr>
          <w:bCs/>
        </w:rPr>
        <w:t xml:space="preserve">air, provided the foregoing are necessitated by the Catastrophic Failure.  The determination that a Generator has suffered a </w:t>
      </w:r>
      <w:r w:rsidRPr="00A016A2">
        <w:rPr>
          <w:bCs/>
        </w:rPr>
        <w:lastRenderedPageBreak/>
        <w:t>Catastrophic Failure shall be based on a technical/engineering evaluation, shall be made by the ISO, and may be made at any time fo</w:t>
      </w:r>
      <w:r w:rsidRPr="00A016A2">
        <w:rPr>
          <w:bCs/>
        </w:rPr>
        <w:t xml:space="preserve">llowing the event that caused the Forced Outage provided that adequate information is provided to the ISO to support such determination.  </w:t>
      </w:r>
    </w:p>
    <w:p w:rsidR="00CD4FCE" w:rsidRDefault="001B1A3E"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w:t>
      </w:r>
      <w:r w:rsidRPr="000A1372">
        <w:rPr>
          <w:bCs/>
        </w:rPr>
        <w:t>TT Attachment S).</w:t>
      </w:r>
    </w:p>
    <w:p w:rsidR="00CD4FCE" w:rsidRPr="006302F0" w:rsidRDefault="001B1A3E"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1B1A3E"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w:t>
      </w:r>
      <w:r>
        <w:rPr>
          <w:bCs/>
        </w:rPr>
        <w:t>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w:t>
      </w:r>
      <w:r>
        <w:t xml:space="preserve">tive; or (B) contracts (collectively, “EPC Equivalents”) for all of the following have been executed by all parties and is effective: (1) project engineering, (2) procurement of all major equipment, and (3) construction of the project, </w:t>
      </w:r>
      <w:r w:rsidRPr="00CC2198">
        <w:t>and (ii)</w:t>
      </w:r>
      <w:r>
        <w:t xml:space="preserve"> the cumulat</w:t>
      </w:r>
      <w:r>
        <w:t>ive payments made by the developer under the EPC or EPC Equivalents to the counterparties to those respective agreements is equal to at least thirty (30) percent of the total costs of the EPC or EPC Equivalents</w:t>
      </w:r>
      <w:r>
        <w:rPr>
          <w:bCs/>
        </w:rPr>
        <w:t>.</w:t>
      </w:r>
    </w:p>
    <w:p w:rsidR="00C17202" w:rsidRDefault="001B1A3E" w:rsidP="008007DD">
      <w:pPr>
        <w:pStyle w:val="Definition"/>
        <w:spacing w:before="120" w:after="120"/>
      </w:pPr>
      <w:r>
        <w:rPr>
          <w:b/>
        </w:rPr>
        <w:t xml:space="preserve">“Constrained Area” </w:t>
      </w:r>
      <w:r>
        <w:t>shall mean:  (a) the In-C</w:t>
      </w:r>
      <w:r>
        <w:t>ity area, including any areas subject to transmission constraints within the In-City area that give rise to significant locational market power; and (b) any other area in the New York Control Area that has been identified by the ISO as subject to transmiss</w:t>
      </w:r>
      <w:r>
        <w:t>ion constraints that give rise to significant locational market power, and that has been approved by the Commission for designation as a Constrained Area.</w:t>
      </w:r>
    </w:p>
    <w:p w:rsidR="00C17202" w:rsidRDefault="001B1A3E"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w:t>
      </w:r>
      <w:r>
        <w:rPr>
          <w:bCs/>
        </w:rPr>
        <w:t xml:space="preserve">l mean the ability to determine the quantity or price of offers to supply Unforced Capacity from a </w:t>
      </w:r>
      <w:r>
        <w:rPr>
          <w:bCs/>
        </w:rPr>
        <w:t>Mitigated Capacity Zone</w:t>
      </w:r>
      <w:r>
        <w:rPr>
          <w:bCs/>
        </w:rPr>
        <w:t xml:space="preserve"> Installed Capacity Supplier submitted into an ICAP Spot Market Auction</w:t>
      </w:r>
      <w:r>
        <w:rPr>
          <w:bCs/>
        </w:rPr>
        <w:t>; but excluding UCAP from an RMR Generator</w:t>
      </w:r>
      <w:r>
        <w:rPr>
          <w:bCs/>
        </w:rPr>
        <w:t xml:space="preserve">.  </w:t>
      </w:r>
    </w:p>
    <w:p w:rsidR="00CD4FCE" w:rsidRPr="00CD4FCE" w:rsidRDefault="001B1A3E" w:rsidP="00CD4FCE">
      <w:pPr>
        <w:pStyle w:val="Definition"/>
        <w:spacing w:before="120" w:after="120"/>
        <w:rPr>
          <w:b/>
          <w:bCs/>
        </w:rPr>
      </w:pPr>
      <w:r>
        <w:rPr>
          <w:bCs/>
        </w:rPr>
        <w:t>For purposes of S</w:t>
      </w:r>
      <w:r>
        <w:rPr>
          <w:bCs/>
        </w:rPr>
        <w:t>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1B1A3E"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w:t>
      </w:r>
      <w:r>
        <w:rPr>
          <w:bCs/>
        </w:rPr>
        <w:t>ss Transmission Tariff.</w:t>
      </w:r>
    </w:p>
    <w:p w:rsidR="00C17202" w:rsidRDefault="001B1A3E" w:rsidP="008007DD">
      <w:pPr>
        <w:pStyle w:val="Definition"/>
        <w:spacing w:before="120" w:after="120"/>
      </w:pPr>
      <w:r>
        <w:rPr>
          <w:b/>
        </w:rPr>
        <w:t>“Electric Facility”</w:t>
      </w:r>
      <w:r>
        <w:t xml:space="preserve"> shall mean a Generator or an electric transmission facility.</w:t>
      </w:r>
    </w:p>
    <w:p w:rsidR="00C17202" w:rsidRDefault="001B1A3E"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w:t>
      </w:r>
      <w:r>
        <w:t xml:space="preserve">, joint venture, association, joint-stock company, trust, unincorporated organization or other form of legal or juridical organization or entity. </w:t>
      </w:r>
    </w:p>
    <w:p w:rsidR="006302F0" w:rsidRDefault="001B1A3E" w:rsidP="008007DD">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w:t>
      </w:r>
      <w:r w:rsidRPr="00846FD3">
        <w:rPr>
          <w:bCs/>
        </w:rPr>
        <w:t>rvices Tariff.  Exceptional Circumstances may include, but are not limited to: the inaccessibility of the physical facility; the inaccessibility of necessary documentation or other data; and the unavailability of information regarding the regulatory obliga</w:t>
      </w:r>
      <w:r w:rsidRPr="00846FD3">
        <w:rPr>
          <w:bCs/>
        </w:rPr>
        <w:t xml:space="preserve">tions with which the Market Party </w:t>
      </w:r>
      <w:r w:rsidRPr="00846FD3">
        <w:rPr>
          <w:bCs/>
        </w:rPr>
        <w:lastRenderedPageBreak/>
        <w:t xml:space="preserve">will be required to comply in order to return its Generator to service which regulatory obligations are not yet known but which will be made known by the applicable regulatory authority under existing laws and regulations </w:t>
      </w:r>
      <w:r w:rsidRPr="00846FD3">
        <w:rPr>
          <w:bCs/>
        </w:rPr>
        <w:t xml:space="preserve">provided that none of the above described circumstances are the result of delay or inaction by the Market Party. The magnitude of the repair cost, alone, shall not be an Exceptional Circumstance.  </w:t>
      </w:r>
    </w:p>
    <w:p w:rsidR="00563EBE" w:rsidRPr="00464CAD" w:rsidRDefault="001B1A3E" w:rsidP="00563EBE">
      <w:pPr>
        <w:pStyle w:val="Definition"/>
        <w:spacing w:before="120" w:after="120"/>
        <w:rPr>
          <w:iCs/>
        </w:rPr>
      </w:pPr>
      <w:r w:rsidRPr="00464CAD">
        <w:rPr>
          <w:b/>
          <w:iCs/>
        </w:rPr>
        <w:t>“Exempt Renewable Technology”</w:t>
      </w:r>
      <w:r>
        <w:rPr>
          <w:iCs/>
        </w:rPr>
        <w:t xml:space="preserve"> </w:t>
      </w:r>
      <w:r>
        <w:t>shall mean, in all Mitigated</w:t>
      </w:r>
      <w:r>
        <w:t xml:space="preserve"> Capacity Zones, an Intermittent Power Resource solely powered by wind or solar energy.</w:t>
      </w:r>
    </w:p>
    <w:p w:rsidR="00C17202" w:rsidRDefault="001B1A3E"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requirements that must be met in order to supply Installed Capacity, net of antic</w:t>
      </w:r>
      <w:r>
        <w:rPr>
          <w:bCs/>
        </w:rPr>
        <w:t xml:space="preserve">ipated energy and ancillary services revenues, as determined by the ISO as specified in Section 23.4.5.3, for each of the following instances, as applicable, of supplying Installed Capacity that could be avoided if an Installed Capacity Supplier otherwise </w:t>
      </w:r>
      <w:r>
        <w:rPr>
          <w:bCs/>
        </w:rPr>
        <w:t xml:space="preserve">capable of supplying Installed Capacity were either (1) to cease supplying Installed Capacity and </w:t>
      </w:r>
      <w:r>
        <w:t>Energy</w:t>
      </w:r>
      <w:r>
        <w:rPr>
          <w:bCs/>
        </w:rPr>
        <w:t xml:space="preserve"> for a period of one year or more while retaining the ability to re-enter such markets, or (2) to retire permanently from supplying Installed Capacity a</w:t>
      </w:r>
      <w:r>
        <w:rPr>
          <w:bCs/>
        </w:rPr>
        <w:t xml:space="preserve">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taken place. </w:t>
      </w:r>
    </w:p>
    <w:p w:rsidR="008007DD" w:rsidRPr="008007DD" w:rsidRDefault="001B1A3E" w:rsidP="008007DD">
      <w:pPr>
        <w:pStyle w:val="Definition"/>
        <w:spacing w:before="120" w:after="120"/>
        <w:rPr>
          <w:iCs/>
        </w:rPr>
      </w:pPr>
      <w:r>
        <w:rPr>
          <w:iCs/>
        </w:rPr>
        <w:t>For purposes of Section 23.4.5 of this Attachment H, “</w:t>
      </w:r>
      <w:r w:rsidRPr="00CC2198">
        <w:rPr>
          <w:b/>
          <w:iCs/>
        </w:rPr>
        <w:t>Indica</w:t>
      </w:r>
      <w:r w:rsidRPr="00CC2198">
        <w:rPr>
          <w:b/>
          <w:iCs/>
        </w:rPr>
        <w:t>tive Mitigation Net CONE</w:t>
      </w:r>
      <w:r w:rsidRPr="00CC2198">
        <w:rPr>
          <w:iCs/>
        </w:rPr>
        <w:t>” shall mean the capacity price calculated by the NYISO for informational purposes only if there is not an effective ICAP Demand Curve and the Commission (</w:t>
      </w:r>
      <w:r>
        <w:rPr>
          <w:iCs/>
        </w:rPr>
        <w:t>i) has accepted an ICAP Demand Curve for the Mitigated Capacity Zone that wil</w:t>
      </w:r>
      <w:r>
        <w:rPr>
          <w:iCs/>
        </w:rPr>
        <w:t>l become effective when the Mitigated Capacity Zone is first effective, in which case, the Indicative Mitigation Net CONE shall be the capacity price on such ICAP Demand Curve for the Mitigated Capacity Zone corresponding to the average amount of excess ca</w:t>
      </w:r>
      <w:r>
        <w:rPr>
          <w:iCs/>
        </w:rPr>
        <w:t>pacity above the Indicative NCZ Locational Minimum Installed Capacity Requirement, as applicable, expressed as a percentage of that requirement that formed the basis for the ICAP Demand Curve accepted by the Commission; or, (ii) has not accepted an ICAP De</w:t>
      </w:r>
      <w:r>
        <w:rPr>
          <w:iCs/>
        </w:rPr>
        <w:t>mand Curve for the Mitigated Capacity Zone, but the ISO has filed an ICAP Demand Curve for the Mitigated Capacity Zone pursuant to Services Tariff Section 5.14.1.2.11, in which case the Indicative Mitigation Net CONE shall be the capacity price on such ICA</w:t>
      </w:r>
      <w:r>
        <w:rPr>
          <w:iCs/>
        </w:rPr>
        <w:t>P Demand Curve corresponding to the average amount of excess capacity above the Indicative NCZ Locational Minimum Installed Capacity Requirement, expressed as a percentage of that requirement, that formed the basis for such ICAP Demand Curve.</w:t>
      </w:r>
    </w:p>
    <w:p w:rsidR="00C17202" w:rsidRDefault="001B1A3E" w:rsidP="008007DD">
      <w:pPr>
        <w:pStyle w:val="Definition"/>
        <w:spacing w:before="120" w:after="120"/>
        <w:rPr>
          <w:bCs/>
        </w:rPr>
      </w:pPr>
      <w:r>
        <w:rPr>
          <w:b/>
        </w:rPr>
        <w:t>“Initial Deci</w:t>
      </w:r>
      <w:r>
        <w:rPr>
          <w:b/>
        </w:rPr>
        <w:t xml:space="preserve">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1B1A3E"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1B1A3E"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1B1A3E" w:rsidP="008007DD">
      <w:pPr>
        <w:pStyle w:val="Definition"/>
        <w:spacing w:before="120" w:after="120"/>
      </w:pPr>
      <w:r>
        <w:rPr>
          <w:b/>
        </w:rPr>
        <w:t xml:space="preserve">“Market Monitoring Unit” </w:t>
      </w:r>
      <w:r>
        <w:t>shall have the same meaning in these Mitigation Measures as it has in Attachm</w:t>
      </w:r>
      <w:r>
        <w:t xml:space="preserve">ent O.  </w:t>
      </w:r>
    </w:p>
    <w:p w:rsidR="00C17202" w:rsidRDefault="001B1A3E"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w:t>
      </w:r>
      <w:r>
        <w:t xml:space="preserve">ers to buy or sell in, or that schedules or seeks to schedule Transactions with the ISO in or affecting any of the </w:t>
      </w:r>
      <w:r w:rsidRPr="002550CF">
        <w:rPr>
          <w:bCs/>
          <w:color w:val="000000"/>
        </w:rPr>
        <w:t>ISO</w:t>
      </w:r>
      <w:r>
        <w:t xml:space="preserve"> Administered Markets, or any combination of the foregoing.</w:t>
      </w:r>
    </w:p>
    <w:p w:rsidR="00C17202" w:rsidRDefault="001B1A3E"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to Control by a Market Party that has been identified by the ISO as a Pivotal Supplier.</w:t>
      </w:r>
    </w:p>
    <w:p w:rsidR="00C17202" w:rsidRDefault="001B1A3E"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shall mean the capaci</w:t>
      </w:r>
      <w:r w:rsidRPr="00061997">
        <w:rPr>
          <w:bCs/>
          <w:color w:val="000000"/>
        </w:rPr>
        <w:t xml:space="preserve">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w:t>
      </w:r>
      <w:r w:rsidRPr="00061997">
        <w:rPr>
          <w:bCs/>
          <w:color w:val="000000"/>
        </w:rPr>
        <w:t xml:space="preserve">at formed the basis for the </w:t>
      </w:r>
      <w:r>
        <w:rPr>
          <w:bCs/>
          <w:color w:val="000000"/>
        </w:rPr>
        <w:t xml:space="preserve">ICAP </w:t>
      </w:r>
      <w:r w:rsidRPr="00061997">
        <w:rPr>
          <w:bCs/>
          <w:color w:val="000000"/>
        </w:rPr>
        <w:t>Demand Curve approved by the Commission.</w:t>
      </w:r>
    </w:p>
    <w:p w:rsidR="00A2257B" w:rsidRPr="00A2257B" w:rsidRDefault="001B1A3E"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w:t>
      </w:r>
      <w:r>
        <w:rPr>
          <w:bCs/>
          <w:color w:val="000000"/>
        </w:rPr>
        <w:t>t ICAP Demand Curve to apply to a Mitigated Capacity Zone</w:t>
      </w:r>
      <w:r>
        <w:rPr>
          <w:bCs/>
          <w:color w:val="000000"/>
        </w:rPr>
        <w:t xml:space="preserve"> or</w:t>
      </w:r>
      <w:r>
        <w:rPr>
          <w:bCs/>
          <w:color w:val="000000"/>
        </w:rPr>
        <w:t xml:space="preserve"> (ii) meets the criteria specified in 23.4.5.7.3(II).  An NCZ Examined Project may be at any phase of development or in operation or an Installed Capacity Supplier.</w:t>
      </w:r>
    </w:p>
    <w:p w:rsidR="00C17202" w:rsidRDefault="001B1A3E" w:rsidP="008007DD">
      <w:pPr>
        <w:pStyle w:val="Definition"/>
        <w:spacing w:before="120" w:after="120"/>
        <w:rPr>
          <w:bCs/>
        </w:rPr>
      </w:pPr>
      <w:r>
        <w:t xml:space="preserve">For purposes of Section 23.4.5 </w:t>
      </w:r>
      <w:r>
        <w:t xml:space="preserve">of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Energy and Ancillary Services revenues of such unit, as determined in connection with esta</w:t>
      </w:r>
      <w:r>
        <w:t xml:space="preserve">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1B1A3E"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1B1A3E"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w:t>
      </w:r>
      <w:r w:rsidRPr="00B66BAB">
        <w:rPr>
          <w:bCs/>
        </w:rPr>
        <w:t>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w:t>
      </w:r>
      <w:r>
        <w:rPr>
          <w:bCs/>
        </w:rPr>
        <w:t xml:space="preserve">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w:t>
      </w:r>
      <w:r>
        <w:rPr>
          <w:bCs/>
        </w:rPr>
        <w:t>pecified in Section 23.4.5.7.</w:t>
      </w:r>
      <w:r>
        <w:rPr>
          <w:bCs/>
        </w:rPr>
        <w:t>5.</w:t>
      </w:r>
      <w:r>
        <w:rPr>
          <w:bCs/>
        </w:rPr>
        <w:t xml:space="preserve">  The Offer Floor for Additional CRIS MW shall mean a numerical value determined as specified in Section 23.4.5.7.6.</w:t>
      </w:r>
    </w:p>
    <w:p w:rsidR="005A5A96" w:rsidRDefault="001B1A3E" w:rsidP="008007DD">
      <w:pPr>
        <w:pStyle w:val="Definition"/>
        <w:spacing w:before="120" w:after="120"/>
        <w:rPr>
          <w:bCs/>
        </w:rPr>
      </w:pPr>
      <w:r w:rsidRPr="00515F18">
        <w:rPr>
          <w:b/>
          <w:bCs/>
        </w:rPr>
        <w:t>“Owner”</w:t>
      </w:r>
      <w:r>
        <w:rPr>
          <w:bCs/>
        </w:rPr>
        <w:t xml:space="preserve"> </w:t>
      </w:r>
      <w:r w:rsidRPr="00515F18">
        <w:rPr>
          <w:bCs/>
        </w:rPr>
        <w:t>shall have the meaning specified in Section 31.1.1 of the ISO’s Open Access Transmission Tariff.</w:t>
      </w:r>
    </w:p>
    <w:p w:rsidR="00C17202" w:rsidRDefault="001B1A3E" w:rsidP="008007DD">
      <w:pPr>
        <w:pStyle w:val="Definition"/>
        <w:spacing w:before="120" w:after="120"/>
        <w:rPr>
          <w:bCs/>
        </w:rPr>
      </w:pPr>
      <w:r>
        <w:rPr>
          <w:bCs/>
        </w:rPr>
        <w:t>For</w:t>
      </w:r>
      <w:r>
        <w:rPr>
          <w:bCs/>
        </w:rPr>
        <w:t xml:space="preserve">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w:t>
      </w:r>
      <w:r>
        <w:rPr>
          <w:bCs/>
        </w:rPr>
        <w:t>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w:t>
      </w:r>
      <w:r>
        <w:rPr>
          <w:bCs/>
        </w:rPr>
        <w:t>,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 each Mitigate</w:t>
      </w:r>
      <w:r>
        <w:rPr>
          <w:bCs/>
        </w:rPr>
        <w:t xml:space="preserv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1B1A3E"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1B1A3E"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w:t>
      </w:r>
      <w:r>
        <w:rPr>
          <w:bCs/>
        </w:rPr>
        <w:t xml:space="preserve">ized, in accordance with ISO Procedures, to submit offers in an ICAP Spot </w:t>
      </w:r>
      <w:r>
        <w:t>Market</w:t>
      </w:r>
      <w:r>
        <w:rPr>
          <w:bCs/>
        </w:rPr>
        <w:t xml:space="preserve"> Auction to sell Unforced Capacity from a specified Installed Capacity Supplier.</w:t>
      </w:r>
    </w:p>
    <w:p w:rsidR="00CB4952" w:rsidRDefault="001B1A3E" w:rsidP="008007DD">
      <w:pPr>
        <w:pStyle w:val="Definition"/>
        <w:spacing w:before="120" w:after="120"/>
        <w:rPr>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63EBE" w:rsidRDefault="001B1A3E" w:rsidP="00563EBE">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percent of its Load obligations through its</w:t>
      </w:r>
      <w:r>
        <w:t xml:space="preserve"> own generation and that is a Public Power </w:t>
      </w:r>
      <w:r w:rsidRPr="005A1BC8">
        <w:t>Entity, “Single Customer Entity</w:t>
      </w:r>
      <w:r>
        <w:t>,</w:t>
      </w:r>
      <w:r w:rsidRPr="00995522">
        <w:t>” or “Vertically Integrated Utility.”  For purposes</w:t>
      </w:r>
      <w:r w:rsidRPr="005A1BC8">
        <w:t xml:space="preserve"> of this definition only</w:t>
      </w:r>
      <w:r>
        <w:t xml:space="preserve">: (i) “Vertically Integrated Utility” means a utility that owns generation, includes such generation in a </w:t>
      </w:r>
      <w:r>
        <w:t xml:space="preserve">non-bypassable charge in its regulated rates, earns a regulated return on its investment in such generation, and that as of the date of its request for a Self Supply Exemption, has not divested more than seventy-five percent of its generation assets owned </w:t>
      </w:r>
      <w:r>
        <w:t>on May 20, 1996; and (ii) “Single Customer Entity” means an LSE that serves at retail only customers that are under common control with such LSE, where such control means holding 51% or more of the voting securities or voting interests of the LSE and all i</w:t>
      </w:r>
      <w:r>
        <w:t>ts retail customers.</w:t>
      </w:r>
    </w:p>
    <w:p w:rsidR="00C17202" w:rsidRDefault="001B1A3E"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1B1A3E"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w:t>
      </w:r>
      <w:r>
        <w:rPr>
          <w:bCs/>
        </w:rPr>
        <w:t xml:space="preserve">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1B1A3E" w:rsidP="008007DD">
      <w:pPr>
        <w:pStyle w:val="Definition"/>
        <w:spacing w:before="120" w:after="120"/>
      </w:pPr>
      <w:r>
        <w:rPr>
          <w:b/>
          <w:bCs/>
        </w:rPr>
        <w:t>“Total Evaluated CRIS MW”</w:t>
      </w:r>
      <w:r>
        <w:rPr>
          <w:bCs/>
        </w:rPr>
        <w:t xml:space="preserve"> shall mean the Additional CRIS MW requested plus either (i) if</w:t>
      </w:r>
      <w:r>
        <w:rPr>
          <w:bCs/>
        </w:rPr>
        <w:t xml:space="preserve"> the Installed Capacity Supplier previously received an exemption under Sections 23.4.5.7.2(b), 23.4.5.7.6(b), 23.4.5.7.7 or 23.4.5.7.8, all prior Additional CRIS MW since the facility was last exempted under Sections 23.4.5.7.2(b), 23.4.5.7.6(b), or 23.4.</w:t>
      </w:r>
      <w:r>
        <w:rPr>
          <w:bCs/>
        </w:rPr>
        <w:t xml:space="preserve">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1B1A3E" w:rsidP="008007DD">
      <w:pPr>
        <w:pStyle w:val="Definition"/>
        <w:spacing w:before="120" w:after="120"/>
        <w:rPr>
          <w:bCs/>
        </w:rPr>
      </w:pPr>
      <w:r>
        <w:t>For</w:t>
      </w:r>
      <w:r>
        <w:rPr>
          <w:bCs/>
        </w:rPr>
        <w:t xml:space="preserve"> purposes of Section 23.4.5 of this A</w:t>
      </w:r>
      <w:r>
        <w:rPr>
          <w:bCs/>
        </w:rPr>
        <w:t xml:space="preserve">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w:t>
      </w:r>
      <w:r>
        <w:rPr>
          <w:bCs/>
        </w:rPr>
        <w:t xml:space="preserve">rom all Installed Capacity Suppliers in </w:t>
      </w:r>
      <w:r>
        <w:rPr>
          <w:bCs/>
        </w:rPr>
        <w:t>a Mitigated Capacity Zone</w:t>
      </w:r>
      <w:r>
        <w:rPr>
          <w:bCs/>
        </w:rPr>
        <w:t xml:space="preserve"> for the period covered by the applicable ICAP Spot Market Auction.</w:t>
      </w:r>
    </w:p>
    <w:p w:rsidR="00C17202" w:rsidRDefault="001B1A3E"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4" w:name="OLE_LINK3"/>
      <w:bookmarkStart w:id="5" w:name="OLE_LINK4"/>
      <w:r>
        <w:rPr>
          <w:bCs/>
        </w:rPr>
        <w:t xml:space="preserve">embedded costs of a specified Installed Capacity Supplier, including interconnection costs, and for an Installed Capacity Supplier located outside </w:t>
      </w:r>
      <w:r>
        <w:rPr>
          <w:bCs/>
        </w:rPr>
        <w:t xml:space="preserve"> a Mitigated Capacity Zone</w:t>
      </w:r>
      <w:r>
        <w:rPr>
          <w:bCs/>
        </w:rPr>
        <w:t xml:space="preserve"> including embedded costs of transmission service, in either case net of likely pro</w:t>
      </w:r>
      <w:r>
        <w:rPr>
          <w:bCs/>
        </w:rPr>
        <w:t>jected annual Energy and Ancillary Services revenues</w:t>
      </w:r>
      <w:bookmarkEnd w:id="4"/>
      <w:bookmarkEnd w:id="5"/>
      <w:r>
        <w:rPr>
          <w:bCs/>
        </w:rPr>
        <w:t>, as determined by the ISO, translated into a seasonally adjusted monthly UCAP value using an appropriate class outage rate.</w:t>
      </w:r>
    </w:p>
    <w:p w:rsidR="00C17202" w:rsidRDefault="001B1A3E">
      <w:pPr>
        <w:pStyle w:val="Heading3"/>
      </w:pPr>
      <w:bookmarkStart w:id="6" w:name="_Toc261252163"/>
      <w:r>
        <w:t>23.2.2</w:t>
      </w:r>
      <w:r>
        <w:tab/>
        <w:t>Conduct Subject to Mitigation</w:t>
      </w:r>
      <w:bookmarkEnd w:id="6"/>
    </w:p>
    <w:p w:rsidR="00C17202" w:rsidRDefault="001B1A3E">
      <w:pPr>
        <w:pStyle w:val="Bodypara"/>
      </w:pPr>
      <w:r>
        <w:t>Mitigation Measures may be applied: (i) to</w:t>
      </w:r>
      <w:r>
        <w:t xml:space="preserve"> the bidding, scheduling or operation of an “Electric Facility”; or (ii) as specified in Section 23.2.4.2.</w:t>
      </w:r>
      <w:bookmarkStart w:id="7" w:name="_DV_M10"/>
      <w:bookmarkStart w:id="8" w:name="_DV_M11"/>
      <w:bookmarkEnd w:id="7"/>
      <w:bookmarkEnd w:id="8"/>
    </w:p>
    <w:p w:rsidR="00C17202" w:rsidRDefault="001B1A3E">
      <w:pPr>
        <w:pStyle w:val="Heading3"/>
      </w:pPr>
      <w:bookmarkStart w:id="9" w:name="_Toc261252164"/>
      <w:r>
        <w:t>23.2.3</w:t>
      </w:r>
      <w:r>
        <w:tab/>
        <w:t>Conditions for the Imposition of Mitigation Measures</w:t>
      </w:r>
      <w:bookmarkEnd w:id="9"/>
    </w:p>
    <w:p w:rsidR="00C17202" w:rsidRDefault="001B1A3E" w:rsidP="007233E8">
      <w:pPr>
        <w:pStyle w:val="romannumeralpara"/>
      </w:pPr>
      <w:r>
        <w:t>23.2.3.1</w:t>
      </w:r>
      <w:r>
        <w:tab/>
        <w:t>To achieve the foregoing purpose and objectives, Mitigation Measures should only</w:t>
      </w:r>
      <w:r>
        <w:t xml:space="preserve"> be imposed to remedy conduct that would substantially distort or impair the competitiveness of any of the ISO Administered Markets.  Accordingly, the ISO shall seek to impose Mitigation Measures only to remedy conduct that:</w:t>
      </w:r>
    </w:p>
    <w:p w:rsidR="00C17202" w:rsidRDefault="001B1A3E">
      <w:pPr>
        <w:pStyle w:val="romannumeralpara"/>
      </w:pPr>
      <w:r>
        <w:t>23.2.3.1.1</w:t>
      </w:r>
      <w:r>
        <w:tab/>
        <w:t>is significantly inc</w:t>
      </w:r>
      <w:r>
        <w:t>onsistent with competitive conduct; and</w:t>
      </w:r>
    </w:p>
    <w:p w:rsidR="00C17202" w:rsidRDefault="001B1A3E">
      <w:pPr>
        <w:pStyle w:val="romannumeralpara"/>
      </w:pPr>
      <w:r>
        <w:t>23.2.3.1.2</w:t>
      </w:r>
      <w:r>
        <w:tab/>
        <w:t>would result in a material change in one or more prices in an ISO Administered Market or production cost guarantee payments (“guarantee payments”) to a Market Party.</w:t>
      </w:r>
    </w:p>
    <w:p w:rsidR="00C17202" w:rsidRDefault="001B1A3E" w:rsidP="007233E8">
      <w:pPr>
        <w:pStyle w:val="romannumeralpara"/>
      </w:pPr>
      <w:r>
        <w:t>23.2.3.2</w:t>
      </w:r>
      <w:r>
        <w:tab/>
        <w:t>In general, the ISO shall cons</w:t>
      </w:r>
      <w:r>
        <w:t xml:space="preserve">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w:t>
      </w:r>
      <w:r>
        <w:t xml:space="preserve">nsistent with competitive conduct include, but may not be limited to, the three categories of conduct specified in Section </w:t>
      </w:r>
      <w:bookmarkStart w:id="10" w:name="_DV_M17"/>
      <w:bookmarkEnd w:id="10"/>
      <w:r>
        <w:t>23.2.4 below.</w:t>
      </w:r>
    </w:p>
    <w:p w:rsidR="00C17202" w:rsidRDefault="001B1A3E">
      <w:pPr>
        <w:pStyle w:val="Heading3"/>
      </w:pPr>
      <w:bookmarkStart w:id="11" w:name="_DV_M18"/>
      <w:bookmarkStart w:id="12" w:name="_Ref470447627"/>
      <w:bookmarkStart w:id="13" w:name="_Toc261252165"/>
      <w:bookmarkEnd w:id="11"/>
      <w:r>
        <w:t>23.2.4</w:t>
      </w:r>
      <w:r>
        <w:tab/>
        <w:t>Categories of Conduct that May Warrant Mitigation</w:t>
      </w:r>
      <w:bookmarkEnd w:id="12"/>
      <w:bookmarkEnd w:id="13"/>
    </w:p>
    <w:p w:rsidR="00C17202" w:rsidRDefault="001B1A3E" w:rsidP="007233E8">
      <w:pPr>
        <w:pStyle w:val="romannumeralpara"/>
      </w:pPr>
      <w:bookmarkStart w:id="14" w:name="_DV_M19"/>
      <w:bookmarkEnd w:id="14"/>
      <w:r>
        <w:t>23.2.4.1</w:t>
      </w:r>
      <w:r>
        <w:tab/>
        <w:t>The following categories of conduct, whether by a sin</w:t>
      </w:r>
      <w:r>
        <w:t>gle firm or by multiple firms acting in concert, may cause a material effect on prices or guarantee payments in an ISO Administered Market if exercised from a position of market power.  Accordingly, the ISO shall monitor the ISO Administered Markets for th</w:t>
      </w:r>
      <w:r>
        <w:t>e following categories of conduct, and shall impose appropriate Mitigation Measures if such conduct is detected and the other applicable conditions for the imposition of Mitigation Measures are met:</w:t>
      </w:r>
    </w:p>
    <w:p w:rsidR="00C17202" w:rsidRDefault="001B1A3E" w:rsidP="007233E8">
      <w:pPr>
        <w:pStyle w:val="romannumeralpara"/>
        <w:rPr>
          <w:bCs/>
        </w:rPr>
      </w:pPr>
      <w:bookmarkStart w:id="15" w:name="_DV_M20"/>
      <w:bookmarkEnd w:id="15"/>
      <w:r>
        <w:t>23.2.4.1.1</w:t>
      </w:r>
      <w:r>
        <w:rPr>
          <w:i/>
        </w:rPr>
        <w:tab/>
      </w:r>
      <w:r>
        <w:t>Physical withholding of an Electric Facility</w:t>
      </w:r>
      <w:r>
        <w:rPr>
          <w:iCs/>
        </w:rPr>
        <w:t xml:space="preserve">, </w:t>
      </w:r>
      <w:r>
        <w:rPr>
          <w:iCs/>
        </w:rPr>
        <w:t xml:space="preserve">that is, not offering to sell or </w:t>
      </w:r>
      <w:r>
        <w:t>schedule the output of or services provided by an Electric Facility capable of serving an ISO Administered Market.  Such withholding may include, but not be limited to, (i) falsely declaring that an Electric Facility has be</w:t>
      </w:r>
      <w:r>
        <w:t xml:space="preserve">en forced out of service or otherwise become unavailable, (ii) refusing to </w:t>
      </w:r>
      <w:bookmarkStart w:id="16" w:name="_DV_IPM16"/>
      <w:bookmarkStart w:id="17" w:name="_DV_IPM17"/>
      <w:bookmarkStart w:id="18" w:name="_DV_IPM22"/>
      <w:bookmarkStart w:id="19" w:name="_DV_IPM23"/>
      <w:bookmarkStart w:id="20" w:name="_DV_C23"/>
      <w:bookmarkEnd w:id="16"/>
      <w:bookmarkEnd w:id="17"/>
      <w:bookmarkEnd w:id="18"/>
      <w:bookmarkEnd w:id="19"/>
      <w:r>
        <w:rPr>
          <w:bCs/>
        </w:rPr>
        <w:t>offer Bids or schedules for an Electric Facility when such conduct would not be in the economic interest of the Market Party or its Affiliates in the absence of market power; (iii);</w:t>
      </w:r>
      <w:r>
        <w:rPr>
          <w:bCs/>
        </w:rPr>
        <w:t xml:space="preserve"> making an unjustifiable change to one or more operating parameters of a Generator that reduces its ability to provide Energy or Ancillary Services or (iv) operating a Generator in real-time  at a lower output level than the Generator would have been expec</w:t>
      </w:r>
      <w:r>
        <w:rPr>
          <w:bCs/>
        </w:rPr>
        <w:t>ted to produce had the Generator followed the ISO’s dispatch instructions, in a manner that is not attributable to the Generator’s verifiable physical operating capabilities and that would not be in the economic interest of the Market Party or its Affiliat</w:t>
      </w:r>
      <w:r>
        <w:rPr>
          <w:bCs/>
        </w:rPr>
        <w:t>es in the absence of market power.</w:t>
      </w:r>
      <w:bookmarkEnd w:id="20"/>
      <w:r>
        <w:rPr>
          <w:bCs/>
        </w:rPr>
        <w:t xml:space="preserve"> </w:t>
      </w:r>
    </w:p>
    <w:p w:rsidR="00C17202" w:rsidRDefault="001B1A3E">
      <w:pPr>
        <w:pStyle w:val="alphapara"/>
      </w:pPr>
      <w:r>
        <w:rPr>
          <w:bCs/>
        </w:rPr>
        <w:tab/>
        <w:t xml:space="preserve">For purposes of this Section and Section 23.4.3.2, the term “unjustifiable change” shall mean a change in an Electric Facility’s operating parameters that is:  (a) not attributable to the Electric Facility’s verifiable </w:t>
      </w:r>
      <w:r>
        <w:rPr>
          <w:bCs/>
        </w:rPr>
        <w:t>physical operating capabilities, and (b) is not a rational competitive response to economic factors other than market power.</w:t>
      </w:r>
    </w:p>
    <w:p w:rsidR="00C17202" w:rsidRDefault="001B1A3E" w:rsidP="007233E8">
      <w:pPr>
        <w:pStyle w:val="romannumeralpara"/>
      </w:pPr>
      <w:bookmarkStart w:id="21" w:name="_DV_M21"/>
      <w:bookmarkEnd w:id="21"/>
      <w:r>
        <w:t>23.2.4.1.2</w:t>
      </w:r>
      <w:r>
        <w:tab/>
        <w:t>Economic withholding of an Electric Facility, that is, submitting Bids for an Electric Facility that are unjustifiably h</w:t>
      </w:r>
      <w:r>
        <w:t>igh so that (i) the Electric Facility is not or will not be dispatched or scheduled, or (ii) the Bids will set a market clearing price.</w:t>
      </w:r>
    </w:p>
    <w:p w:rsidR="00C17202" w:rsidRDefault="001B1A3E" w:rsidP="007233E8">
      <w:pPr>
        <w:pStyle w:val="romannumeralpara"/>
      </w:pPr>
      <w:bookmarkStart w:id="22" w:name="_DV_M22"/>
      <w:bookmarkEnd w:id="22"/>
      <w:r>
        <w:t>23.2.4.1.3</w:t>
      </w:r>
      <w:r>
        <w:tab/>
        <w:t>Uneconomic production from an Electric Facility, that is, increasing the output of an Electric Facility to le</w:t>
      </w:r>
      <w:r>
        <w:t>vels that would otherwise be uneconomic in order to cause, and obtain benefits from, a transmission constraint.</w:t>
      </w:r>
    </w:p>
    <w:p w:rsidR="00C17202" w:rsidRDefault="001B1A3E" w:rsidP="007233E8">
      <w:pPr>
        <w:pStyle w:val="romannumeralpara"/>
      </w:pPr>
      <w:bookmarkStart w:id="23" w:name="_DV_M23"/>
      <w:bookmarkStart w:id="24" w:name="_Ref470523562"/>
      <w:bookmarkEnd w:id="23"/>
      <w:r>
        <w:t>23.2.4.2</w:t>
      </w:r>
      <w:r>
        <w:tab/>
        <w:t>Mitigation Measures may also be imposed, subject to FERC’s approval, to mitigate the market effects of a rule, standard, procedure or d</w:t>
      </w:r>
      <w:r>
        <w:t>esign feature of an ISO Administered Market that allows a Market Party or its Affiliate to manipulate market prices or otherwise impair the efficient operation of that market, pending the revision of such rule, standard, procedure or design feature to prec</w:t>
      </w:r>
      <w:r>
        <w:t>lude such manipulation of prices or impairment of efficiency.</w:t>
      </w:r>
      <w:bookmarkEnd w:id="24"/>
    </w:p>
    <w:p w:rsidR="00C17202" w:rsidRDefault="001B1A3E" w:rsidP="007233E8">
      <w:pPr>
        <w:pStyle w:val="romannumeralpara"/>
      </w:pPr>
      <w:bookmarkStart w:id="25" w:name="_DV_M24"/>
      <w:bookmarkEnd w:id="25"/>
      <w:r>
        <w:t>23.2.4.3</w:t>
      </w:r>
      <w:r>
        <w:tab/>
        <w:t>Taking advantage of opportunities to sell at a higher price or buy at a lower price in a market other than an ISO Administered Market shall not be deemed a form of withholding or otherw</w:t>
      </w:r>
      <w:r>
        <w:t>ise inconsistent with competitive conduct.</w:t>
      </w:r>
    </w:p>
    <w:p w:rsidR="00C17202" w:rsidRDefault="001B1A3E" w:rsidP="007233E8">
      <w:pPr>
        <w:pStyle w:val="romannumeralpara"/>
        <w:rPr>
          <w:color w:val="000000"/>
        </w:rPr>
      </w:pPr>
      <w:bookmarkStart w:id="26" w:name="_DV_M25"/>
      <w:bookmarkStart w:id="27" w:name="_DV_IPM24"/>
      <w:bookmarkStart w:id="28" w:name="_DV_IPM25"/>
      <w:bookmarkStart w:id="29" w:name="_DV_C26"/>
      <w:bookmarkEnd w:id="26"/>
      <w:bookmarkEnd w:id="27"/>
      <w:bookmarkEnd w:id="28"/>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w:t>
      </w:r>
      <w:r>
        <w:t>ts on prices or guarantee payments in an ISO Administered Market.  The ISO shall: (i) seek to amend the foregoing list as may be appropriate, in accordance with the procedures and requirements for amending the Plan, to include any such conduct that would s</w:t>
      </w:r>
      <w:r>
        <w:t xml:space="preserve">ubstantially distort or impair the competitiveness of any of the ISO Administered Markets; and (ii) seek such other authorization to mitigate the effects of such conduct from the FERC as may be appropriate.  </w:t>
      </w:r>
      <w:r>
        <w:rPr>
          <w:color w:val="000000"/>
        </w:rPr>
        <w:t>The responsibilities of the Market Monitoring Un</w:t>
      </w:r>
      <w:r>
        <w:rPr>
          <w:color w:val="000000"/>
        </w:rPr>
        <w:t>it that are addressed in this section of the Mitigation Measures are also addressed in Section 30.4.6.2.2 of Attachment O.</w:t>
      </w:r>
      <w:bookmarkEnd w:id="29"/>
    </w:p>
    <w:p w:rsidR="00C17202" w:rsidRDefault="001B1A3E">
      <w:pPr>
        <w:pStyle w:val="EndnoteText"/>
      </w:pPr>
    </w:p>
    <w:p w:rsidR="00C17202" w:rsidRDefault="001B1A3E">
      <w:pPr>
        <w:pStyle w:val="EndnoteText"/>
      </w:pPr>
    </w:p>
    <w:sectPr w:rsidR="00C17202" w:rsidSect="00515F1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79" w:rsidRDefault="00707679" w:rsidP="00707679">
      <w:r>
        <w:separator/>
      </w:r>
    </w:p>
  </w:endnote>
  <w:endnote w:type="continuationSeparator" w:id="0">
    <w:p w:rsidR="00707679" w:rsidRDefault="00707679" w:rsidP="007076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1B1A3E">
    <w:pPr>
      <w:jc w:val="right"/>
      <w:rPr>
        <w:rFonts w:ascii="Arial" w:eastAsia="Arial" w:hAnsi="Arial" w:cs="Arial"/>
        <w:color w:val="000000"/>
        <w:sz w:val="16"/>
      </w:rPr>
    </w:pPr>
    <w:r>
      <w:rPr>
        <w:rFonts w:ascii="Arial" w:eastAsia="Arial" w:hAnsi="Arial" w:cs="Arial"/>
        <w:color w:val="000000"/>
        <w:sz w:val="16"/>
      </w:rPr>
      <w:t xml:space="preserve">Effective Date: 5/19/2016 - Docket #: ER16-1404-000 - Page </w:t>
    </w:r>
    <w:r w:rsidR="00707679">
      <w:rPr>
        <w:rFonts w:ascii="Arial" w:eastAsia="Arial" w:hAnsi="Arial" w:cs="Arial"/>
        <w:color w:val="000000"/>
        <w:sz w:val="16"/>
      </w:rPr>
      <w:fldChar w:fldCharType="begin"/>
    </w:r>
    <w:r>
      <w:rPr>
        <w:rFonts w:ascii="Arial" w:eastAsia="Arial" w:hAnsi="Arial" w:cs="Arial"/>
        <w:color w:val="000000"/>
        <w:sz w:val="16"/>
      </w:rPr>
      <w:instrText>PAGE</w:instrText>
    </w:r>
    <w:r w:rsidR="0070767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1B1A3E">
    <w:pPr>
      <w:jc w:val="right"/>
      <w:rPr>
        <w:rFonts w:ascii="Arial" w:eastAsia="Arial" w:hAnsi="Arial" w:cs="Arial"/>
        <w:color w:val="000000"/>
        <w:sz w:val="16"/>
      </w:rPr>
    </w:pPr>
    <w:r>
      <w:rPr>
        <w:rFonts w:ascii="Arial" w:eastAsia="Arial" w:hAnsi="Arial" w:cs="Arial"/>
        <w:color w:val="000000"/>
        <w:sz w:val="16"/>
      </w:rPr>
      <w:t xml:space="preserve">Effective Date: 5/19/2016 - Docket #: ER16-1404-000 - Page </w:t>
    </w:r>
    <w:r w:rsidR="0070767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70767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1B1A3E">
    <w:pPr>
      <w:jc w:val="right"/>
      <w:rPr>
        <w:rFonts w:ascii="Arial" w:eastAsia="Arial" w:hAnsi="Arial" w:cs="Arial"/>
        <w:color w:val="000000"/>
        <w:sz w:val="16"/>
      </w:rPr>
    </w:pPr>
    <w:r>
      <w:rPr>
        <w:rFonts w:ascii="Arial" w:eastAsia="Arial" w:hAnsi="Arial" w:cs="Arial"/>
        <w:color w:val="000000"/>
        <w:sz w:val="16"/>
      </w:rPr>
      <w:t xml:space="preserve">Effective Date: 5/19/2016 - Docket #: ER16-1404-000 - Page </w:t>
    </w:r>
    <w:r w:rsidR="00707679">
      <w:rPr>
        <w:rFonts w:ascii="Arial" w:eastAsia="Arial" w:hAnsi="Arial" w:cs="Arial"/>
        <w:color w:val="000000"/>
        <w:sz w:val="16"/>
      </w:rPr>
      <w:fldChar w:fldCharType="begin"/>
    </w:r>
    <w:r>
      <w:rPr>
        <w:rFonts w:ascii="Arial" w:eastAsia="Arial" w:hAnsi="Arial" w:cs="Arial"/>
        <w:color w:val="000000"/>
        <w:sz w:val="16"/>
      </w:rPr>
      <w:instrText>PAGE</w:instrText>
    </w:r>
    <w:r w:rsidR="0070767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79" w:rsidRDefault="00707679" w:rsidP="00707679">
      <w:r>
        <w:separator/>
      </w:r>
    </w:p>
  </w:footnote>
  <w:footnote w:type="continuationSeparator" w:id="0">
    <w:p w:rsidR="00707679" w:rsidRDefault="00707679" w:rsidP="00707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1B1A3E">
    <w:pPr>
      <w:rPr>
        <w:rFonts w:ascii="Arial" w:eastAsia="Arial" w:hAnsi="Arial" w:cs="Arial"/>
        <w:color w:val="000000"/>
        <w:sz w:val="16"/>
      </w:rPr>
    </w:pPr>
    <w:r>
      <w:rPr>
        <w:rFonts w:ascii="Arial" w:eastAsia="Arial" w:hAnsi="Arial" w:cs="Arial"/>
        <w:color w:val="000000"/>
        <w:sz w:val="16"/>
      </w:rPr>
      <w:t>NYISO Tariffs --&gt; Market Administration and Control Area Services</w:t>
    </w:r>
    <w:r>
      <w:rPr>
        <w:rFonts w:ascii="Arial" w:eastAsia="Arial" w:hAnsi="Arial" w:cs="Arial"/>
        <w:color w:val="000000"/>
        <w:sz w:val="16"/>
      </w:rPr>
      <w:t xml:space="preserve"> Tariff (MST) --&gt;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1B1A3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w:t>
    </w:r>
    <w:r>
      <w:rPr>
        <w:rFonts w:ascii="Arial" w:eastAsia="Arial" w:hAnsi="Arial" w:cs="Arial"/>
        <w:color w:val="000000"/>
        <w:sz w:val="16"/>
      </w:rPr>
      <w:t>&gt;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7679" w:rsidRDefault="001B1A3E">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3D1CDBFE">
      <w:start w:val="1"/>
      <w:numFmt w:val="bullet"/>
      <w:pStyle w:val="Bulletpara"/>
      <w:lvlText w:val=""/>
      <w:lvlJc w:val="left"/>
      <w:pPr>
        <w:tabs>
          <w:tab w:val="num" w:pos="720"/>
        </w:tabs>
        <w:ind w:left="720" w:hanging="360"/>
      </w:pPr>
      <w:rPr>
        <w:rFonts w:ascii="Symbol" w:hAnsi="Symbol" w:hint="default"/>
      </w:rPr>
    </w:lvl>
    <w:lvl w:ilvl="1" w:tplc="5EDA2BD0" w:tentative="1">
      <w:start w:val="1"/>
      <w:numFmt w:val="bullet"/>
      <w:lvlText w:val="o"/>
      <w:lvlJc w:val="left"/>
      <w:pPr>
        <w:tabs>
          <w:tab w:val="num" w:pos="1440"/>
        </w:tabs>
        <w:ind w:left="1440" w:hanging="360"/>
      </w:pPr>
      <w:rPr>
        <w:rFonts w:ascii="Courier New" w:hAnsi="Courier New" w:cs="Courier New" w:hint="default"/>
      </w:rPr>
    </w:lvl>
    <w:lvl w:ilvl="2" w:tplc="49B4E7B4" w:tentative="1">
      <w:start w:val="1"/>
      <w:numFmt w:val="bullet"/>
      <w:lvlText w:val=""/>
      <w:lvlJc w:val="left"/>
      <w:pPr>
        <w:tabs>
          <w:tab w:val="num" w:pos="2160"/>
        </w:tabs>
        <w:ind w:left="2160" w:hanging="360"/>
      </w:pPr>
      <w:rPr>
        <w:rFonts w:ascii="Wingdings" w:hAnsi="Wingdings" w:hint="default"/>
      </w:rPr>
    </w:lvl>
    <w:lvl w:ilvl="3" w:tplc="A12A6C5E" w:tentative="1">
      <w:start w:val="1"/>
      <w:numFmt w:val="bullet"/>
      <w:lvlText w:val=""/>
      <w:lvlJc w:val="left"/>
      <w:pPr>
        <w:tabs>
          <w:tab w:val="num" w:pos="2880"/>
        </w:tabs>
        <w:ind w:left="2880" w:hanging="360"/>
      </w:pPr>
      <w:rPr>
        <w:rFonts w:ascii="Symbol" w:hAnsi="Symbol" w:hint="default"/>
      </w:rPr>
    </w:lvl>
    <w:lvl w:ilvl="4" w:tplc="C61221FC" w:tentative="1">
      <w:start w:val="1"/>
      <w:numFmt w:val="bullet"/>
      <w:lvlText w:val="o"/>
      <w:lvlJc w:val="left"/>
      <w:pPr>
        <w:tabs>
          <w:tab w:val="num" w:pos="3600"/>
        </w:tabs>
        <w:ind w:left="3600" w:hanging="360"/>
      </w:pPr>
      <w:rPr>
        <w:rFonts w:ascii="Courier New" w:hAnsi="Courier New" w:cs="Courier New" w:hint="default"/>
      </w:rPr>
    </w:lvl>
    <w:lvl w:ilvl="5" w:tplc="0936DB52" w:tentative="1">
      <w:start w:val="1"/>
      <w:numFmt w:val="bullet"/>
      <w:lvlText w:val=""/>
      <w:lvlJc w:val="left"/>
      <w:pPr>
        <w:tabs>
          <w:tab w:val="num" w:pos="4320"/>
        </w:tabs>
        <w:ind w:left="4320" w:hanging="360"/>
      </w:pPr>
      <w:rPr>
        <w:rFonts w:ascii="Wingdings" w:hAnsi="Wingdings" w:hint="default"/>
      </w:rPr>
    </w:lvl>
    <w:lvl w:ilvl="6" w:tplc="53262DD0" w:tentative="1">
      <w:start w:val="1"/>
      <w:numFmt w:val="bullet"/>
      <w:lvlText w:val=""/>
      <w:lvlJc w:val="left"/>
      <w:pPr>
        <w:tabs>
          <w:tab w:val="num" w:pos="5040"/>
        </w:tabs>
        <w:ind w:left="5040" w:hanging="360"/>
      </w:pPr>
      <w:rPr>
        <w:rFonts w:ascii="Symbol" w:hAnsi="Symbol" w:hint="default"/>
      </w:rPr>
    </w:lvl>
    <w:lvl w:ilvl="7" w:tplc="E2B6F050" w:tentative="1">
      <w:start w:val="1"/>
      <w:numFmt w:val="bullet"/>
      <w:lvlText w:val="o"/>
      <w:lvlJc w:val="left"/>
      <w:pPr>
        <w:tabs>
          <w:tab w:val="num" w:pos="5760"/>
        </w:tabs>
        <w:ind w:left="5760" w:hanging="360"/>
      </w:pPr>
      <w:rPr>
        <w:rFonts w:ascii="Courier New" w:hAnsi="Courier New" w:cs="Courier New" w:hint="default"/>
      </w:rPr>
    </w:lvl>
    <w:lvl w:ilvl="8" w:tplc="C3C046DE"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15C449E4">
      <w:start w:val="1"/>
      <w:numFmt w:val="none"/>
      <w:lvlText w:val="(b)"/>
      <w:lvlJc w:val="left"/>
      <w:pPr>
        <w:tabs>
          <w:tab w:val="num" w:pos="3240"/>
        </w:tabs>
        <w:ind w:left="3240" w:hanging="360"/>
      </w:pPr>
      <w:rPr>
        <w:rFonts w:hint="default"/>
      </w:rPr>
    </w:lvl>
    <w:lvl w:ilvl="1" w:tplc="4208AD78" w:tentative="1">
      <w:start w:val="1"/>
      <w:numFmt w:val="lowerLetter"/>
      <w:lvlText w:val="%2."/>
      <w:lvlJc w:val="left"/>
      <w:pPr>
        <w:tabs>
          <w:tab w:val="num" w:pos="1440"/>
        </w:tabs>
        <w:ind w:left="1440" w:hanging="360"/>
      </w:pPr>
    </w:lvl>
    <w:lvl w:ilvl="2" w:tplc="6EBA63FC" w:tentative="1">
      <w:start w:val="1"/>
      <w:numFmt w:val="lowerRoman"/>
      <w:lvlText w:val="%3."/>
      <w:lvlJc w:val="right"/>
      <w:pPr>
        <w:tabs>
          <w:tab w:val="num" w:pos="2160"/>
        </w:tabs>
        <w:ind w:left="2160" w:hanging="180"/>
      </w:pPr>
    </w:lvl>
    <w:lvl w:ilvl="3" w:tplc="32681AE6">
      <w:start w:val="1"/>
      <w:numFmt w:val="decimal"/>
      <w:lvlText w:val="%4."/>
      <w:lvlJc w:val="left"/>
      <w:pPr>
        <w:tabs>
          <w:tab w:val="num" w:pos="2880"/>
        </w:tabs>
        <w:ind w:left="2880" w:hanging="360"/>
      </w:pPr>
    </w:lvl>
    <w:lvl w:ilvl="4" w:tplc="558E7C30" w:tentative="1">
      <w:start w:val="1"/>
      <w:numFmt w:val="lowerLetter"/>
      <w:lvlText w:val="%5."/>
      <w:lvlJc w:val="left"/>
      <w:pPr>
        <w:tabs>
          <w:tab w:val="num" w:pos="3600"/>
        </w:tabs>
        <w:ind w:left="3600" w:hanging="360"/>
      </w:pPr>
    </w:lvl>
    <w:lvl w:ilvl="5" w:tplc="A7E484E4" w:tentative="1">
      <w:start w:val="1"/>
      <w:numFmt w:val="lowerRoman"/>
      <w:lvlText w:val="%6."/>
      <w:lvlJc w:val="right"/>
      <w:pPr>
        <w:tabs>
          <w:tab w:val="num" w:pos="4320"/>
        </w:tabs>
        <w:ind w:left="4320" w:hanging="180"/>
      </w:pPr>
    </w:lvl>
    <w:lvl w:ilvl="6" w:tplc="AB0208B4" w:tentative="1">
      <w:start w:val="1"/>
      <w:numFmt w:val="decimal"/>
      <w:lvlText w:val="%7."/>
      <w:lvlJc w:val="left"/>
      <w:pPr>
        <w:tabs>
          <w:tab w:val="num" w:pos="5040"/>
        </w:tabs>
        <w:ind w:left="5040" w:hanging="360"/>
      </w:pPr>
    </w:lvl>
    <w:lvl w:ilvl="7" w:tplc="238E5612" w:tentative="1">
      <w:start w:val="1"/>
      <w:numFmt w:val="lowerLetter"/>
      <w:lvlText w:val="%8."/>
      <w:lvlJc w:val="left"/>
      <w:pPr>
        <w:tabs>
          <w:tab w:val="num" w:pos="5760"/>
        </w:tabs>
        <w:ind w:left="5760" w:hanging="360"/>
      </w:pPr>
    </w:lvl>
    <w:lvl w:ilvl="8" w:tplc="50D6B6A2"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126D49E">
      <w:start w:val="1"/>
      <w:numFmt w:val="decimal"/>
      <w:lvlText w:val="%1."/>
      <w:lvlJc w:val="left"/>
      <w:pPr>
        <w:tabs>
          <w:tab w:val="num" w:pos="720"/>
        </w:tabs>
        <w:ind w:left="720" w:hanging="360"/>
      </w:pPr>
    </w:lvl>
    <w:lvl w:ilvl="1" w:tplc="4AA8A242" w:tentative="1">
      <w:start w:val="1"/>
      <w:numFmt w:val="lowerLetter"/>
      <w:lvlText w:val="%2."/>
      <w:lvlJc w:val="left"/>
      <w:pPr>
        <w:tabs>
          <w:tab w:val="num" w:pos="1440"/>
        </w:tabs>
        <w:ind w:left="1440" w:hanging="360"/>
      </w:pPr>
    </w:lvl>
    <w:lvl w:ilvl="2" w:tplc="28A82022" w:tentative="1">
      <w:start w:val="1"/>
      <w:numFmt w:val="lowerRoman"/>
      <w:lvlText w:val="%3."/>
      <w:lvlJc w:val="right"/>
      <w:pPr>
        <w:tabs>
          <w:tab w:val="num" w:pos="2160"/>
        </w:tabs>
        <w:ind w:left="2160" w:hanging="180"/>
      </w:pPr>
    </w:lvl>
    <w:lvl w:ilvl="3" w:tplc="25D85928" w:tentative="1">
      <w:start w:val="1"/>
      <w:numFmt w:val="decimal"/>
      <w:lvlText w:val="%4."/>
      <w:lvlJc w:val="left"/>
      <w:pPr>
        <w:tabs>
          <w:tab w:val="num" w:pos="2880"/>
        </w:tabs>
        <w:ind w:left="2880" w:hanging="360"/>
      </w:pPr>
    </w:lvl>
    <w:lvl w:ilvl="4" w:tplc="AA4A61C8" w:tentative="1">
      <w:start w:val="1"/>
      <w:numFmt w:val="lowerLetter"/>
      <w:lvlText w:val="%5."/>
      <w:lvlJc w:val="left"/>
      <w:pPr>
        <w:tabs>
          <w:tab w:val="num" w:pos="3600"/>
        </w:tabs>
        <w:ind w:left="3600" w:hanging="360"/>
      </w:pPr>
    </w:lvl>
    <w:lvl w:ilvl="5" w:tplc="AC2E054E" w:tentative="1">
      <w:start w:val="1"/>
      <w:numFmt w:val="lowerRoman"/>
      <w:lvlText w:val="%6."/>
      <w:lvlJc w:val="right"/>
      <w:pPr>
        <w:tabs>
          <w:tab w:val="num" w:pos="4320"/>
        </w:tabs>
        <w:ind w:left="4320" w:hanging="180"/>
      </w:pPr>
    </w:lvl>
    <w:lvl w:ilvl="6" w:tplc="BCCC569A" w:tentative="1">
      <w:start w:val="1"/>
      <w:numFmt w:val="decimal"/>
      <w:lvlText w:val="%7."/>
      <w:lvlJc w:val="left"/>
      <w:pPr>
        <w:tabs>
          <w:tab w:val="num" w:pos="5040"/>
        </w:tabs>
        <w:ind w:left="5040" w:hanging="360"/>
      </w:pPr>
    </w:lvl>
    <w:lvl w:ilvl="7" w:tplc="EE921466" w:tentative="1">
      <w:start w:val="1"/>
      <w:numFmt w:val="lowerLetter"/>
      <w:lvlText w:val="%8."/>
      <w:lvlJc w:val="left"/>
      <w:pPr>
        <w:tabs>
          <w:tab w:val="num" w:pos="5760"/>
        </w:tabs>
        <w:ind w:left="5760" w:hanging="360"/>
      </w:pPr>
    </w:lvl>
    <w:lvl w:ilvl="8" w:tplc="0CB2691A"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E14011CE">
      <w:start w:val="1"/>
      <w:numFmt w:val="decimal"/>
      <w:lvlText w:val="(%1)"/>
      <w:lvlJc w:val="left"/>
      <w:pPr>
        <w:tabs>
          <w:tab w:val="num" w:pos="2016"/>
        </w:tabs>
        <w:ind w:left="2016" w:hanging="576"/>
      </w:pPr>
      <w:rPr>
        <w:rFonts w:hint="default"/>
      </w:rPr>
    </w:lvl>
    <w:lvl w:ilvl="1" w:tplc="91ACEDA8" w:tentative="1">
      <w:start w:val="1"/>
      <w:numFmt w:val="lowerLetter"/>
      <w:lvlText w:val="%2."/>
      <w:lvlJc w:val="left"/>
      <w:pPr>
        <w:tabs>
          <w:tab w:val="num" w:pos="2880"/>
        </w:tabs>
        <w:ind w:left="2880" w:hanging="360"/>
      </w:pPr>
    </w:lvl>
    <w:lvl w:ilvl="2" w:tplc="CE786A88" w:tentative="1">
      <w:start w:val="1"/>
      <w:numFmt w:val="lowerRoman"/>
      <w:lvlText w:val="%3."/>
      <w:lvlJc w:val="right"/>
      <w:pPr>
        <w:tabs>
          <w:tab w:val="num" w:pos="3600"/>
        </w:tabs>
        <w:ind w:left="3600" w:hanging="180"/>
      </w:pPr>
    </w:lvl>
    <w:lvl w:ilvl="3" w:tplc="82FEED8C" w:tentative="1">
      <w:start w:val="1"/>
      <w:numFmt w:val="decimal"/>
      <w:lvlText w:val="%4."/>
      <w:lvlJc w:val="left"/>
      <w:pPr>
        <w:tabs>
          <w:tab w:val="num" w:pos="4320"/>
        </w:tabs>
        <w:ind w:left="4320" w:hanging="360"/>
      </w:pPr>
    </w:lvl>
    <w:lvl w:ilvl="4" w:tplc="A1A8331A" w:tentative="1">
      <w:start w:val="1"/>
      <w:numFmt w:val="lowerLetter"/>
      <w:lvlText w:val="%5."/>
      <w:lvlJc w:val="left"/>
      <w:pPr>
        <w:tabs>
          <w:tab w:val="num" w:pos="5040"/>
        </w:tabs>
        <w:ind w:left="5040" w:hanging="360"/>
      </w:pPr>
    </w:lvl>
    <w:lvl w:ilvl="5" w:tplc="CE9E3080" w:tentative="1">
      <w:start w:val="1"/>
      <w:numFmt w:val="lowerRoman"/>
      <w:lvlText w:val="%6."/>
      <w:lvlJc w:val="right"/>
      <w:pPr>
        <w:tabs>
          <w:tab w:val="num" w:pos="5760"/>
        </w:tabs>
        <w:ind w:left="5760" w:hanging="180"/>
      </w:pPr>
    </w:lvl>
    <w:lvl w:ilvl="6" w:tplc="E592C472" w:tentative="1">
      <w:start w:val="1"/>
      <w:numFmt w:val="decimal"/>
      <w:lvlText w:val="%7."/>
      <w:lvlJc w:val="left"/>
      <w:pPr>
        <w:tabs>
          <w:tab w:val="num" w:pos="6480"/>
        </w:tabs>
        <w:ind w:left="6480" w:hanging="360"/>
      </w:pPr>
    </w:lvl>
    <w:lvl w:ilvl="7" w:tplc="E584A2AA" w:tentative="1">
      <w:start w:val="1"/>
      <w:numFmt w:val="lowerLetter"/>
      <w:lvlText w:val="%8."/>
      <w:lvlJc w:val="left"/>
      <w:pPr>
        <w:tabs>
          <w:tab w:val="num" w:pos="7200"/>
        </w:tabs>
        <w:ind w:left="7200" w:hanging="360"/>
      </w:pPr>
    </w:lvl>
    <w:lvl w:ilvl="8" w:tplc="F694360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05D4E22E">
      <w:start w:val="1"/>
      <w:numFmt w:val="lowerRoman"/>
      <w:lvlText w:val="(%1)"/>
      <w:lvlJc w:val="left"/>
      <w:pPr>
        <w:tabs>
          <w:tab w:val="num" w:pos="2448"/>
        </w:tabs>
        <w:ind w:left="2448" w:hanging="648"/>
      </w:pPr>
      <w:rPr>
        <w:rFonts w:hint="default"/>
        <w:b w:val="0"/>
        <w:i w:val="0"/>
        <w:u w:val="none"/>
      </w:rPr>
    </w:lvl>
    <w:lvl w:ilvl="1" w:tplc="8124D314" w:tentative="1">
      <w:start w:val="1"/>
      <w:numFmt w:val="lowerLetter"/>
      <w:lvlText w:val="%2."/>
      <w:lvlJc w:val="left"/>
      <w:pPr>
        <w:tabs>
          <w:tab w:val="num" w:pos="1440"/>
        </w:tabs>
        <w:ind w:left="1440" w:hanging="360"/>
      </w:pPr>
    </w:lvl>
    <w:lvl w:ilvl="2" w:tplc="67221C16" w:tentative="1">
      <w:start w:val="1"/>
      <w:numFmt w:val="lowerRoman"/>
      <w:lvlText w:val="%3."/>
      <w:lvlJc w:val="right"/>
      <w:pPr>
        <w:tabs>
          <w:tab w:val="num" w:pos="2160"/>
        </w:tabs>
        <w:ind w:left="2160" w:hanging="180"/>
      </w:pPr>
    </w:lvl>
    <w:lvl w:ilvl="3" w:tplc="DF34690A" w:tentative="1">
      <w:start w:val="1"/>
      <w:numFmt w:val="decimal"/>
      <w:lvlText w:val="%4."/>
      <w:lvlJc w:val="left"/>
      <w:pPr>
        <w:tabs>
          <w:tab w:val="num" w:pos="2880"/>
        </w:tabs>
        <w:ind w:left="2880" w:hanging="360"/>
      </w:pPr>
    </w:lvl>
    <w:lvl w:ilvl="4" w:tplc="1C925EA8" w:tentative="1">
      <w:start w:val="1"/>
      <w:numFmt w:val="lowerLetter"/>
      <w:lvlText w:val="%5."/>
      <w:lvlJc w:val="left"/>
      <w:pPr>
        <w:tabs>
          <w:tab w:val="num" w:pos="3600"/>
        </w:tabs>
        <w:ind w:left="3600" w:hanging="360"/>
      </w:pPr>
    </w:lvl>
    <w:lvl w:ilvl="5" w:tplc="C510AE1C" w:tentative="1">
      <w:start w:val="1"/>
      <w:numFmt w:val="lowerRoman"/>
      <w:lvlText w:val="%6."/>
      <w:lvlJc w:val="right"/>
      <w:pPr>
        <w:tabs>
          <w:tab w:val="num" w:pos="4320"/>
        </w:tabs>
        <w:ind w:left="4320" w:hanging="180"/>
      </w:pPr>
    </w:lvl>
    <w:lvl w:ilvl="6" w:tplc="F262211C" w:tentative="1">
      <w:start w:val="1"/>
      <w:numFmt w:val="decimal"/>
      <w:lvlText w:val="%7."/>
      <w:lvlJc w:val="left"/>
      <w:pPr>
        <w:tabs>
          <w:tab w:val="num" w:pos="5040"/>
        </w:tabs>
        <w:ind w:left="5040" w:hanging="360"/>
      </w:pPr>
    </w:lvl>
    <w:lvl w:ilvl="7" w:tplc="AF6074D4" w:tentative="1">
      <w:start w:val="1"/>
      <w:numFmt w:val="lowerLetter"/>
      <w:lvlText w:val="%8."/>
      <w:lvlJc w:val="left"/>
      <w:pPr>
        <w:tabs>
          <w:tab w:val="num" w:pos="5760"/>
        </w:tabs>
        <w:ind w:left="5760" w:hanging="360"/>
      </w:pPr>
    </w:lvl>
    <w:lvl w:ilvl="8" w:tplc="64CEA38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262CCC40">
      <w:start w:val="1"/>
      <w:numFmt w:val="decimal"/>
      <w:lvlText w:val="%1."/>
      <w:lvlJc w:val="left"/>
      <w:pPr>
        <w:tabs>
          <w:tab w:val="num" w:pos="2160"/>
        </w:tabs>
        <w:ind w:left="2160" w:hanging="360"/>
      </w:pPr>
    </w:lvl>
    <w:lvl w:ilvl="1" w:tplc="33B06DEE">
      <w:start w:val="1"/>
      <w:numFmt w:val="lowerLetter"/>
      <w:lvlText w:val="%2)"/>
      <w:lvlJc w:val="left"/>
      <w:pPr>
        <w:tabs>
          <w:tab w:val="num" w:pos="2880"/>
        </w:tabs>
        <w:ind w:left="2880" w:hanging="360"/>
      </w:pPr>
    </w:lvl>
    <w:lvl w:ilvl="2" w:tplc="C242126E" w:tentative="1">
      <w:start w:val="1"/>
      <w:numFmt w:val="lowerRoman"/>
      <w:lvlText w:val="%3."/>
      <w:lvlJc w:val="right"/>
      <w:pPr>
        <w:tabs>
          <w:tab w:val="num" w:pos="3600"/>
        </w:tabs>
        <w:ind w:left="3600" w:hanging="180"/>
      </w:pPr>
    </w:lvl>
    <w:lvl w:ilvl="3" w:tplc="465832C2" w:tentative="1">
      <w:start w:val="1"/>
      <w:numFmt w:val="decimal"/>
      <w:lvlText w:val="%4."/>
      <w:lvlJc w:val="left"/>
      <w:pPr>
        <w:tabs>
          <w:tab w:val="num" w:pos="4320"/>
        </w:tabs>
        <w:ind w:left="4320" w:hanging="360"/>
      </w:pPr>
    </w:lvl>
    <w:lvl w:ilvl="4" w:tplc="9E883220" w:tentative="1">
      <w:start w:val="1"/>
      <w:numFmt w:val="lowerLetter"/>
      <w:lvlText w:val="%5."/>
      <w:lvlJc w:val="left"/>
      <w:pPr>
        <w:tabs>
          <w:tab w:val="num" w:pos="5040"/>
        </w:tabs>
        <w:ind w:left="5040" w:hanging="360"/>
      </w:pPr>
    </w:lvl>
    <w:lvl w:ilvl="5" w:tplc="3D5669B6" w:tentative="1">
      <w:start w:val="1"/>
      <w:numFmt w:val="lowerRoman"/>
      <w:lvlText w:val="%6."/>
      <w:lvlJc w:val="right"/>
      <w:pPr>
        <w:tabs>
          <w:tab w:val="num" w:pos="5760"/>
        </w:tabs>
        <w:ind w:left="5760" w:hanging="180"/>
      </w:pPr>
    </w:lvl>
    <w:lvl w:ilvl="6" w:tplc="078AA0C4" w:tentative="1">
      <w:start w:val="1"/>
      <w:numFmt w:val="decimal"/>
      <w:lvlText w:val="%7."/>
      <w:lvlJc w:val="left"/>
      <w:pPr>
        <w:tabs>
          <w:tab w:val="num" w:pos="6480"/>
        </w:tabs>
        <w:ind w:left="6480" w:hanging="360"/>
      </w:pPr>
    </w:lvl>
    <w:lvl w:ilvl="7" w:tplc="F96A0BD4" w:tentative="1">
      <w:start w:val="1"/>
      <w:numFmt w:val="lowerLetter"/>
      <w:lvlText w:val="%8."/>
      <w:lvlJc w:val="left"/>
      <w:pPr>
        <w:tabs>
          <w:tab w:val="num" w:pos="7200"/>
        </w:tabs>
        <w:ind w:left="7200" w:hanging="360"/>
      </w:pPr>
    </w:lvl>
    <w:lvl w:ilvl="8" w:tplc="4A62016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6ECAB722">
      <w:start w:val="1"/>
      <w:numFmt w:val="decimal"/>
      <w:lvlText w:val="%1."/>
      <w:lvlJc w:val="left"/>
      <w:pPr>
        <w:tabs>
          <w:tab w:val="num" w:pos="1440"/>
        </w:tabs>
        <w:ind w:left="1440" w:hanging="360"/>
      </w:pPr>
    </w:lvl>
    <w:lvl w:ilvl="1" w:tplc="330EFBB2" w:tentative="1">
      <w:start w:val="1"/>
      <w:numFmt w:val="lowerLetter"/>
      <w:lvlText w:val="%2."/>
      <w:lvlJc w:val="left"/>
      <w:pPr>
        <w:tabs>
          <w:tab w:val="num" w:pos="2160"/>
        </w:tabs>
        <w:ind w:left="2160" w:hanging="360"/>
      </w:pPr>
    </w:lvl>
    <w:lvl w:ilvl="2" w:tplc="8DB0FAE2" w:tentative="1">
      <w:start w:val="1"/>
      <w:numFmt w:val="lowerRoman"/>
      <w:lvlText w:val="%3."/>
      <w:lvlJc w:val="right"/>
      <w:pPr>
        <w:tabs>
          <w:tab w:val="num" w:pos="2880"/>
        </w:tabs>
        <w:ind w:left="2880" w:hanging="180"/>
      </w:pPr>
    </w:lvl>
    <w:lvl w:ilvl="3" w:tplc="6D82ACC6" w:tentative="1">
      <w:start w:val="1"/>
      <w:numFmt w:val="decimal"/>
      <w:lvlText w:val="%4."/>
      <w:lvlJc w:val="left"/>
      <w:pPr>
        <w:tabs>
          <w:tab w:val="num" w:pos="3600"/>
        </w:tabs>
        <w:ind w:left="3600" w:hanging="360"/>
      </w:pPr>
    </w:lvl>
    <w:lvl w:ilvl="4" w:tplc="D1F0794C" w:tentative="1">
      <w:start w:val="1"/>
      <w:numFmt w:val="lowerLetter"/>
      <w:lvlText w:val="%5."/>
      <w:lvlJc w:val="left"/>
      <w:pPr>
        <w:tabs>
          <w:tab w:val="num" w:pos="4320"/>
        </w:tabs>
        <w:ind w:left="4320" w:hanging="360"/>
      </w:pPr>
    </w:lvl>
    <w:lvl w:ilvl="5" w:tplc="C704A21E" w:tentative="1">
      <w:start w:val="1"/>
      <w:numFmt w:val="lowerRoman"/>
      <w:lvlText w:val="%6."/>
      <w:lvlJc w:val="right"/>
      <w:pPr>
        <w:tabs>
          <w:tab w:val="num" w:pos="5040"/>
        </w:tabs>
        <w:ind w:left="5040" w:hanging="180"/>
      </w:pPr>
    </w:lvl>
    <w:lvl w:ilvl="6" w:tplc="EA4AA27C" w:tentative="1">
      <w:start w:val="1"/>
      <w:numFmt w:val="decimal"/>
      <w:lvlText w:val="%7."/>
      <w:lvlJc w:val="left"/>
      <w:pPr>
        <w:tabs>
          <w:tab w:val="num" w:pos="5760"/>
        </w:tabs>
        <w:ind w:left="5760" w:hanging="360"/>
      </w:pPr>
    </w:lvl>
    <w:lvl w:ilvl="7" w:tplc="F9DAA486" w:tentative="1">
      <w:start w:val="1"/>
      <w:numFmt w:val="lowerLetter"/>
      <w:lvlText w:val="%8."/>
      <w:lvlJc w:val="left"/>
      <w:pPr>
        <w:tabs>
          <w:tab w:val="num" w:pos="6480"/>
        </w:tabs>
        <w:ind w:left="6480" w:hanging="360"/>
      </w:pPr>
    </w:lvl>
    <w:lvl w:ilvl="8" w:tplc="20E67C6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D0FCD8B4">
      <w:start w:val="1"/>
      <w:numFmt w:val="decimal"/>
      <w:lvlText w:val="%1."/>
      <w:lvlJc w:val="left"/>
      <w:pPr>
        <w:tabs>
          <w:tab w:val="num" w:pos="1440"/>
        </w:tabs>
        <w:ind w:left="1440" w:hanging="360"/>
      </w:pPr>
    </w:lvl>
    <w:lvl w:ilvl="1" w:tplc="0D6AFF82" w:tentative="1">
      <w:start w:val="1"/>
      <w:numFmt w:val="lowerLetter"/>
      <w:lvlText w:val="%2."/>
      <w:lvlJc w:val="left"/>
      <w:pPr>
        <w:tabs>
          <w:tab w:val="num" w:pos="2160"/>
        </w:tabs>
        <w:ind w:left="2160" w:hanging="360"/>
      </w:pPr>
    </w:lvl>
    <w:lvl w:ilvl="2" w:tplc="ED6CDA1C" w:tentative="1">
      <w:start w:val="1"/>
      <w:numFmt w:val="lowerRoman"/>
      <w:lvlText w:val="%3."/>
      <w:lvlJc w:val="right"/>
      <w:pPr>
        <w:tabs>
          <w:tab w:val="num" w:pos="2880"/>
        </w:tabs>
        <w:ind w:left="2880" w:hanging="180"/>
      </w:pPr>
    </w:lvl>
    <w:lvl w:ilvl="3" w:tplc="25D47BFA" w:tentative="1">
      <w:start w:val="1"/>
      <w:numFmt w:val="decimal"/>
      <w:lvlText w:val="%4."/>
      <w:lvlJc w:val="left"/>
      <w:pPr>
        <w:tabs>
          <w:tab w:val="num" w:pos="3600"/>
        </w:tabs>
        <w:ind w:left="3600" w:hanging="360"/>
      </w:pPr>
    </w:lvl>
    <w:lvl w:ilvl="4" w:tplc="BFCCA59C" w:tentative="1">
      <w:start w:val="1"/>
      <w:numFmt w:val="lowerLetter"/>
      <w:lvlText w:val="%5."/>
      <w:lvlJc w:val="left"/>
      <w:pPr>
        <w:tabs>
          <w:tab w:val="num" w:pos="4320"/>
        </w:tabs>
        <w:ind w:left="4320" w:hanging="360"/>
      </w:pPr>
    </w:lvl>
    <w:lvl w:ilvl="5" w:tplc="F01E72AE" w:tentative="1">
      <w:start w:val="1"/>
      <w:numFmt w:val="lowerRoman"/>
      <w:lvlText w:val="%6."/>
      <w:lvlJc w:val="right"/>
      <w:pPr>
        <w:tabs>
          <w:tab w:val="num" w:pos="5040"/>
        </w:tabs>
        <w:ind w:left="5040" w:hanging="180"/>
      </w:pPr>
    </w:lvl>
    <w:lvl w:ilvl="6" w:tplc="1F44E412" w:tentative="1">
      <w:start w:val="1"/>
      <w:numFmt w:val="decimal"/>
      <w:lvlText w:val="%7."/>
      <w:lvlJc w:val="left"/>
      <w:pPr>
        <w:tabs>
          <w:tab w:val="num" w:pos="5760"/>
        </w:tabs>
        <w:ind w:left="5760" w:hanging="360"/>
      </w:pPr>
    </w:lvl>
    <w:lvl w:ilvl="7" w:tplc="2F9E50E4" w:tentative="1">
      <w:start w:val="1"/>
      <w:numFmt w:val="lowerLetter"/>
      <w:lvlText w:val="%8."/>
      <w:lvlJc w:val="left"/>
      <w:pPr>
        <w:tabs>
          <w:tab w:val="num" w:pos="6480"/>
        </w:tabs>
        <w:ind w:left="6480" w:hanging="360"/>
      </w:pPr>
    </w:lvl>
    <w:lvl w:ilvl="8" w:tplc="B2A4EFD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B5B4317E">
      <w:start w:val="1"/>
      <w:numFmt w:val="decimal"/>
      <w:lvlText w:val="%1."/>
      <w:lvlJc w:val="left"/>
      <w:pPr>
        <w:tabs>
          <w:tab w:val="num" w:pos="2880"/>
        </w:tabs>
        <w:ind w:left="2880" w:hanging="360"/>
      </w:pPr>
    </w:lvl>
    <w:lvl w:ilvl="1" w:tplc="1C3EECC6" w:tentative="1">
      <w:start w:val="1"/>
      <w:numFmt w:val="lowerLetter"/>
      <w:lvlText w:val="%2."/>
      <w:lvlJc w:val="left"/>
      <w:pPr>
        <w:tabs>
          <w:tab w:val="num" w:pos="3600"/>
        </w:tabs>
        <w:ind w:left="3600" w:hanging="360"/>
      </w:pPr>
    </w:lvl>
    <w:lvl w:ilvl="2" w:tplc="0AA82D28" w:tentative="1">
      <w:start w:val="1"/>
      <w:numFmt w:val="lowerRoman"/>
      <w:lvlText w:val="%3."/>
      <w:lvlJc w:val="right"/>
      <w:pPr>
        <w:tabs>
          <w:tab w:val="num" w:pos="4320"/>
        </w:tabs>
        <w:ind w:left="4320" w:hanging="180"/>
      </w:pPr>
    </w:lvl>
    <w:lvl w:ilvl="3" w:tplc="BB98506C" w:tentative="1">
      <w:start w:val="1"/>
      <w:numFmt w:val="decimal"/>
      <w:lvlText w:val="%4."/>
      <w:lvlJc w:val="left"/>
      <w:pPr>
        <w:tabs>
          <w:tab w:val="num" w:pos="5040"/>
        </w:tabs>
        <w:ind w:left="5040" w:hanging="360"/>
      </w:pPr>
    </w:lvl>
    <w:lvl w:ilvl="4" w:tplc="BEA2F8C8" w:tentative="1">
      <w:start w:val="1"/>
      <w:numFmt w:val="lowerLetter"/>
      <w:lvlText w:val="%5."/>
      <w:lvlJc w:val="left"/>
      <w:pPr>
        <w:tabs>
          <w:tab w:val="num" w:pos="5760"/>
        </w:tabs>
        <w:ind w:left="5760" w:hanging="360"/>
      </w:pPr>
    </w:lvl>
    <w:lvl w:ilvl="5" w:tplc="973E9C22" w:tentative="1">
      <w:start w:val="1"/>
      <w:numFmt w:val="lowerRoman"/>
      <w:lvlText w:val="%6."/>
      <w:lvlJc w:val="right"/>
      <w:pPr>
        <w:tabs>
          <w:tab w:val="num" w:pos="6480"/>
        </w:tabs>
        <w:ind w:left="6480" w:hanging="180"/>
      </w:pPr>
    </w:lvl>
    <w:lvl w:ilvl="6" w:tplc="4D926C2C" w:tentative="1">
      <w:start w:val="1"/>
      <w:numFmt w:val="decimal"/>
      <w:lvlText w:val="%7."/>
      <w:lvlJc w:val="left"/>
      <w:pPr>
        <w:tabs>
          <w:tab w:val="num" w:pos="7200"/>
        </w:tabs>
        <w:ind w:left="7200" w:hanging="360"/>
      </w:pPr>
    </w:lvl>
    <w:lvl w:ilvl="7" w:tplc="6E1222D4" w:tentative="1">
      <w:start w:val="1"/>
      <w:numFmt w:val="lowerLetter"/>
      <w:lvlText w:val="%8."/>
      <w:lvlJc w:val="left"/>
      <w:pPr>
        <w:tabs>
          <w:tab w:val="num" w:pos="7920"/>
        </w:tabs>
        <w:ind w:left="7920" w:hanging="360"/>
      </w:pPr>
    </w:lvl>
    <w:lvl w:ilvl="8" w:tplc="61D6EB9A"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14125FD8">
      <w:start w:val="1"/>
      <w:numFmt w:val="lowerLetter"/>
      <w:lvlText w:val="%1."/>
      <w:lvlJc w:val="left"/>
      <w:pPr>
        <w:tabs>
          <w:tab w:val="num" w:pos="2160"/>
        </w:tabs>
        <w:ind w:left="2160" w:hanging="360"/>
      </w:pPr>
    </w:lvl>
    <w:lvl w:ilvl="1" w:tplc="407C1FCC" w:tentative="1">
      <w:start w:val="1"/>
      <w:numFmt w:val="lowerLetter"/>
      <w:lvlText w:val="%2."/>
      <w:lvlJc w:val="left"/>
      <w:pPr>
        <w:tabs>
          <w:tab w:val="num" w:pos="2880"/>
        </w:tabs>
        <w:ind w:left="2880" w:hanging="360"/>
      </w:pPr>
    </w:lvl>
    <w:lvl w:ilvl="2" w:tplc="307C5F1A" w:tentative="1">
      <w:start w:val="1"/>
      <w:numFmt w:val="lowerRoman"/>
      <w:lvlText w:val="%3."/>
      <w:lvlJc w:val="right"/>
      <w:pPr>
        <w:tabs>
          <w:tab w:val="num" w:pos="3600"/>
        </w:tabs>
        <w:ind w:left="3600" w:hanging="180"/>
      </w:pPr>
    </w:lvl>
    <w:lvl w:ilvl="3" w:tplc="FB023844" w:tentative="1">
      <w:start w:val="1"/>
      <w:numFmt w:val="decimal"/>
      <w:lvlText w:val="%4."/>
      <w:lvlJc w:val="left"/>
      <w:pPr>
        <w:tabs>
          <w:tab w:val="num" w:pos="4320"/>
        </w:tabs>
        <w:ind w:left="4320" w:hanging="360"/>
      </w:pPr>
    </w:lvl>
    <w:lvl w:ilvl="4" w:tplc="D682C7BC" w:tentative="1">
      <w:start w:val="1"/>
      <w:numFmt w:val="lowerLetter"/>
      <w:lvlText w:val="%5."/>
      <w:lvlJc w:val="left"/>
      <w:pPr>
        <w:tabs>
          <w:tab w:val="num" w:pos="5040"/>
        </w:tabs>
        <w:ind w:left="5040" w:hanging="360"/>
      </w:pPr>
    </w:lvl>
    <w:lvl w:ilvl="5" w:tplc="1CF681E2" w:tentative="1">
      <w:start w:val="1"/>
      <w:numFmt w:val="lowerRoman"/>
      <w:lvlText w:val="%6."/>
      <w:lvlJc w:val="right"/>
      <w:pPr>
        <w:tabs>
          <w:tab w:val="num" w:pos="5760"/>
        </w:tabs>
        <w:ind w:left="5760" w:hanging="180"/>
      </w:pPr>
    </w:lvl>
    <w:lvl w:ilvl="6" w:tplc="36AE332A" w:tentative="1">
      <w:start w:val="1"/>
      <w:numFmt w:val="decimal"/>
      <w:lvlText w:val="%7."/>
      <w:lvlJc w:val="left"/>
      <w:pPr>
        <w:tabs>
          <w:tab w:val="num" w:pos="6480"/>
        </w:tabs>
        <w:ind w:left="6480" w:hanging="360"/>
      </w:pPr>
    </w:lvl>
    <w:lvl w:ilvl="7" w:tplc="2586ED1E" w:tentative="1">
      <w:start w:val="1"/>
      <w:numFmt w:val="lowerLetter"/>
      <w:lvlText w:val="%8."/>
      <w:lvlJc w:val="left"/>
      <w:pPr>
        <w:tabs>
          <w:tab w:val="num" w:pos="7200"/>
        </w:tabs>
        <w:ind w:left="7200" w:hanging="360"/>
      </w:pPr>
    </w:lvl>
    <w:lvl w:ilvl="8" w:tplc="5CE075B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9FE81504">
      <w:start w:val="3"/>
      <w:numFmt w:val="decimal"/>
      <w:lvlText w:val="(%1)"/>
      <w:lvlJc w:val="left"/>
      <w:pPr>
        <w:tabs>
          <w:tab w:val="num" w:pos="2520"/>
        </w:tabs>
        <w:ind w:left="2520" w:hanging="360"/>
      </w:pPr>
      <w:rPr>
        <w:rFonts w:hint="default"/>
      </w:rPr>
    </w:lvl>
    <w:lvl w:ilvl="1" w:tplc="BAAAB192" w:tentative="1">
      <w:start w:val="1"/>
      <w:numFmt w:val="lowerLetter"/>
      <w:lvlText w:val="%2."/>
      <w:lvlJc w:val="left"/>
      <w:pPr>
        <w:tabs>
          <w:tab w:val="num" w:pos="3240"/>
        </w:tabs>
        <w:ind w:left="3240" w:hanging="360"/>
      </w:pPr>
    </w:lvl>
    <w:lvl w:ilvl="2" w:tplc="ABBCBA90" w:tentative="1">
      <w:start w:val="1"/>
      <w:numFmt w:val="lowerRoman"/>
      <w:lvlText w:val="%3."/>
      <w:lvlJc w:val="right"/>
      <w:pPr>
        <w:tabs>
          <w:tab w:val="num" w:pos="3960"/>
        </w:tabs>
        <w:ind w:left="3960" w:hanging="180"/>
      </w:pPr>
    </w:lvl>
    <w:lvl w:ilvl="3" w:tplc="DD5A5088" w:tentative="1">
      <w:start w:val="1"/>
      <w:numFmt w:val="decimal"/>
      <w:lvlText w:val="%4."/>
      <w:lvlJc w:val="left"/>
      <w:pPr>
        <w:tabs>
          <w:tab w:val="num" w:pos="4680"/>
        </w:tabs>
        <w:ind w:left="4680" w:hanging="360"/>
      </w:pPr>
    </w:lvl>
    <w:lvl w:ilvl="4" w:tplc="F49A3982" w:tentative="1">
      <w:start w:val="1"/>
      <w:numFmt w:val="lowerLetter"/>
      <w:lvlText w:val="%5."/>
      <w:lvlJc w:val="left"/>
      <w:pPr>
        <w:tabs>
          <w:tab w:val="num" w:pos="5400"/>
        </w:tabs>
        <w:ind w:left="5400" w:hanging="360"/>
      </w:pPr>
    </w:lvl>
    <w:lvl w:ilvl="5" w:tplc="90069EFE" w:tentative="1">
      <w:start w:val="1"/>
      <w:numFmt w:val="lowerRoman"/>
      <w:lvlText w:val="%6."/>
      <w:lvlJc w:val="right"/>
      <w:pPr>
        <w:tabs>
          <w:tab w:val="num" w:pos="6120"/>
        </w:tabs>
        <w:ind w:left="6120" w:hanging="180"/>
      </w:pPr>
    </w:lvl>
    <w:lvl w:ilvl="6" w:tplc="12CA5212" w:tentative="1">
      <w:start w:val="1"/>
      <w:numFmt w:val="decimal"/>
      <w:lvlText w:val="%7."/>
      <w:lvlJc w:val="left"/>
      <w:pPr>
        <w:tabs>
          <w:tab w:val="num" w:pos="6840"/>
        </w:tabs>
        <w:ind w:left="6840" w:hanging="360"/>
      </w:pPr>
    </w:lvl>
    <w:lvl w:ilvl="7" w:tplc="0486F588" w:tentative="1">
      <w:start w:val="1"/>
      <w:numFmt w:val="lowerLetter"/>
      <w:lvlText w:val="%8."/>
      <w:lvlJc w:val="left"/>
      <w:pPr>
        <w:tabs>
          <w:tab w:val="num" w:pos="7560"/>
        </w:tabs>
        <w:ind w:left="7560" w:hanging="360"/>
      </w:pPr>
    </w:lvl>
    <w:lvl w:ilvl="8" w:tplc="F66C2AE6"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F084B35E">
      <w:start w:val="1"/>
      <w:numFmt w:val="bullet"/>
      <w:lvlText w:val=""/>
      <w:lvlJc w:val="left"/>
      <w:pPr>
        <w:tabs>
          <w:tab w:val="num" w:pos="5760"/>
        </w:tabs>
        <w:ind w:left="5760" w:hanging="360"/>
      </w:pPr>
      <w:rPr>
        <w:rFonts w:ascii="Symbol" w:hAnsi="Symbol" w:hint="default"/>
        <w:color w:val="auto"/>
        <w:u w:val="none"/>
      </w:rPr>
    </w:lvl>
    <w:lvl w:ilvl="1" w:tplc="BE02EEA8" w:tentative="1">
      <w:start w:val="1"/>
      <w:numFmt w:val="bullet"/>
      <w:lvlText w:val="o"/>
      <w:lvlJc w:val="left"/>
      <w:pPr>
        <w:tabs>
          <w:tab w:val="num" w:pos="3600"/>
        </w:tabs>
        <w:ind w:left="3600" w:hanging="360"/>
      </w:pPr>
      <w:rPr>
        <w:rFonts w:ascii="Courier New" w:hAnsi="Courier New" w:hint="default"/>
      </w:rPr>
    </w:lvl>
    <w:lvl w:ilvl="2" w:tplc="5394CCDE" w:tentative="1">
      <w:start w:val="1"/>
      <w:numFmt w:val="bullet"/>
      <w:lvlText w:val=""/>
      <w:lvlJc w:val="left"/>
      <w:pPr>
        <w:tabs>
          <w:tab w:val="num" w:pos="4320"/>
        </w:tabs>
        <w:ind w:left="4320" w:hanging="360"/>
      </w:pPr>
      <w:rPr>
        <w:rFonts w:ascii="Wingdings" w:hAnsi="Wingdings" w:hint="default"/>
      </w:rPr>
    </w:lvl>
    <w:lvl w:ilvl="3" w:tplc="FE9AF52A">
      <w:start w:val="1"/>
      <w:numFmt w:val="bullet"/>
      <w:lvlText w:val=""/>
      <w:lvlJc w:val="left"/>
      <w:pPr>
        <w:tabs>
          <w:tab w:val="num" w:pos="5040"/>
        </w:tabs>
        <w:ind w:left="5040" w:hanging="360"/>
      </w:pPr>
      <w:rPr>
        <w:rFonts w:ascii="Symbol" w:hAnsi="Symbol" w:hint="default"/>
      </w:rPr>
    </w:lvl>
    <w:lvl w:ilvl="4" w:tplc="F9D4D912" w:tentative="1">
      <w:start w:val="1"/>
      <w:numFmt w:val="bullet"/>
      <w:lvlText w:val="o"/>
      <w:lvlJc w:val="left"/>
      <w:pPr>
        <w:tabs>
          <w:tab w:val="num" w:pos="5760"/>
        </w:tabs>
        <w:ind w:left="5760" w:hanging="360"/>
      </w:pPr>
      <w:rPr>
        <w:rFonts w:ascii="Courier New" w:hAnsi="Courier New" w:hint="default"/>
      </w:rPr>
    </w:lvl>
    <w:lvl w:ilvl="5" w:tplc="4A2A846A" w:tentative="1">
      <w:start w:val="1"/>
      <w:numFmt w:val="bullet"/>
      <w:lvlText w:val=""/>
      <w:lvlJc w:val="left"/>
      <w:pPr>
        <w:tabs>
          <w:tab w:val="num" w:pos="6480"/>
        </w:tabs>
        <w:ind w:left="6480" w:hanging="360"/>
      </w:pPr>
      <w:rPr>
        <w:rFonts w:ascii="Wingdings" w:hAnsi="Wingdings" w:hint="default"/>
      </w:rPr>
    </w:lvl>
    <w:lvl w:ilvl="6" w:tplc="5106A704" w:tentative="1">
      <w:start w:val="1"/>
      <w:numFmt w:val="bullet"/>
      <w:lvlText w:val=""/>
      <w:lvlJc w:val="left"/>
      <w:pPr>
        <w:tabs>
          <w:tab w:val="num" w:pos="7200"/>
        </w:tabs>
        <w:ind w:left="7200" w:hanging="360"/>
      </w:pPr>
      <w:rPr>
        <w:rFonts w:ascii="Symbol" w:hAnsi="Symbol" w:hint="default"/>
      </w:rPr>
    </w:lvl>
    <w:lvl w:ilvl="7" w:tplc="C968402E" w:tentative="1">
      <w:start w:val="1"/>
      <w:numFmt w:val="bullet"/>
      <w:lvlText w:val="o"/>
      <w:lvlJc w:val="left"/>
      <w:pPr>
        <w:tabs>
          <w:tab w:val="num" w:pos="7920"/>
        </w:tabs>
        <w:ind w:left="7920" w:hanging="360"/>
      </w:pPr>
      <w:rPr>
        <w:rFonts w:ascii="Courier New" w:hAnsi="Courier New" w:hint="default"/>
      </w:rPr>
    </w:lvl>
    <w:lvl w:ilvl="8" w:tplc="A88EC5B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24344DDE">
      <w:start w:val="1"/>
      <w:numFmt w:val="decimal"/>
      <w:lvlText w:val="%1."/>
      <w:lvlJc w:val="left"/>
      <w:pPr>
        <w:tabs>
          <w:tab w:val="num" w:pos="3600"/>
        </w:tabs>
        <w:ind w:left="3600" w:hanging="360"/>
      </w:pPr>
    </w:lvl>
    <w:lvl w:ilvl="1" w:tplc="C69CE4E4" w:tentative="1">
      <w:start w:val="1"/>
      <w:numFmt w:val="lowerLetter"/>
      <w:lvlText w:val="%2."/>
      <w:lvlJc w:val="left"/>
      <w:pPr>
        <w:tabs>
          <w:tab w:val="num" w:pos="4320"/>
        </w:tabs>
        <w:ind w:left="4320" w:hanging="360"/>
      </w:pPr>
    </w:lvl>
    <w:lvl w:ilvl="2" w:tplc="7B7475BA" w:tentative="1">
      <w:start w:val="1"/>
      <w:numFmt w:val="lowerRoman"/>
      <w:lvlText w:val="%3."/>
      <w:lvlJc w:val="right"/>
      <w:pPr>
        <w:tabs>
          <w:tab w:val="num" w:pos="5040"/>
        </w:tabs>
        <w:ind w:left="5040" w:hanging="180"/>
      </w:pPr>
    </w:lvl>
    <w:lvl w:ilvl="3" w:tplc="ED961532" w:tentative="1">
      <w:start w:val="1"/>
      <w:numFmt w:val="decimal"/>
      <w:lvlText w:val="%4."/>
      <w:lvlJc w:val="left"/>
      <w:pPr>
        <w:tabs>
          <w:tab w:val="num" w:pos="5760"/>
        </w:tabs>
        <w:ind w:left="5760" w:hanging="360"/>
      </w:pPr>
    </w:lvl>
    <w:lvl w:ilvl="4" w:tplc="95A45A8C" w:tentative="1">
      <w:start w:val="1"/>
      <w:numFmt w:val="lowerLetter"/>
      <w:lvlText w:val="%5."/>
      <w:lvlJc w:val="left"/>
      <w:pPr>
        <w:tabs>
          <w:tab w:val="num" w:pos="6480"/>
        </w:tabs>
        <w:ind w:left="6480" w:hanging="360"/>
      </w:pPr>
    </w:lvl>
    <w:lvl w:ilvl="5" w:tplc="3ACAD90E" w:tentative="1">
      <w:start w:val="1"/>
      <w:numFmt w:val="lowerRoman"/>
      <w:lvlText w:val="%6."/>
      <w:lvlJc w:val="right"/>
      <w:pPr>
        <w:tabs>
          <w:tab w:val="num" w:pos="7200"/>
        </w:tabs>
        <w:ind w:left="7200" w:hanging="180"/>
      </w:pPr>
    </w:lvl>
    <w:lvl w:ilvl="6" w:tplc="85E08A98" w:tentative="1">
      <w:start w:val="1"/>
      <w:numFmt w:val="decimal"/>
      <w:lvlText w:val="%7."/>
      <w:lvlJc w:val="left"/>
      <w:pPr>
        <w:tabs>
          <w:tab w:val="num" w:pos="7920"/>
        </w:tabs>
        <w:ind w:left="7920" w:hanging="360"/>
      </w:pPr>
    </w:lvl>
    <w:lvl w:ilvl="7" w:tplc="683E7754" w:tentative="1">
      <w:start w:val="1"/>
      <w:numFmt w:val="lowerLetter"/>
      <w:lvlText w:val="%8."/>
      <w:lvlJc w:val="left"/>
      <w:pPr>
        <w:tabs>
          <w:tab w:val="num" w:pos="8640"/>
        </w:tabs>
        <w:ind w:left="8640" w:hanging="360"/>
      </w:pPr>
    </w:lvl>
    <w:lvl w:ilvl="8" w:tplc="54189748"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707679"/>
    <w:rsid w:val="001B1A3E"/>
    <w:rsid w:val="007076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F18"/>
    <w:rPr>
      <w:sz w:val="24"/>
      <w:szCs w:val="24"/>
    </w:rPr>
  </w:style>
  <w:style w:type="paragraph" w:styleId="Heading1">
    <w:name w:val="heading 1"/>
    <w:basedOn w:val="Normal"/>
    <w:next w:val="Normal"/>
    <w:qFormat/>
    <w:rsid w:val="00515F18"/>
    <w:pPr>
      <w:keepNext/>
      <w:spacing w:before="240" w:after="240"/>
      <w:ind w:left="720" w:hanging="720"/>
      <w:outlineLvl w:val="0"/>
    </w:pPr>
    <w:rPr>
      <w:b/>
    </w:rPr>
  </w:style>
  <w:style w:type="paragraph" w:styleId="Heading2">
    <w:name w:val="heading 2"/>
    <w:basedOn w:val="Normal"/>
    <w:next w:val="Normal"/>
    <w:qFormat/>
    <w:rsid w:val="00515F1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15F18"/>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15F18"/>
    <w:pPr>
      <w:keepNext/>
      <w:tabs>
        <w:tab w:val="left" w:pos="1800"/>
      </w:tabs>
      <w:spacing w:before="240" w:after="240"/>
      <w:ind w:left="1800" w:hanging="1080"/>
      <w:outlineLvl w:val="3"/>
    </w:pPr>
    <w:rPr>
      <w:b/>
    </w:rPr>
  </w:style>
  <w:style w:type="paragraph" w:styleId="Heading5">
    <w:name w:val="heading 5"/>
    <w:basedOn w:val="Normal"/>
    <w:next w:val="Normal"/>
    <w:qFormat/>
    <w:rsid w:val="00515F18"/>
    <w:pPr>
      <w:keepNext/>
      <w:spacing w:line="480" w:lineRule="auto"/>
      <w:ind w:left="1440" w:right="-90" w:hanging="720"/>
      <w:outlineLvl w:val="4"/>
    </w:pPr>
    <w:rPr>
      <w:b/>
    </w:rPr>
  </w:style>
  <w:style w:type="paragraph" w:styleId="Heading6">
    <w:name w:val="heading 6"/>
    <w:basedOn w:val="Normal"/>
    <w:next w:val="Normal"/>
    <w:qFormat/>
    <w:rsid w:val="00515F18"/>
    <w:pPr>
      <w:keepNext/>
      <w:spacing w:line="480" w:lineRule="auto"/>
      <w:ind w:left="1080" w:right="-90" w:hanging="360"/>
      <w:outlineLvl w:val="5"/>
    </w:pPr>
    <w:rPr>
      <w:b/>
    </w:rPr>
  </w:style>
  <w:style w:type="paragraph" w:styleId="Heading7">
    <w:name w:val="heading 7"/>
    <w:basedOn w:val="Normal"/>
    <w:next w:val="Normal"/>
    <w:qFormat/>
    <w:rsid w:val="00515F18"/>
    <w:pPr>
      <w:keepNext/>
      <w:spacing w:line="480" w:lineRule="auto"/>
      <w:ind w:left="720" w:right="630"/>
      <w:outlineLvl w:val="6"/>
    </w:pPr>
    <w:rPr>
      <w:b/>
    </w:rPr>
  </w:style>
  <w:style w:type="paragraph" w:styleId="Heading8">
    <w:name w:val="heading 8"/>
    <w:basedOn w:val="Normal"/>
    <w:next w:val="Normal"/>
    <w:qFormat/>
    <w:rsid w:val="00515F18"/>
    <w:pPr>
      <w:keepNext/>
      <w:spacing w:line="480" w:lineRule="auto"/>
      <w:ind w:left="720" w:right="-90"/>
      <w:outlineLvl w:val="7"/>
    </w:pPr>
    <w:rPr>
      <w:b/>
    </w:rPr>
  </w:style>
  <w:style w:type="paragraph" w:styleId="Heading9">
    <w:name w:val="heading 9"/>
    <w:basedOn w:val="Normal"/>
    <w:next w:val="Normal"/>
    <w:qFormat/>
    <w:rsid w:val="00515F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15F18"/>
    <w:rPr>
      <w:b/>
      <w:snapToGrid w:val="0"/>
      <w:sz w:val="24"/>
      <w:lang w:val="en-US" w:eastAsia="en-US" w:bidi="ar-SA"/>
    </w:rPr>
  </w:style>
  <w:style w:type="paragraph" w:customStyle="1" w:styleId="equationtext">
    <w:name w:val="equation text"/>
    <w:basedOn w:val="romannumeralpara"/>
    <w:rsid w:val="00515F18"/>
    <w:pPr>
      <w:spacing w:before="120" w:after="120" w:line="240" w:lineRule="auto"/>
      <w:ind w:left="2880" w:hanging="2160"/>
    </w:pPr>
  </w:style>
  <w:style w:type="paragraph" w:customStyle="1" w:styleId="romannumeralpara">
    <w:name w:val="roman numeral para"/>
    <w:basedOn w:val="Normal"/>
    <w:link w:val="romannumeralparaChar"/>
    <w:rsid w:val="00515F18"/>
    <w:pPr>
      <w:spacing w:line="480" w:lineRule="auto"/>
      <w:ind w:left="1440" w:hanging="720"/>
    </w:pPr>
  </w:style>
  <w:style w:type="paragraph" w:styleId="Footer">
    <w:name w:val="footer"/>
    <w:basedOn w:val="Normal"/>
    <w:rsid w:val="00515F18"/>
    <w:pPr>
      <w:tabs>
        <w:tab w:val="center" w:pos="4320"/>
        <w:tab w:val="right" w:pos="8640"/>
      </w:tabs>
    </w:pPr>
  </w:style>
  <w:style w:type="character" w:styleId="PageNumber">
    <w:name w:val="page number"/>
    <w:basedOn w:val="DefaultParagraphFont"/>
    <w:rsid w:val="00515F18"/>
    <w:rPr>
      <w:spacing w:val="0"/>
      <w:sz w:val="20"/>
    </w:rPr>
  </w:style>
  <w:style w:type="paragraph" w:styleId="FootnoteText">
    <w:name w:val="footnote text"/>
    <w:basedOn w:val="Normal"/>
    <w:semiHidden/>
    <w:rsid w:val="00515F18"/>
    <w:pPr>
      <w:jc w:val="both"/>
    </w:pPr>
    <w:rPr>
      <w:sz w:val="20"/>
    </w:rPr>
  </w:style>
  <w:style w:type="character" w:styleId="FootnoteReference">
    <w:name w:val="footnote reference"/>
    <w:semiHidden/>
    <w:rsid w:val="00515F18"/>
  </w:style>
  <w:style w:type="paragraph" w:styleId="Header">
    <w:name w:val="header"/>
    <w:basedOn w:val="Normal"/>
    <w:rsid w:val="00515F18"/>
    <w:pPr>
      <w:tabs>
        <w:tab w:val="center" w:pos="4680"/>
        <w:tab w:val="right" w:pos="9360"/>
      </w:tabs>
    </w:pPr>
  </w:style>
  <w:style w:type="paragraph" w:styleId="TOC1">
    <w:name w:val="toc 1"/>
    <w:basedOn w:val="Normal"/>
    <w:next w:val="Normal"/>
    <w:semiHidden/>
    <w:rsid w:val="00515F18"/>
  </w:style>
  <w:style w:type="character" w:styleId="CommentReference">
    <w:name w:val="annotation reference"/>
    <w:basedOn w:val="DefaultParagraphFont"/>
    <w:semiHidden/>
    <w:rsid w:val="00515F18"/>
    <w:rPr>
      <w:spacing w:val="0"/>
      <w:sz w:val="16"/>
    </w:rPr>
  </w:style>
  <w:style w:type="paragraph" w:styleId="CommentText">
    <w:name w:val="annotation text"/>
    <w:basedOn w:val="Normal"/>
    <w:link w:val="CommentTextChar"/>
    <w:semiHidden/>
    <w:rsid w:val="00515F18"/>
    <w:rPr>
      <w:sz w:val="20"/>
    </w:rPr>
  </w:style>
  <w:style w:type="paragraph" w:styleId="DocumentMap">
    <w:name w:val="Document Map"/>
    <w:basedOn w:val="Normal"/>
    <w:semiHidden/>
    <w:rsid w:val="00515F18"/>
    <w:pPr>
      <w:shd w:val="clear" w:color="auto" w:fill="000080"/>
    </w:pPr>
    <w:rPr>
      <w:rFonts w:ascii="Tahoma" w:hAnsi="Tahoma" w:cs="Tahoma"/>
      <w:sz w:val="20"/>
    </w:rPr>
  </w:style>
  <w:style w:type="character" w:customStyle="1" w:styleId="WFYComments">
    <w:name w:val="WFY Comments"/>
    <w:basedOn w:val="DefaultParagraphFont"/>
    <w:rsid w:val="00515F18"/>
    <w:rPr>
      <w:rFonts w:ascii="Bradley Hand ITC" w:hAnsi="Bradley Hand ITC" w:cs="Arial"/>
      <w:color w:val="000080"/>
      <w:spacing w:val="0"/>
      <w:sz w:val="24"/>
      <w:szCs w:val="22"/>
    </w:rPr>
  </w:style>
  <w:style w:type="paragraph" w:customStyle="1" w:styleId="Definition">
    <w:name w:val="Definition"/>
    <w:basedOn w:val="Normal"/>
    <w:rsid w:val="00515F18"/>
    <w:pPr>
      <w:spacing w:before="240" w:after="240"/>
    </w:pPr>
  </w:style>
  <w:style w:type="paragraph" w:customStyle="1" w:styleId="Definitionindent">
    <w:name w:val="Definition indent"/>
    <w:basedOn w:val="Definition"/>
    <w:rsid w:val="00515F18"/>
    <w:pPr>
      <w:spacing w:before="120" w:after="120"/>
      <w:ind w:left="720"/>
    </w:pPr>
  </w:style>
  <w:style w:type="paragraph" w:customStyle="1" w:styleId="Bodypara">
    <w:name w:val="Body para"/>
    <w:basedOn w:val="Normal"/>
    <w:link w:val="BodyparaChar"/>
    <w:rsid w:val="00515F18"/>
    <w:pPr>
      <w:spacing w:line="480" w:lineRule="auto"/>
      <w:ind w:firstLine="720"/>
    </w:pPr>
  </w:style>
  <w:style w:type="paragraph" w:customStyle="1" w:styleId="alphapara">
    <w:name w:val="alpha para"/>
    <w:basedOn w:val="Bodypara"/>
    <w:link w:val="alphaparaChar"/>
    <w:rsid w:val="00515F18"/>
    <w:pPr>
      <w:ind w:left="1440" w:hanging="720"/>
    </w:pPr>
  </w:style>
  <w:style w:type="paragraph" w:customStyle="1" w:styleId="TOCheading">
    <w:name w:val="TOC heading"/>
    <w:basedOn w:val="Normal"/>
    <w:rsid w:val="00515F18"/>
    <w:pPr>
      <w:spacing w:before="240" w:after="240"/>
    </w:pPr>
    <w:rPr>
      <w:b/>
    </w:rPr>
  </w:style>
  <w:style w:type="paragraph" w:styleId="BalloonText">
    <w:name w:val="Balloon Text"/>
    <w:basedOn w:val="Normal"/>
    <w:semiHidden/>
    <w:rsid w:val="00515F18"/>
    <w:rPr>
      <w:rFonts w:ascii="Tahoma" w:hAnsi="Tahoma" w:cs="Tahoma"/>
      <w:sz w:val="16"/>
      <w:szCs w:val="16"/>
    </w:rPr>
  </w:style>
  <w:style w:type="paragraph" w:customStyle="1" w:styleId="subhead">
    <w:name w:val="subhead"/>
    <w:basedOn w:val="Heading4"/>
    <w:rsid w:val="00515F18"/>
    <w:pPr>
      <w:tabs>
        <w:tab w:val="clear" w:pos="1800"/>
      </w:tabs>
      <w:ind w:left="720" w:firstLine="0"/>
    </w:pPr>
  </w:style>
  <w:style w:type="paragraph" w:customStyle="1" w:styleId="alphaheading">
    <w:name w:val="alpha heading"/>
    <w:basedOn w:val="Normal"/>
    <w:rsid w:val="00515F18"/>
    <w:pPr>
      <w:keepNext/>
      <w:tabs>
        <w:tab w:val="left" w:pos="1440"/>
      </w:tabs>
      <w:spacing w:before="240" w:after="240"/>
      <w:ind w:left="1440" w:hanging="720"/>
    </w:pPr>
    <w:rPr>
      <w:b/>
    </w:rPr>
  </w:style>
  <w:style w:type="paragraph" w:customStyle="1" w:styleId="Bulletpara">
    <w:name w:val="Bullet para"/>
    <w:basedOn w:val="Normal"/>
    <w:rsid w:val="00515F18"/>
    <w:pPr>
      <w:numPr>
        <w:numId w:val="47"/>
      </w:numPr>
      <w:tabs>
        <w:tab w:val="left" w:pos="900"/>
      </w:tabs>
      <w:spacing w:before="120" w:after="120"/>
    </w:pPr>
  </w:style>
  <w:style w:type="paragraph" w:customStyle="1" w:styleId="Tarifftitle">
    <w:name w:val="Tariff title"/>
    <w:basedOn w:val="Normal"/>
    <w:rsid w:val="00515F18"/>
    <w:rPr>
      <w:b/>
      <w:sz w:val="28"/>
      <w:szCs w:val="28"/>
    </w:rPr>
  </w:style>
  <w:style w:type="paragraph" w:styleId="TOC2">
    <w:name w:val="toc 2"/>
    <w:basedOn w:val="Normal"/>
    <w:next w:val="Normal"/>
    <w:semiHidden/>
    <w:rsid w:val="00515F18"/>
    <w:pPr>
      <w:ind w:left="240"/>
    </w:pPr>
  </w:style>
  <w:style w:type="character" w:styleId="Hyperlink">
    <w:name w:val="Hyperlink"/>
    <w:basedOn w:val="DefaultParagraphFont"/>
    <w:rsid w:val="00515F18"/>
    <w:rPr>
      <w:color w:val="0000FF"/>
      <w:u w:val="single"/>
    </w:rPr>
  </w:style>
  <w:style w:type="paragraph" w:styleId="TOC3">
    <w:name w:val="toc 3"/>
    <w:basedOn w:val="Normal"/>
    <w:next w:val="Normal"/>
    <w:semiHidden/>
    <w:rsid w:val="00515F18"/>
    <w:pPr>
      <w:ind w:left="480"/>
    </w:pPr>
  </w:style>
  <w:style w:type="paragraph" w:styleId="TOC4">
    <w:name w:val="toc 4"/>
    <w:basedOn w:val="Normal"/>
    <w:next w:val="Normal"/>
    <w:semiHidden/>
    <w:rsid w:val="00515F18"/>
    <w:pPr>
      <w:ind w:left="720"/>
    </w:pPr>
  </w:style>
  <w:style w:type="paragraph" w:customStyle="1" w:styleId="Level1">
    <w:name w:val="Level 1"/>
    <w:basedOn w:val="Normal"/>
    <w:rsid w:val="00515F18"/>
    <w:pPr>
      <w:ind w:left="1890" w:hanging="720"/>
    </w:pPr>
  </w:style>
  <w:style w:type="paragraph" w:styleId="Date">
    <w:name w:val="Date"/>
    <w:basedOn w:val="Normal"/>
    <w:next w:val="Normal"/>
    <w:rsid w:val="00515F18"/>
  </w:style>
  <w:style w:type="paragraph" w:customStyle="1" w:styleId="Footers">
    <w:name w:val="Footers"/>
    <w:basedOn w:val="Heading1"/>
    <w:rsid w:val="00515F18"/>
    <w:pPr>
      <w:tabs>
        <w:tab w:val="left" w:pos="1440"/>
        <w:tab w:val="left" w:pos="7020"/>
        <w:tab w:val="right" w:pos="9360"/>
      </w:tabs>
    </w:pPr>
    <w:rPr>
      <w:b w:val="0"/>
      <w:sz w:val="20"/>
    </w:rPr>
  </w:style>
  <w:style w:type="character" w:customStyle="1" w:styleId="BodyparaChar">
    <w:name w:val="Body para Char"/>
    <w:basedOn w:val="DefaultParagraphFont"/>
    <w:link w:val="Bodypara"/>
    <w:rsid w:val="00515F18"/>
    <w:rPr>
      <w:snapToGrid w:val="0"/>
      <w:sz w:val="24"/>
      <w:lang w:val="en-US" w:eastAsia="en-US" w:bidi="ar-SA"/>
    </w:rPr>
  </w:style>
  <w:style w:type="character" w:customStyle="1" w:styleId="alphaparaChar">
    <w:name w:val="alpha para Char"/>
    <w:basedOn w:val="BodyparaChar"/>
    <w:link w:val="alphapara"/>
    <w:rsid w:val="00515F18"/>
  </w:style>
  <w:style w:type="paragraph" w:customStyle="1" w:styleId="romannumeraldefinition">
    <w:name w:val="roman numeral definition"/>
    <w:basedOn w:val="romannumeralpara"/>
    <w:link w:val="romannumeraldefinitionChar"/>
    <w:rsid w:val="00515F18"/>
    <w:pPr>
      <w:spacing w:before="120" w:after="120" w:line="240" w:lineRule="auto"/>
    </w:pPr>
    <w:rPr>
      <w:bCs/>
      <w:u w:val="double"/>
    </w:rPr>
  </w:style>
  <w:style w:type="character" w:customStyle="1" w:styleId="romannumeralparaChar">
    <w:name w:val="roman numeral para Char"/>
    <w:basedOn w:val="DefaultParagraphFont"/>
    <w:link w:val="romannumeralpara"/>
    <w:rsid w:val="00515F18"/>
    <w:rPr>
      <w:snapToGrid w:val="0"/>
      <w:sz w:val="24"/>
      <w:lang w:val="en-US" w:eastAsia="en-US" w:bidi="ar-SA"/>
    </w:rPr>
  </w:style>
  <w:style w:type="character" w:customStyle="1" w:styleId="romannumeraldefinitionChar">
    <w:name w:val="roman numeral definition Char"/>
    <w:basedOn w:val="romannumeralparaChar"/>
    <w:link w:val="romannumeraldefinition"/>
    <w:rsid w:val="00515F18"/>
    <w:rPr>
      <w:bCs/>
      <w:u w:val="double"/>
    </w:rPr>
  </w:style>
  <w:style w:type="paragraph" w:customStyle="1" w:styleId="DeltaViewTableBody">
    <w:name w:val="DeltaView Table Body"/>
    <w:basedOn w:val="Normal"/>
    <w:rsid w:val="00515F18"/>
    <w:rPr>
      <w:rFonts w:ascii="Arial" w:hAnsi="Arial"/>
    </w:rPr>
  </w:style>
  <w:style w:type="paragraph" w:styleId="EndnoteText">
    <w:name w:val="endnote text"/>
    <w:basedOn w:val="Normal"/>
    <w:semiHidden/>
    <w:rsid w:val="00515F18"/>
    <w:rPr>
      <w:sz w:val="20"/>
      <w:szCs w:val="20"/>
    </w:rPr>
  </w:style>
  <w:style w:type="character" w:styleId="EndnoteReference">
    <w:name w:val="endnote reference"/>
    <w:basedOn w:val="DefaultParagraphFont"/>
    <w:semiHidden/>
    <w:rsid w:val="00515F18"/>
    <w:rPr>
      <w:vertAlign w:val="superscript"/>
    </w:rPr>
  </w:style>
  <w:style w:type="character" w:styleId="FollowedHyperlink">
    <w:name w:val="FollowedHyperlink"/>
    <w:basedOn w:val="DefaultParagraphFont"/>
    <w:rsid w:val="00515F18"/>
    <w:rPr>
      <w:color w:val="800080"/>
      <w:u w:val="single"/>
    </w:rPr>
  </w:style>
  <w:style w:type="paragraph" w:styleId="CommentSubject">
    <w:name w:val="annotation subject"/>
    <w:basedOn w:val="CommentText"/>
    <w:next w:val="CommentText"/>
    <w:link w:val="CommentSubjectChar"/>
    <w:rsid w:val="00DE4AF1"/>
    <w:rPr>
      <w:b/>
      <w:bCs/>
      <w:szCs w:val="20"/>
    </w:rPr>
  </w:style>
  <w:style w:type="character" w:customStyle="1" w:styleId="CommentTextChar">
    <w:name w:val="Comment Text Char"/>
    <w:basedOn w:val="DefaultParagraphFont"/>
    <w:link w:val="CommentText"/>
    <w:semiHidden/>
    <w:rsid w:val="00DE4AF1"/>
    <w:rPr>
      <w:szCs w:val="24"/>
    </w:rPr>
  </w:style>
  <w:style w:type="character" w:customStyle="1" w:styleId="CommentSubjectChar">
    <w:name w:val="Comment Subject Char"/>
    <w:basedOn w:val="CommentTextChar"/>
    <w:link w:val="CommentSubject"/>
    <w:rsid w:val="00DE4A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F61D5-B9B6-40C6-9F74-8BA81261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3473</Words>
  <Characters>19799</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