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E10BE1">
      <w:pPr>
        <w:pStyle w:val="Heading2"/>
      </w:pPr>
      <w:bookmarkStart w:id="0" w:name="_Toc261340940"/>
      <w:r>
        <w:t>15.3A</w:t>
      </w:r>
      <w:r>
        <w:tab/>
        <w:t>Rate Schedule “3-A” -Charges Applicable to Suppliers That Are Not Providing Regulation Service</w:t>
      </w:r>
      <w:bookmarkEnd w:id="0"/>
    </w:p>
    <w:p w:rsidR="00351E21" w:rsidRDefault="00E10BE1">
      <w:pPr>
        <w:pStyle w:val="Heading3"/>
      </w:pPr>
      <w:bookmarkStart w:id="1" w:name="_Toc261340941"/>
      <w:r>
        <w:t>15.3A.1</w:t>
      </w:r>
      <w:r>
        <w:tab/>
        <w:t>Persistent Undergeneration Charges</w:t>
      </w:r>
      <w:bookmarkEnd w:id="1"/>
    </w:p>
    <w:p w:rsidR="00351E21" w:rsidRDefault="00E10BE1">
      <w:pPr>
        <w:pStyle w:val="Bodypara"/>
      </w:pPr>
      <w:r>
        <w:t>A Supplie</w:t>
      </w:r>
      <w:r>
        <w:rPr>
          <w:rStyle w:val="BodyparaChar"/>
        </w:rPr>
        <w:t>r</w:t>
      </w:r>
      <w:r>
        <w:t>, other than a Supplier included in Section 15.3A.</w:t>
      </w:r>
      <w:r>
        <w:t>2</w:t>
      </w:r>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E10BE1">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E10BE1"/>
    <w:p w:rsidR="00351E21" w:rsidRDefault="00E10BE1">
      <w:pPr>
        <w:pStyle w:val="Bodypara"/>
      </w:pPr>
      <w:r>
        <w:t>Where:</w:t>
      </w:r>
      <w:r>
        <w:tab/>
        <w:t xml:space="preserve"> </w:t>
      </w:r>
    </w:p>
    <w:p w:rsidR="00351E21" w:rsidRDefault="00E10BE1">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E10BE1">
      <w:pPr>
        <w:pStyle w:val="Bodypara"/>
      </w:pPr>
      <w:r>
        <w:t xml:space="preserve">  </w:t>
      </w:r>
    </w:p>
    <w:p w:rsidR="00351E21" w:rsidRDefault="00E10BE1">
      <w:pPr>
        <w:pStyle w:val="Bodypara"/>
      </w:pPr>
      <w:r>
        <w:t>MPRC</w:t>
      </w:r>
      <w:r>
        <w:rPr>
          <w:vertAlign w:val="subscript"/>
        </w:rPr>
        <w:t xml:space="preserve">DAM </w:t>
      </w:r>
      <w:r>
        <w:t>is the Regulation Capacity Market Price in the Day-Ahead Market; and</w:t>
      </w:r>
    </w:p>
    <w:p w:rsidR="00351E21" w:rsidRDefault="00E10BE1">
      <w:pPr>
        <w:pStyle w:val="Bodypara"/>
      </w:pPr>
      <w:r>
        <w:t>MPRC</w:t>
      </w:r>
      <w:r>
        <w:rPr>
          <w:vertAlign w:val="subscript"/>
        </w:rPr>
        <w:t xml:space="preserve">RT </w:t>
      </w:r>
      <w:r>
        <w:t>is the Regulation Capacity Market Price in the Real-Time Market.</w:t>
      </w:r>
    </w:p>
    <w:p w:rsidR="00351E21" w:rsidRDefault="00E10BE1">
      <w:pPr>
        <w:pStyle w:val="Heading4"/>
      </w:pPr>
      <w:r>
        <w:lastRenderedPageBreak/>
        <w:t>15.3A.1.1</w:t>
      </w:r>
      <w:r>
        <w:tab/>
        <w:t>Overgeneration Charges</w:t>
      </w:r>
    </w:p>
    <w:p w:rsidR="00351E21" w:rsidRDefault="00E10BE1">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E10BE1">
      <w:pPr>
        <w:pStyle w:val="Bodypara"/>
      </w:pPr>
      <w:r>
        <w:t>Overgeneration charges per interval shall be calculated as follows:</w:t>
      </w:r>
    </w:p>
    <w:p w:rsidR="00351E21" w:rsidRDefault="00E10BE1">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E10BE1">
      <w:pPr>
        <w:tabs>
          <w:tab w:val="left" w:pos="720"/>
        </w:tabs>
        <w:spacing w:line="360" w:lineRule="auto"/>
      </w:pPr>
    </w:p>
    <w:p w:rsidR="00351E21" w:rsidRDefault="00E10BE1">
      <w:pPr>
        <w:pStyle w:val="Bodypara"/>
      </w:pPr>
      <w:r>
        <w:t>Where:</w:t>
      </w:r>
      <w:r>
        <w:tab/>
        <w:t xml:space="preserve"> </w:t>
      </w:r>
    </w:p>
    <w:p w:rsidR="00351E21" w:rsidRDefault="00E10BE1">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E10BE1">
      <w:pPr>
        <w:pStyle w:val="Bodypara"/>
      </w:pPr>
      <w:r>
        <w:t>MPRC</w:t>
      </w:r>
      <w:r>
        <w:rPr>
          <w:vertAlign w:val="subscript"/>
        </w:rPr>
        <w:t xml:space="preserve">DAM </w:t>
      </w:r>
      <w:r>
        <w:t>is the Regulation Capacity Market Price in the Day-Ahead Market; and</w:t>
      </w:r>
    </w:p>
    <w:p w:rsidR="00351E21" w:rsidRDefault="00E10BE1">
      <w:pPr>
        <w:pStyle w:val="Bodypara"/>
      </w:pPr>
      <w:r>
        <w:t>MPRC</w:t>
      </w:r>
      <w:r>
        <w:rPr>
          <w:vertAlign w:val="subscript"/>
        </w:rPr>
        <w:t xml:space="preserve">RT </w:t>
      </w:r>
      <w:r>
        <w:t>is the Regulation Capacity Market Price in the Real-Time Market</w:t>
      </w:r>
    </w:p>
    <w:p w:rsidR="00351E21" w:rsidRDefault="00E10BE1">
      <w:pPr>
        <w:pStyle w:val="Bodypara"/>
      </w:pPr>
    </w:p>
    <w:p w:rsidR="00351E21" w:rsidRDefault="00E10BE1">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w:t>
      </w:r>
      <w:r>
        <w:t>2</w:t>
      </w:r>
      <w:r>
        <w:tab/>
        <w:t>Exempt</w:t>
      </w:r>
      <w:r>
        <w:t>ions</w:t>
      </w:r>
      <w:bookmarkEnd w:id="7"/>
    </w:p>
    <w:p w:rsidR="00351E21" w:rsidRDefault="00E10BE1">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E10BE1">
      <w:pPr>
        <w:pStyle w:val="romannumeralpara"/>
      </w:pPr>
      <w:r>
        <w:lastRenderedPageBreak/>
        <w:t>15.3A.</w:t>
      </w:r>
      <w:r>
        <w:t>2</w:t>
      </w:r>
      <w:r>
        <w:t>.1</w:t>
      </w:r>
      <w:r>
        <w:tab/>
        <w:t>Generators</w:t>
      </w:r>
      <w:ins w:id="8" w:author="zimberlin" w:date="2015-12-15T14:39:00Z">
        <w:r>
          <w:t xml:space="preserve">, </w:t>
        </w:r>
        <w:r w:rsidRPr="00287774">
          <w:t>except for the Generator</w:t>
        </w:r>
        <w:r>
          <w:t xml:space="preserve"> </w:t>
        </w:r>
        <w:r w:rsidRPr="00287774">
          <w:t>of a Behind-the-Meter Net Generation Resource,</w:t>
        </w:r>
      </w:ins>
      <w:r>
        <w:t xml:space="preserve"> providing Energy under contracts (including PURPA contracts), ex</w:t>
      </w:r>
      <w:r>
        <w:t>ecuted and effective on or before November 18, 1999, in which the power purchaser does not control the operation of the supply source but would be responsible for payment of the persistent undergeneration or performance charge;</w:t>
      </w:r>
    </w:p>
    <w:p w:rsidR="00351E21" w:rsidRDefault="00E10BE1">
      <w:pPr>
        <w:pStyle w:val="romannumeralpara"/>
      </w:pPr>
      <w:r>
        <w:t>15.3A.</w:t>
      </w:r>
      <w:r>
        <w:t>2</w:t>
      </w:r>
      <w:r>
        <w:t>.2</w:t>
      </w:r>
      <w:r>
        <w:tab/>
        <w:t>Existing topping t</w:t>
      </w:r>
      <w:r>
        <w:t xml:space="preserve">urbine Generators and extraction turbine Generators producing electric Energy resulting from the supply of steam to the district steam system in operation on or before November 18, 1999 and/or topping or extraction turbine Generators utilized in replacing </w:t>
      </w:r>
      <w:r>
        <w:t xml:space="preserve">or repowering existing steam supplies from such units (in accordance with good engineering and economic design) that cannot follow schedules, up to a maximum total of </w:t>
      </w:r>
      <w:r>
        <w:t xml:space="preserve">523 </w:t>
      </w:r>
      <w:r>
        <w:t>MW of such units;</w:t>
      </w:r>
    </w:p>
    <w:p w:rsidR="00351E21" w:rsidRDefault="00E10BE1">
      <w:pPr>
        <w:pStyle w:val="romannumeralpara"/>
      </w:pPr>
      <w:r>
        <w:t>15.3A.</w:t>
      </w:r>
      <w:r>
        <w:t>2</w:t>
      </w:r>
      <w:r>
        <w:t>.3</w:t>
      </w:r>
      <w:r>
        <w:tab/>
        <w:t>Intermittent Power Resources that depend on wind as their</w:t>
      </w:r>
      <w:r>
        <w:t xml:space="preserve"> fuel and Limited Control Run of River Hydro Resources within the NYCA in operation on or before November 18, 1999, plus up to an additional 3300 MW of such Generators;</w:t>
      </w:r>
      <w:r>
        <w:rPr>
          <w:strike/>
        </w:rPr>
        <w:t xml:space="preserve">  </w:t>
      </w:r>
    </w:p>
    <w:p w:rsidR="00351E21" w:rsidRDefault="00E10BE1">
      <w:pPr>
        <w:pStyle w:val="romannumeralpara"/>
      </w:pPr>
      <w:r>
        <w:t>15.3A.</w:t>
      </w:r>
      <w:r>
        <w:t>2</w:t>
      </w:r>
      <w:r>
        <w:t>.4</w:t>
      </w:r>
      <w:r>
        <w:tab/>
        <w:t>Intermittent Power Resources that depend on landfill gas or solar energy as</w:t>
      </w:r>
      <w:r>
        <w:t xml:space="preserve"> their fuel;</w:t>
      </w:r>
    </w:p>
    <w:p w:rsidR="00351E21" w:rsidRDefault="00E10BE1">
      <w:pPr>
        <w:pStyle w:val="romannumeralpara"/>
      </w:pPr>
      <w:r>
        <w:t>15.3A.</w:t>
      </w:r>
      <w:r>
        <w:t>2</w:t>
      </w:r>
      <w:r>
        <w:t>.5</w:t>
      </w:r>
      <w:r>
        <w:tab/>
        <w:t>Capacity Limited Resources and Energy Limited Resources to the extent that their real-time Energy injections are equal to or greater than their bid-in upper operating limits but are less than their Real-Time Scheduled Energy Injectio</w:t>
      </w:r>
      <w:r>
        <w:t>ns;</w:t>
      </w:r>
    </w:p>
    <w:p w:rsidR="00351E21" w:rsidRDefault="00E10BE1">
      <w:pPr>
        <w:pStyle w:val="romannumeralpara"/>
      </w:pPr>
      <w:r>
        <w:t>15.3A.</w:t>
      </w:r>
      <w:r>
        <w:t>2</w:t>
      </w:r>
      <w:r>
        <w:t>.6</w:t>
      </w:r>
      <w:r>
        <w:tab/>
        <w:t>Generators operating in their Start-Up Period or their Shutdown Period and, for Generators comprised of a group of generating units at a single location, which grouped generating units are separately committed and dispatched by the ISO, and f</w:t>
      </w:r>
      <w:r>
        <w:t xml:space="preserve">or which Energy injections are measured at a single location, each of the grouped generating units when one of the grouped generating units is operating in its Start-Up or Shutdown Period; and </w:t>
      </w:r>
    </w:p>
    <w:p w:rsidR="00351E21" w:rsidRDefault="00E10BE1">
      <w:pPr>
        <w:pStyle w:val="romannumeralpara"/>
      </w:pPr>
      <w:r>
        <w:t>15.3A.</w:t>
      </w:r>
      <w:r>
        <w:t>2</w:t>
      </w:r>
      <w:r>
        <w:t>.7</w:t>
      </w:r>
      <w:r>
        <w:tab/>
        <w:t xml:space="preserve">Generators operating during a Testing Period. </w:t>
      </w:r>
    </w:p>
    <w:p w:rsidR="00351E21" w:rsidRDefault="00E10BE1">
      <w:pPr>
        <w:pStyle w:val="Bodypara"/>
      </w:pPr>
      <w:r>
        <w:t>For G</w:t>
      </w:r>
      <w:r>
        <w:t>enerators and Resources described in Sections 15.3A.</w:t>
      </w:r>
      <w:r>
        <w:t>2</w:t>
      </w:r>
      <w:r>
        <w:t>.1, 15.3A.</w:t>
      </w:r>
      <w:r>
        <w:t>2</w:t>
      </w:r>
      <w:r>
        <w:t>.2, 15.3A.</w:t>
      </w:r>
      <w:r>
        <w:t>2</w:t>
      </w:r>
      <w:r>
        <w:t>.3, and 15.3A.</w:t>
      </w:r>
      <w:r>
        <w:t>2</w:t>
      </w:r>
      <w:r>
        <w:t>.4 above, this exemption shall not apply in an hour if the Generator or Resource has bid in that hour as ISO-Committed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7B7" w:rsidRDefault="00A477B7" w:rsidP="00A477B7">
      <w:r>
        <w:separator/>
      </w:r>
    </w:p>
  </w:endnote>
  <w:endnote w:type="continuationSeparator" w:id="0">
    <w:p w:rsidR="00A477B7" w:rsidRDefault="00A477B7" w:rsidP="00A47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E10BE1">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477B7">
      <w:rPr>
        <w:rFonts w:ascii="Arial" w:eastAsia="Arial" w:hAnsi="Arial" w:cs="Arial"/>
        <w:color w:val="000000"/>
        <w:sz w:val="16"/>
      </w:rPr>
      <w:fldChar w:fldCharType="begin"/>
    </w:r>
    <w:r>
      <w:rPr>
        <w:rFonts w:ascii="Arial" w:eastAsia="Arial" w:hAnsi="Arial" w:cs="Arial"/>
        <w:color w:val="000000"/>
        <w:sz w:val="16"/>
      </w:rPr>
      <w:instrText>PAGE</w:instrText>
    </w:r>
    <w:r w:rsidR="00A477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E10BE1">
    <w:pPr>
      <w:jc w:val="right"/>
      <w:rPr>
        <w:rFonts w:ascii="Arial" w:eastAsia="Arial" w:hAnsi="Arial" w:cs="Arial"/>
        <w:color w:val="000000"/>
        <w:sz w:val="16"/>
      </w:rPr>
    </w:pPr>
    <w:r>
      <w:rPr>
        <w:rFonts w:ascii="Arial" w:eastAsia="Arial" w:hAnsi="Arial" w:cs="Arial"/>
        <w:color w:val="000000"/>
        <w:sz w:val="16"/>
      </w:rPr>
      <w:t>Effective Date: 12/31/9998 - Docket #: ER16-1213-</w:t>
    </w:r>
    <w:r>
      <w:rPr>
        <w:rFonts w:ascii="Arial" w:eastAsia="Arial" w:hAnsi="Arial" w:cs="Arial"/>
        <w:color w:val="000000"/>
        <w:sz w:val="16"/>
      </w:rPr>
      <w:t xml:space="preserve">000 - Page </w:t>
    </w:r>
    <w:r w:rsidR="00A477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77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E10BE1">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477B7">
      <w:rPr>
        <w:rFonts w:ascii="Arial" w:eastAsia="Arial" w:hAnsi="Arial" w:cs="Arial"/>
        <w:color w:val="000000"/>
        <w:sz w:val="16"/>
      </w:rPr>
      <w:fldChar w:fldCharType="begin"/>
    </w:r>
    <w:r>
      <w:rPr>
        <w:rFonts w:ascii="Arial" w:eastAsia="Arial" w:hAnsi="Arial" w:cs="Arial"/>
        <w:color w:val="000000"/>
        <w:sz w:val="16"/>
      </w:rPr>
      <w:instrText>PAGE</w:instrText>
    </w:r>
    <w:r w:rsidR="00A477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7B7" w:rsidRDefault="00A477B7" w:rsidP="00A477B7">
      <w:r>
        <w:separator/>
      </w:r>
    </w:p>
  </w:footnote>
  <w:footnote w:type="continuationSeparator" w:id="0">
    <w:p w:rsidR="00A477B7" w:rsidRDefault="00A477B7" w:rsidP="00A47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E10B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E10BE1">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15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E10B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BBECF24">
      <w:start w:val="1"/>
      <w:numFmt w:val="bullet"/>
      <w:pStyle w:val="Bulletpara"/>
      <w:lvlText w:val=""/>
      <w:lvlJc w:val="left"/>
      <w:pPr>
        <w:tabs>
          <w:tab w:val="num" w:pos="720"/>
        </w:tabs>
        <w:ind w:left="720" w:hanging="360"/>
      </w:pPr>
      <w:rPr>
        <w:rFonts w:ascii="Symbol" w:hAnsi="Symbol" w:hint="default"/>
      </w:rPr>
    </w:lvl>
    <w:lvl w:ilvl="1" w:tplc="430A585C" w:tentative="1">
      <w:start w:val="1"/>
      <w:numFmt w:val="bullet"/>
      <w:lvlText w:val="o"/>
      <w:lvlJc w:val="left"/>
      <w:pPr>
        <w:tabs>
          <w:tab w:val="num" w:pos="1440"/>
        </w:tabs>
        <w:ind w:left="1440" w:hanging="360"/>
      </w:pPr>
      <w:rPr>
        <w:rFonts w:ascii="Courier New" w:hAnsi="Courier New" w:hint="default"/>
      </w:rPr>
    </w:lvl>
    <w:lvl w:ilvl="2" w:tplc="12465A68" w:tentative="1">
      <w:start w:val="1"/>
      <w:numFmt w:val="bullet"/>
      <w:lvlText w:val=""/>
      <w:lvlJc w:val="left"/>
      <w:pPr>
        <w:tabs>
          <w:tab w:val="num" w:pos="2160"/>
        </w:tabs>
        <w:ind w:left="2160" w:hanging="360"/>
      </w:pPr>
      <w:rPr>
        <w:rFonts w:ascii="Wingdings" w:hAnsi="Wingdings" w:hint="default"/>
      </w:rPr>
    </w:lvl>
    <w:lvl w:ilvl="3" w:tplc="B9BE1CB6" w:tentative="1">
      <w:start w:val="1"/>
      <w:numFmt w:val="bullet"/>
      <w:lvlText w:val=""/>
      <w:lvlJc w:val="left"/>
      <w:pPr>
        <w:tabs>
          <w:tab w:val="num" w:pos="2880"/>
        </w:tabs>
        <w:ind w:left="2880" w:hanging="360"/>
      </w:pPr>
      <w:rPr>
        <w:rFonts w:ascii="Symbol" w:hAnsi="Symbol" w:hint="default"/>
      </w:rPr>
    </w:lvl>
    <w:lvl w:ilvl="4" w:tplc="B2DC4A48" w:tentative="1">
      <w:start w:val="1"/>
      <w:numFmt w:val="bullet"/>
      <w:lvlText w:val="o"/>
      <w:lvlJc w:val="left"/>
      <w:pPr>
        <w:tabs>
          <w:tab w:val="num" w:pos="3600"/>
        </w:tabs>
        <w:ind w:left="3600" w:hanging="360"/>
      </w:pPr>
      <w:rPr>
        <w:rFonts w:ascii="Courier New" w:hAnsi="Courier New" w:hint="default"/>
      </w:rPr>
    </w:lvl>
    <w:lvl w:ilvl="5" w:tplc="FE048CFC" w:tentative="1">
      <w:start w:val="1"/>
      <w:numFmt w:val="bullet"/>
      <w:lvlText w:val=""/>
      <w:lvlJc w:val="left"/>
      <w:pPr>
        <w:tabs>
          <w:tab w:val="num" w:pos="4320"/>
        </w:tabs>
        <w:ind w:left="4320" w:hanging="360"/>
      </w:pPr>
      <w:rPr>
        <w:rFonts w:ascii="Wingdings" w:hAnsi="Wingdings" w:hint="default"/>
      </w:rPr>
    </w:lvl>
    <w:lvl w:ilvl="6" w:tplc="3C6ECB96" w:tentative="1">
      <w:start w:val="1"/>
      <w:numFmt w:val="bullet"/>
      <w:lvlText w:val=""/>
      <w:lvlJc w:val="left"/>
      <w:pPr>
        <w:tabs>
          <w:tab w:val="num" w:pos="5040"/>
        </w:tabs>
        <w:ind w:left="5040" w:hanging="360"/>
      </w:pPr>
      <w:rPr>
        <w:rFonts w:ascii="Symbol" w:hAnsi="Symbol" w:hint="default"/>
      </w:rPr>
    </w:lvl>
    <w:lvl w:ilvl="7" w:tplc="C9B01A5A" w:tentative="1">
      <w:start w:val="1"/>
      <w:numFmt w:val="bullet"/>
      <w:lvlText w:val="o"/>
      <w:lvlJc w:val="left"/>
      <w:pPr>
        <w:tabs>
          <w:tab w:val="num" w:pos="5760"/>
        </w:tabs>
        <w:ind w:left="5760" w:hanging="360"/>
      </w:pPr>
      <w:rPr>
        <w:rFonts w:ascii="Courier New" w:hAnsi="Courier New" w:hint="default"/>
      </w:rPr>
    </w:lvl>
    <w:lvl w:ilvl="8" w:tplc="63C4EC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477B7"/>
    <w:rsid w:val="00A477B7"/>
    <w:rsid w:val="00E10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2017-03-23T22:15:00Z</dcterms:created>
  <dcterms:modified xsi:type="dcterms:W3CDTF">2017-03-23T22:15:00Z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