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9D0CB2"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9D0CB2" w:rsidP="001D5C80">
      <w:pPr>
        <w:pStyle w:val="Heading3"/>
        <w:spacing w:line="240" w:lineRule="auto"/>
        <w:rPr>
          <w:szCs w:val="24"/>
        </w:rPr>
      </w:pPr>
      <w:r w:rsidRPr="005336EA">
        <w:rPr>
          <w:szCs w:val="24"/>
        </w:rPr>
        <w:t>14.2.1</w:t>
      </w:r>
      <w:r w:rsidRPr="005336EA">
        <w:rPr>
          <w:szCs w:val="24"/>
        </w:rPr>
        <w:tab/>
        <w:t>Schedules</w:t>
      </w:r>
    </w:p>
    <w:p w:rsidR="006E7D59" w:rsidRDefault="009D0CB2"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9D0CB2"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9D0CB2" w:rsidP="001D5C80">
      <w:pPr>
        <w:tabs>
          <w:tab w:val="left" w:pos="6311"/>
        </w:tabs>
        <w:spacing w:after="0" w:line="360" w:lineRule="auto"/>
        <w:rPr>
          <w:rFonts w:ascii="Times New Roman" w:hAnsi="Times New Roman"/>
          <w:sz w:val="24"/>
          <w:szCs w:val="24"/>
        </w:rPr>
      </w:pP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Pr="005336EA" w:rsidRDefault="009D0CB2"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6E7D59" w:rsidRDefault="009D0CB2" w:rsidP="001D5C80">
      <w:pPr>
        <w:pStyle w:val="Footer"/>
        <w:tabs>
          <w:tab w:val="right" w:pos="9360"/>
        </w:tabs>
        <w:rPr>
          <w:sz w:val="20"/>
        </w:rPr>
      </w:pPr>
    </w:p>
    <w:p w:rsidR="006E7D59" w:rsidRDefault="009D0CB2" w:rsidP="001D5C80">
      <w:pPr>
        <w:pStyle w:val="Header"/>
        <w:rPr>
          <w:rStyle w:val="PageNumber"/>
        </w:rPr>
      </w:pPr>
    </w:p>
    <w:p w:rsidR="006E7D59" w:rsidRDefault="009D0CB2"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9D0CB2">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BA5C95" w:rsidTr="001D5C80">
        <w:trPr>
          <w:trHeight w:val="216"/>
        </w:trPr>
        <w:tc>
          <w:tcPr>
            <w:tcW w:w="6244"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Attachment 1</w:t>
            </w:r>
          </w:p>
        </w:tc>
      </w:tr>
      <w:tr w:rsidR="00BA5C95" w:rsidTr="001D5C80">
        <w:trPr>
          <w:trHeight w:val="216"/>
        </w:trPr>
        <w:tc>
          <w:tcPr>
            <w:tcW w:w="6244"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xml:space="preserve">Calculation of RR </w:t>
            </w:r>
            <w:r w:rsidRPr="003B4666">
              <w:rPr>
                <w:b/>
                <w:bCs/>
                <w:sz w:val="16"/>
                <w:szCs w:val="16"/>
              </w:rPr>
              <w:t>Pursuant to Attachment H, Section 14.1.9.2</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9D0CB2"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9D0CB2"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Schedule  1</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9D0CB2"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64"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 xml:space="preserve">The RR component shall equal the (a) Historical Transmission Revenue Requirement plus (b) the Forecasted Transmission Revenue Requirement </w:t>
            </w:r>
            <w:r w:rsidRPr="003B4666">
              <w:rPr>
                <w:sz w:val="16"/>
                <w:szCs w:val="16"/>
              </w:rPr>
              <w:t>plus (c) the Annual True-Up, determined in accordance with the formula below.</w:t>
            </w: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6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6244"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62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162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6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62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9D0CB2" w:rsidP="001D5C80">
            <w:pPr>
              <w:spacing w:after="0"/>
              <w:rPr>
                <w:b/>
                <w:bCs/>
                <w:sz w:val="16"/>
                <w:szCs w:val="16"/>
                <w:u w:val="single"/>
              </w:rPr>
            </w:pPr>
            <w:r w:rsidRPr="003B4666">
              <w:rPr>
                <w:b/>
                <w:bCs/>
                <w:sz w:val="16"/>
                <w:szCs w:val="16"/>
                <w:u w:val="single"/>
              </w:rPr>
              <w:t xml:space="preserve">Historical Transmission Revenue Requirement </w:t>
            </w:r>
            <w:r w:rsidRPr="003B4666">
              <w:rPr>
                <w:b/>
                <w:bCs/>
                <w:sz w:val="16"/>
                <w:szCs w:val="16"/>
                <w:u w:val="single"/>
              </w:rPr>
              <w:t>(Historical TRR)</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9D0CB2" w:rsidP="001D5C80">
            <w:pPr>
              <w:spacing w:after="0"/>
              <w:rPr>
                <w:sz w:val="16"/>
                <w:szCs w:val="16"/>
              </w:rPr>
            </w:pPr>
            <w:r w:rsidRPr="003B4666">
              <w:rPr>
                <w:color w:val="000000"/>
                <w:sz w:val="16"/>
                <w:szCs w:val="16"/>
              </w:rPr>
              <w:t>Historical TRR shall equal the sum of NMPC’s (A) Return and Associated Income Taxes, (B) Transmission Related Depreciation Expense, (C)</w:t>
            </w: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9D0CB2" w:rsidP="001D5C80">
            <w:pPr>
              <w:spacing w:after="0"/>
              <w:rPr>
                <w:sz w:val="16"/>
                <w:szCs w:val="16"/>
              </w:rPr>
            </w:pPr>
            <w:r w:rsidRPr="003B4666">
              <w:rPr>
                <w:color w:val="000000"/>
                <w:sz w:val="16"/>
                <w:szCs w:val="16"/>
              </w:rPr>
              <w:t>(E) Transmission Operation and Maintenance Expense, (F) Transmission Related Administrative and General Expenses, (G) Transmission</w:t>
            </w: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9D0CB2" w:rsidP="001D5C80">
            <w:pPr>
              <w:spacing w:after="0"/>
              <w:rPr>
                <w:sz w:val="16"/>
                <w:szCs w:val="16"/>
              </w:rPr>
            </w:pPr>
            <w:r w:rsidRPr="003B4666">
              <w:rPr>
                <w:color w:val="000000"/>
                <w:sz w:val="16"/>
                <w:szCs w:val="16"/>
              </w:rPr>
              <w:t>(J) Revenue Credits, and (K) Transmission Rents, all determined for the most recently ended calendar year as of the beginning of the update year</w:t>
            </w:r>
            <w:r w:rsidRPr="003B4666">
              <w:rPr>
                <w:color w:val="000000"/>
                <w:sz w:val="16"/>
                <w:szCs w:val="16"/>
              </w:rPr>
              <w:t>.</w:t>
            </w: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9D0CB2"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9D0CB2"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8, line  64</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9, Line 6, column 5</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9, Line 12, column 5</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9D0CB2"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Transmission Operation &amp; Maintenance Expense</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9, Line 23, column 5</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9, Line 38, column 5</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9, Line 44, column 5</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10, Line 1</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10, Line 4</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10, Line 7</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10, Line 14</w:t>
            </w: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 xml:space="preserve">Total </w:t>
            </w:r>
            <w:r w:rsidRPr="003B4666">
              <w:rPr>
                <w:sz w:val="16"/>
                <w:szCs w:val="16"/>
              </w:rPr>
              <w:t>Historical Transmission Revenue Requirement (Sum of Line 17 - Line 22)</w:t>
            </w: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16"/>
        </w:trPr>
        <w:tc>
          <w:tcPr>
            <w:tcW w:w="356" w:type="dxa"/>
            <w:tcBorders>
              <w:top w:val="nil"/>
              <w:left w:val="nil"/>
              <w:bottom w:val="nil"/>
              <w:right w:val="nil"/>
            </w:tcBorders>
            <w:noWrap/>
            <w:vAlign w:val="bottom"/>
          </w:tcPr>
          <w:p w:rsidR="006E7D59" w:rsidRPr="003B4666" w:rsidRDefault="009D0CB2"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624" w:type="dxa"/>
            <w:tcBorders>
              <w:top w:val="nil"/>
              <w:left w:val="nil"/>
              <w:bottom w:val="nil"/>
              <w:right w:val="nil"/>
            </w:tcBorders>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6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24"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Default="009D0CB2" w:rsidP="001D5C80">
      <w:pPr>
        <w:spacing w:after="0"/>
      </w:pPr>
      <w:r>
        <w:br w:type="page"/>
      </w:r>
    </w:p>
    <w:tbl>
      <w:tblPr>
        <w:tblW w:w="14320" w:type="dxa"/>
        <w:tblLook w:val="0000"/>
      </w:tblPr>
      <w:tblGrid>
        <w:gridCol w:w="540"/>
        <w:gridCol w:w="720"/>
        <w:gridCol w:w="4720"/>
        <w:gridCol w:w="720"/>
        <w:gridCol w:w="946"/>
        <w:gridCol w:w="994"/>
        <w:gridCol w:w="2527"/>
        <w:gridCol w:w="723"/>
        <w:gridCol w:w="2430"/>
      </w:tblGrid>
      <w:tr w:rsidR="00BA5C95" w:rsidTr="001D5C80">
        <w:trPr>
          <w:trHeight w:val="216"/>
        </w:trPr>
        <w:tc>
          <w:tcPr>
            <w:tcW w:w="5980" w:type="dxa"/>
            <w:gridSpan w:val="3"/>
            <w:noWrap/>
          </w:tcPr>
          <w:p w:rsidR="006E7D59" w:rsidRPr="003B4666" w:rsidRDefault="009D0CB2"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jc w:val="center"/>
              <w:rPr>
                <w:b/>
                <w:bCs/>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jc w:val="right"/>
              <w:rPr>
                <w:b/>
                <w:bCs/>
                <w:sz w:val="16"/>
                <w:szCs w:val="16"/>
              </w:rPr>
            </w:pPr>
            <w:r w:rsidRPr="003B4666">
              <w:rPr>
                <w:b/>
                <w:bCs/>
                <w:sz w:val="16"/>
                <w:szCs w:val="16"/>
              </w:rPr>
              <w:t>Attachment 1</w:t>
            </w:r>
          </w:p>
        </w:tc>
      </w:tr>
      <w:tr w:rsidR="00BA5C95" w:rsidTr="001D5C80">
        <w:trPr>
          <w:trHeight w:val="216"/>
        </w:trPr>
        <w:tc>
          <w:tcPr>
            <w:tcW w:w="6700" w:type="dxa"/>
            <w:gridSpan w:val="4"/>
            <w:noWrap/>
          </w:tcPr>
          <w:p w:rsidR="006E7D59" w:rsidRPr="003B4666" w:rsidRDefault="009D0CB2"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jc w:val="center"/>
              <w:rPr>
                <w:b/>
                <w:bCs/>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jc w:val="right"/>
              <w:rPr>
                <w:b/>
                <w:bCs/>
                <w:sz w:val="16"/>
                <w:szCs w:val="16"/>
              </w:rPr>
            </w:pPr>
            <w:r w:rsidRPr="003B4666">
              <w:rPr>
                <w:b/>
                <w:bCs/>
                <w:sz w:val="16"/>
                <w:szCs w:val="16"/>
              </w:rPr>
              <w:t>Schedule  2</w:t>
            </w:r>
          </w:p>
        </w:tc>
      </w:tr>
      <w:tr w:rsidR="00BA5C95" w:rsidTr="001D5C80">
        <w:trPr>
          <w:trHeight w:val="216"/>
        </w:trPr>
        <w:tc>
          <w:tcPr>
            <w:tcW w:w="540" w:type="dxa"/>
            <w:noWrap/>
          </w:tcPr>
          <w:p w:rsidR="006E7D59" w:rsidRPr="003B4666" w:rsidRDefault="009D0CB2" w:rsidP="001D5C80">
            <w:pPr>
              <w:spacing w:after="0"/>
              <w:rPr>
                <w:sz w:val="16"/>
                <w:szCs w:val="16"/>
              </w:rPr>
            </w:pPr>
          </w:p>
        </w:tc>
        <w:tc>
          <w:tcPr>
            <w:tcW w:w="5440" w:type="dxa"/>
            <w:gridSpan w:val="2"/>
            <w:noWrap/>
          </w:tcPr>
          <w:p w:rsidR="006E7D59" w:rsidRPr="003B4666" w:rsidRDefault="009D0CB2" w:rsidP="001D5C80">
            <w:pPr>
              <w:spacing w:after="0"/>
              <w:rPr>
                <w:sz w:val="16"/>
                <w:szCs w:val="16"/>
              </w:rPr>
            </w:pPr>
            <w:r w:rsidRPr="003B4666">
              <w:rPr>
                <w:sz w:val="16"/>
                <w:szCs w:val="16"/>
              </w:rPr>
              <w:t xml:space="preserve">Attachment H, Section 14.1.9.2 </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jc w:val="center"/>
              <w:rPr>
                <w:b/>
                <w:bCs/>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rPr>
                <w:sz w:val="16"/>
                <w:szCs w:val="16"/>
              </w:rPr>
            </w:pPr>
          </w:p>
        </w:tc>
        <w:tc>
          <w:tcPr>
            <w:tcW w:w="720" w:type="dxa"/>
            <w:noWrap/>
          </w:tcPr>
          <w:p w:rsidR="006E7D59" w:rsidRPr="003B4666" w:rsidRDefault="009D0CB2" w:rsidP="001D5C80">
            <w:pPr>
              <w:spacing w:after="0"/>
              <w:rPr>
                <w:sz w:val="16"/>
                <w:szCs w:val="16"/>
              </w:rPr>
            </w:pPr>
          </w:p>
        </w:tc>
        <w:tc>
          <w:tcPr>
            <w:tcW w:w="4720" w:type="dxa"/>
            <w:noWrap/>
          </w:tcPr>
          <w:p w:rsidR="006E7D59" w:rsidRPr="003B4666" w:rsidRDefault="009D0CB2" w:rsidP="001D5C80">
            <w:pPr>
              <w:spacing w:after="0"/>
              <w:rPr>
                <w:sz w:val="16"/>
                <w:szCs w:val="16"/>
              </w:rPr>
            </w:pPr>
          </w:p>
        </w:tc>
        <w:tc>
          <w:tcPr>
            <w:tcW w:w="720" w:type="dxa"/>
            <w:noWrap/>
          </w:tcPr>
          <w:p w:rsidR="006E7D59" w:rsidRPr="003B4666" w:rsidRDefault="009D0CB2" w:rsidP="001D5C80">
            <w:pPr>
              <w:spacing w:after="0"/>
              <w:rPr>
                <w:sz w:val="16"/>
                <w:szCs w:val="16"/>
              </w:rPr>
            </w:pPr>
          </w:p>
        </w:tc>
        <w:tc>
          <w:tcPr>
            <w:tcW w:w="4467" w:type="dxa"/>
            <w:gridSpan w:val="3"/>
            <w:noWrap/>
          </w:tcPr>
          <w:p w:rsidR="006E7D59" w:rsidRPr="003B4666" w:rsidRDefault="009D0CB2" w:rsidP="001D5C80">
            <w:pPr>
              <w:spacing w:after="0"/>
              <w:jc w:val="center"/>
              <w:rPr>
                <w:b/>
                <w:bCs/>
                <w:sz w:val="16"/>
                <w:szCs w:val="16"/>
              </w:rPr>
            </w:pPr>
            <w:r w:rsidRPr="003B4666">
              <w:rPr>
                <w:b/>
                <w:bCs/>
                <w:sz w:val="16"/>
                <w:szCs w:val="16"/>
              </w:rPr>
              <w:t>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rPr>
                <w:sz w:val="16"/>
                <w:szCs w:val="16"/>
              </w:rPr>
            </w:pPr>
            <w:r w:rsidRPr="003B4666">
              <w:rPr>
                <w:sz w:val="16"/>
                <w:szCs w:val="16"/>
              </w:rPr>
              <w:t> </w:t>
            </w:r>
          </w:p>
        </w:tc>
        <w:tc>
          <w:tcPr>
            <w:tcW w:w="5440" w:type="dxa"/>
            <w:gridSpan w:val="2"/>
            <w:noWrap/>
          </w:tcPr>
          <w:p w:rsidR="006E7D59" w:rsidRPr="003B4666" w:rsidRDefault="009D0CB2" w:rsidP="001D5C80">
            <w:pPr>
              <w:spacing w:after="0"/>
              <w:rPr>
                <w:sz w:val="16"/>
                <w:szCs w:val="16"/>
              </w:rPr>
            </w:pPr>
            <w:r w:rsidRPr="003B4666">
              <w:rPr>
                <w:sz w:val="16"/>
                <w:szCs w:val="16"/>
              </w:rPr>
              <w:t xml:space="preserve"> Shading denotes an input</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rPr>
                <w:sz w:val="16"/>
                <w:szCs w:val="16"/>
              </w:rPr>
            </w:pPr>
            <w:r w:rsidRPr="003B4666">
              <w:rPr>
                <w:sz w:val="16"/>
                <w:szCs w:val="16"/>
              </w:rPr>
              <w:t> </w:t>
            </w:r>
          </w:p>
        </w:tc>
        <w:tc>
          <w:tcPr>
            <w:tcW w:w="994" w:type="dxa"/>
            <w:noWrap/>
          </w:tcPr>
          <w:p w:rsidR="006E7D59" w:rsidRPr="003B4666" w:rsidRDefault="009D0CB2" w:rsidP="001D5C80">
            <w:pPr>
              <w:spacing w:after="0"/>
              <w:rPr>
                <w:sz w:val="16"/>
                <w:szCs w:val="16"/>
              </w:rPr>
            </w:pPr>
            <w:r w:rsidRPr="003B4666">
              <w:rPr>
                <w:sz w:val="16"/>
                <w:szCs w:val="16"/>
              </w:rPr>
              <w:t> </w:t>
            </w:r>
          </w:p>
        </w:tc>
        <w:tc>
          <w:tcPr>
            <w:tcW w:w="2527" w:type="dxa"/>
            <w:noWrap/>
          </w:tcPr>
          <w:p w:rsidR="006E7D59" w:rsidRPr="003B4666" w:rsidRDefault="009D0CB2" w:rsidP="001D5C80">
            <w:pPr>
              <w:spacing w:after="0"/>
              <w:rPr>
                <w:sz w:val="16"/>
                <w:szCs w:val="16"/>
              </w:rPr>
            </w:pPr>
            <w:r w:rsidRPr="003B4666">
              <w:rPr>
                <w:sz w:val="16"/>
                <w:szCs w:val="16"/>
              </w:rPr>
              <w:t> </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1260" w:type="dxa"/>
            <w:gridSpan w:val="2"/>
            <w:noWrap/>
          </w:tcPr>
          <w:p w:rsidR="006E7D59" w:rsidRPr="003B4666" w:rsidRDefault="009D0CB2" w:rsidP="001D5C80">
            <w:pPr>
              <w:spacing w:after="0"/>
              <w:rPr>
                <w:sz w:val="16"/>
                <w:szCs w:val="16"/>
              </w:rPr>
            </w:pPr>
            <w:r w:rsidRPr="003B4666">
              <w:rPr>
                <w:sz w:val="16"/>
                <w:szCs w:val="16"/>
              </w:rPr>
              <w:t>Line No.</w:t>
            </w:r>
          </w:p>
        </w:tc>
        <w:tc>
          <w:tcPr>
            <w:tcW w:w="4720" w:type="dxa"/>
            <w:noWrap/>
          </w:tcPr>
          <w:p w:rsidR="006E7D59" w:rsidRPr="003B4666" w:rsidRDefault="009D0CB2" w:rsidP="001D5C80">
            <w:pPr>
              <w:spacing w:after="0"/>
              <w:rPr>
                <w:sz w:val="16"/>
                <w:szCs w:val="16"/>
              </w:rPr>
            </w:pP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w:t>
            </w:r>
          </w:p>
        </w:tc>
        <w:tc>
          <w:tcPr>
            <w:tcW w:w="720" w:type="dxa"/>
            <w:noWrap/>
          </w:tcPr>
          <w:p w:rsidR="006E7D59" w:rsidRPr="003B4666" w:rsidRDefault="009D0CB2"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9D0CB2"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jc w:val="center"/>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w:t>
            </w:r>
          </w:p>
        </w:tc>
        <w:tc>
          <w:tcPr>
            <w:tcW w:w="720" w:type="dxa"/>
            <w:noWrap/>
          </w:tcPr>
          <w:p w:rsidR="006E7D59" w:rsidRPr="003B4666" w:rsidRDefault="009D0CB2" w:rsidP="001D5C80">
            <w:pPr>
              <w:spacing w:after="0"/>
              <w:ind w:left="-104" w:right="-108"/>
              <w:jc w:val="right"/>
              <w:rPr>
                <w:sz w:val="16"/>
                <w:szCs w:val="16"/>
              </w:rPr>
            </w:pPr>
          </w:p>
        </w:tc>
        <w:tc>
          <w:tcPr>
            <w:tcW w:w="13060" w:type="dxa"/>
            <w:gridSpan w:val="7"/>
            <w:noWrap/>
          </w:tcPr>
          <w:p w:rsidR="006E7D59" w:rsidRPr="003B4666" w:rsidRDefault="009D0CB2" w:rsidP="001D5C80">
            <w:pPr>
              <w:spacing w:after="0"/>
              <w:rPr>
                <w:sz w:val="16"/>
                <w:szCs w:val="16"/>
              </w:rPr>
            </w:pPr>
            <w:r w:rsidRPr="003B4666">
              <w:rPr>
                <w:sz w:val="16"/>
                <w:szCs w:val="16"/>
              </w:rPr>
              <w:t xml:space="preserve">Forecasted TRR shall equal (1) the Forecasted Transmission Plant Additions (FTPA)  multiplied by the Annual FTRRF, </w:t>
            </w:r>
            <w:r w:rsidRPr="003B4666">
              <w:rPr>
                <w:sz w:val="16"/>
                <w:szCs w:val="16"/>
              </w:rPr>
              <w:t>plus (2) the Mid-Year Trend </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3</w:t>
            </w:r>
          </w:p>
        </w:tc>
        <w:tc>
          <w:tcPr>
            <w:tcW w:w="720" w:type="dxa"/>
            <w:noWrap/>
          </w:tcPr>
          <w:p w:rsidR="006E7D59" w:rsidRPr="003B4666" w:rsidRDefault="009D0CB2" w:rsidP="001D5C80">
            <w:pPr>
              <w:spacing w:after="0"/>
              <w:ind w:left="-104" w:right="-108"/>
              <w:jc w:val="right"/>
              <w:rPr>
                <w:sz w:val="16"/>
                <w:szCs w:val="16"/>
              </w:rPr>
            </w:pPr>
          </w:p>
        </w:tc>
        <w:tc>
          <w:tcPr>
            <w:tcW w:w="13060" w:type="dxa"/>
            <w:gridSpan w:val="7"/>
            <w:noWrap/>
          </w:tcPr>
          <w:p w:rsidR="006E7D59" w:rsidRPr="003B4666" w:rsidRDefault="009D0CB2" w:rsidP="001D5C80">
            <w:pPr>
              <w:spacing w:after="0"/>
              <w:rPr>
                <w:sz w:val="16"/>
                <w:szCs w:val="16"/>
              </w:rPr>
            </w:pPr>
            <w:r w:rsidRPr="003B4666">
              <w:rPr>
                <w:sz w:val="16"/>
                <w:szCs w:val="16"/>
              </w:rPr>
              <w:t>Adjustment (MYTA), plus (3) the Tax Rate Adjustment (TRA), as shown in the following formula: </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4</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w:t>
            </w:r>
          </w:p>
        </w:tc>
        <w:tc>
          <w:tcPr>
            <w:tcW w:w="720" w:type="dxa"/>
            <w:noWrap/>
          </w:tcPr>
          <w:p w:rsidR="006E7D59" w:rsidRPr="003B4666" w:rsidRDefault="009D0CB2" w:rsidP="001D5C80">
            <w:pPr>
              <w:spacing w:after="0"/>
              <w:rPr>
                <w:sz w:val="16"/>
                <w:szCs w:val="16"/>
                <w:u w:val="single"/>
              </w:rPr>
            </w:pPr>
          </w:p>
        </w:tc>
        <w:tc>
          <w:tcPr>
            <w:tcW w:w="946" w:type="dxa"/>
            <w:noWrap/>
          </w:tcPr>
          <w:p w:rsidR="006E7D59" w:rsidRPr="003B4666" w:rsidRDefault="009D0CB2" w:rsidP="001D5C80">
            <w:pPr>
              <w:spacing w:after="0"/>
              <w:jc w:val="center"/>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jc w:val="center"/>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5</w:t>
            </w:r>
          </w:p>
        </w:tc>
        <w:tc>
          <w:tcPr>
            <w:tcW w:w="720" w:type="dxa"/>
            <w:noWrap/>
          </w:tcPr>
          <w:p w:rsidR="006E7D59" w:rsidRPr="003B4666" w:rsidRDefault="009D0CB2" w:rsidP="001D5C80">
            <w:pPr>
              <w:spacing w:after="0"/>
              <w:ind w:left="-104" w:right="-108"/>
              <w:jc w:val="right"/>
              <w:rPr>
                <w:sz w:val="16"/>
                <w:szCs w:val="16"/>
              </w:rPr>
            </w:pPr>
          </w:p>
        </w:tc>
        <w:tc>
          <w:tcPr>
            <w:tcW w:w="7380" w:type="dxa"/>
            <w:gridSpan w:val="4"/>
            <w:noWrap/>
          </w:tcPr>
          <w:p w:rsidR="006E7D59" w:rsidRPr="003B4666" w:rsidRDefault="009D0CB2" w:rsidP="001D5C80">
            <w:pPr>
              <w:spacing w:after="0"/>
              <w:jc w:val="center"/>
              <w:rPr>
                <w:sz w:val="16"/>
                <w:szCs w:val="16"/>
              </w:rPr>
            </w:pPr>
            <w:r w:rsidRPr="003B4666">
              <w:rPr>
                <w:sz w:val="16"/>
                <w:szCs w:val="16"/>
              </w:rPr>
              <w:t>Forecasted TRR = (FTPA * FTRRF) + MYTA + TRA</w:t>
            </w:r>
          </w:p>
        </w:tc>
        <w:tc>
          <w:tcPr>
            <w:tcW w:w="2527" w:type="dxa"/>
            <w:noWrap/>
          </w:tcPr>
          <w:p w:rsidR="006E7D59" w:rsidRPr="003B4666" w:rsidRDefault="009D0CB2" w:rsidP="001D5C80">
            <w:pPr>
              <w:spacing w:after="0"/>
              <w:jc w:val="center"/>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jc w:val="center"/>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6</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p>
        </w:tc>
        <w:tc>
          <w:tcPr>
            <w:tcW w:w="720" w:type="dxa"/>
            <w:noWrap/>
          </w:tcPr>
          <w:p w:rsidR="006E7D59" w:rsidRPr="003B4666" w:rsidRDefault="009D0CB2" w:rsidP="001D5C80">
            <w:pPr>
              <w:spacing w:after="0"/>
              <w:rPr>
                <w:sz w:val="16"/>
                <w:szCs w:val="16"/>
                <w:u w:val="single"/>
              </w:rPr>
            </w:pPr>
          </w:p>
        </w:tc>
        <w:tc>
          <w:tcPr>
            <w:tcW w:w="946" w:type="dxa"/>
            <w:noWrap/>
          </w:tcPr>
          <w:p w:rsidR="006E7D59" w:rsidRPr="003B4666" w:rsidRDefault="009D0CB2" w:rsidP="001D5C80">
            <w:pPr>
              <w:spacing w:after="0"/>
              <w:jc w:val="center"/>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jc w:val="center"/>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7</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b/>
                <w:bCs/>
                <w:sz w:val="16"/>
                <w:szCs w:val="16"/>
              </w:rPr>
            </w:pPr>
            <w:r w:rsidRPr="003B4666">
              <w:rPr>
                <w:b/>
                <w:bCs/>
                <w:sz w:val="16"/>
                <w:szCs w:val="16"/>
              </w:rPr>
              <w:t> </w:t>
            </w:r>
          </w:p>
        </w:tc>
        <w:tc>
          <w:tcPr>
            <w:tcW w:w="720" w:type="dxa"/>
            <w:noWrap/>
          </w:tcPr>
          <w:p w:rsidR="006E7D59" w:rsidRPr="003B4666" w:rsidRDefault="009D0CB2" w:rsidP="001D5C80">
            <w:pPr>
              <w:spacing w:after="0"/>
              <w:rPr>
                <w:sz w:val="16"/>
                <w:szCs w:val="16"/>
                <w:u w:val="single"/>
              </w:rPr>
            </w:pPr>
            <w:r w:rsidRPr="003B4666">
              <w:rPr>
                <w:sz w:val="16"/>
                <w:szCs w:val="16"/>
                <w:u w:val="single"/>
              </w:rPr>
              <w:t>Period</w:t>
            </w:r>
          </w:p>
        </w:tc>
        <w:tc>
          <w:tcPr>
            <w:tcW w:w="946" w:type="dxa"/>
            <w:noWrap/>
          </w:tcPr>
          <w:p w:rsidR="006E7D59" w:rsidRPr="003B4666" w:rsidRDefault="009D0CB2" w:rsidP="001D5C80">
            <w:pPr>
              <w:spacing w:after="0"/>
              <w:jc w:val="center"/>
              <w:rPr>
                <w:sz w:val="16"/>
                <w:szCs w:val="16"/>
              </w:rPr>
            </w:pPr>
            <w:r w:rsidRPr="003B4666">
              <w:rPr>
                <w:sz w:val="16"/>
                <w:szCs w:val="16"/>
              </w:rPr>
              <w:t>Reference</w:t>
            </w: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jc w:val="center"/>
              <w:rPr>
                <w:sz w:val="16"/>
                <w:szCs w:val="16"/>
              </w:rPr>
            </w:pPr>
            <w:r w:rsidRPr="003B4666">
              <w:rPr>
                <w:sz w:val="16"/>
                <w:szCs w:val="16"/>
              </w:rPr>
              <w:t>Source</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8</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i/>
                <w:iCs/>
                <w:sz w:val="16"/>
                <w:szCs w:val="16"/>
              </w:rPr>
            </w:pPr>
            <w:r w:rsidRPr="003B4666">
              <w:rPr>
                <w:i/>
                <w:iCs/>
                <w:sz w:val="16"/>
                <w:szCs w:val="16"/>
              </w:rPr>
              <w:t> </w:t>
            </w: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r w:rsidRPr="003B4666">
              <w:rPr>
                <w:sz w:val="16"/>
                <w:szCs w:val="16"/>
              </w:rPr>
              <w:t> </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9</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i/>
                <w:iCs/>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10</w:t>
            </w:r>
          </w:p>
        </w:tc>
        <w:tc>
          <w:tcPr>
            <w:tcW w:w="720" w:type="dxa"/>
            <w:noWrap/>
          </w:tcPr>
          <w:p w:rsidR="006E7D59" w:rsidRPr="003B4666" w:rsidRDefault="009D0CB2"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9D0CB2" w:rsidP="001D5C80">
            <w:pPr>
              <w:spacing w:after="0"/>
              <w:rPr>
                <w:sz w:val="16"/>
                <w:szCs w:val="16"/>
              </w:rPr>
            </w:pPr>
            <w:r w:rsidRPr="003B4666">
              <w:rPr>
                <w:sz w:val="16"/>
                <w:szCs w:val="16"/>
              </w:rPr>
              <w:t>Forecasted Transmission Plant Additions (FTPA)</w:t>
            </w:r>
          </w:p>
        </w:tc>
        <w:tc>
          <w:tcPr>
            <w:tcW w:w="720" w:type="dxa"/>
            <w:noWrap/>
          </w:tcPr>
          <w:p w:rsidR="006E7D59" w:rsidRPr="003B4666" w:rsidRDefault="009D0CB2" w:rsidP="001D5C80">
            <w:pPr>
              <w:spacing w:after="0"/>
              <w:rPr>
                <w:b/>
                <w:bCs/>
                <w:sz w:val="16"/>
                <w:szCs w:val="16"/>
              </w:rPr>
            </w:pPr>
            <w:r w:rsidRPr="003B4666">
              <w:rPr>
                <w:b/>
                <w:bCs/>
                <w:sz w:val="16"/>
                <w:szCs w:val="16"/>
              </w:rPr>
              <w:t> </w:t>
            </w:r>
          </w:p>
        </w:tc>
        <w:tc>
          <w:tcPr>
            <w:tcW w:w="946" w:type="dxa"/>
            <w:noWrap/>
          </w:tcPr>
          <w:p w:rsidR="006E7D59" w:rsidRPr="003B4666" w:rsidRDefault="009D0CB2" w:rsidP="001D5C80">
            <w:pPr>
              <w:spacing w:after="0"/>
              <w:jc w:val="center"/>
              <w:rPr>
                <w:sz w:val="16"/>
                <w:szCs w:val="16"/>
              </w:rPr>
            </w:pPr>
          </w:p>
        </w:tc>
        <w:tc>
          <w:tcPr>
            <w:tcW w:w="994" w:type="dxa"/>
            <w:noWrap/>
          </w:tcPr>
          <w:p w:rsidR="006E7D59" w:rsidRPr="003B4666" w:rsidRDefault="009D0CB2" w:rsidP="001D5C80">
            <w:pPr>
              <w:spacing w:after="0"/>
              <w:jc w:val="right"/>
              <w:rPr>
                <w:sz w:val="16"/>
                <w:szCs w:val="16"/>
              </w:rPr>
            </w:pPr>
          </w:p>
        </w:tc>
        <w:tc>
          <w:tcPr>
            <w:tcW w:w="2527" w:type="dxa"/>
            <w:noWrap/>
          </w:tcPr>
          <w:p w:rsidR="006E7D59" w:rsidRPr="003B4666" w:rsidRDefault="009D0CB2" w:rsidP="001D5C80">
            <w:pPr>
              <w:spacing w:after="0"/>
              <w:jc w:val="right"/>
              <w:rPr>
                <w:color w:val="000000"/>
                <w:sz w:val="16"/>
                <w:szCs w:val="16"/>
              </w:rPr>
            </w:pPr>
            <w:r w:rsidRPr="003B4666">
              <w:rPr>
                <w:color w:val="000000"/>
                <w:sz w:val="16"/>
                <w:szCs w:val="16"/>
              </w:rPr>
              <w:t>$0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r w:rsidRPr="003B4666">
              <w:rPr>
                <w:sz w:val="16"/>
                <w:szCs w:val="16"/>
              </w:rPr>
              <w:t>Workpaper 8, Section I, Line 16</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11</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Annual Transmission Revenue Requirement Factor (FTRRF)</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r w:rsidRPr="003B4666">
              <w:rPr>
                <w:sz w:val="16"/>
                <w:szCs w:val="16"/>
              </w:rPr>
              <w:t>Line 35</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12</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xml:space="preserve">        Sub-Total (Lines 10*11)</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13</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xml:space="preserve">Plus </w:t>
            </w:r>
            <w:r w:rsidRPr="003B4666">
              <w:rPr>
                <w:sz w:val="16"/>
                <w:szCs w:val="16"/>
              </w:rPr>
              <w:t>Mid-Year Trend Adjustment (2) (MYTA)</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Default="009D0CB2"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r w:rsidRPr="003B4666">
              <w:rPr>
                <w:sz w:val="16"/>
                <w:szCs w:val="16"/>
              </w:rPr>
              <w:t>Workpaper 9,  line 31, variance column</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14</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xml:space="preserve"> </w:t>
            </w:r>
            <w:r>
              <w:rPr>
                <w:sz w:val="16"/>
                <w:szCs w:val="16"/>
              </w:rPr>
              <w:t>Less 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9D0CB2" w:rsidP="001D5C80">
            <w:pPr>
              <w:spacing w:after="0"/>
              <w:rPr>
                <w:b/>
                <w:bCs/>
                <w:sz w:val="16"/>
                <w:szCs w:val="16"/>
              </w:rPr>
            </w:pPr>
          </w:p>
        </w:tc>
        <w:tc>
          <w:tcPr>
            <w:tcW w:w="946" w:type="dxa"/>
            <w:noWrap/>
          </w:tcPr>
          <w:p w:rsidR="006E7D59" w:rsidRPr="003B4666" w:rsidRDefault="009D0CB2" w:rsidP="001D5C80">
            <w:pPr>
              <w:spacing w:after="0"/>
              <w:jc w:val="center"/>
              <w:rPr>
                <w:b/>
                <w:bCs/>
                <w:sz w:val="16"/>
                <w:szCs w:val="16"/>
              </w:rPr>
            </w:pPr>
          </w:p>
        </w:tc>
        <w:tc>
          <w:tcPr>
            <w:tcW w:w="994" w:type="dxa"/>
            <w:noWrap/>
          </w:tcPr>
          <w:p w:rsidR="006E7D59" w:rsidRPr="003B4666" w:rsidRDefault="009D0CB2" w:rsidP="001D5C80">
            <w:pPr>
              <w:spacing w:after="0"/>
              <w:rPr>
                <w:b/>
                <w:bCs/>
                <w:sz w:val="16"/>
                <w:szCs w:val="16"/>
              </w:rPr>
            </w:pPr>
          </w:p>
        </w:tc>
        <w:tc>
          <w:tcPr>
            <w:tcW w:w="2527" w:type="dxa"/>
            <w:noWrap/>
          </w:tcPr>
          <w:p w:rsidR="006E7D59" w:rsidRPr="003B4666" w:rsidRDefault="009D0CB2"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r>
              <w:rPr>
                <w:sz w:val="16"/>
                <w:szCs w:val="16"/>
              </w:rPr>
              <w:t>Worpaper 9A</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15</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xml:space="preserve">     Forecasted Transmission Revenue Requirement (Line 12 + Line 13</w:t>
            </w:r>
            <w:r>
              <w:rPr>
                <w:sz w:val="16"/>
                <w:szCs w:val="16"/>
              </w:rPr>
              <w:t>-Line 14</w:t>
            </w:r>
            <w:r w:rsidRPr="003B4666">
              <w:rPr>
                <w:sz w:val="16"/>
                <w:szCs w:val="16"/>
              </w:rPr>
              <w:t>)</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rPr>
                <w:sz w:val="16"/>
                <w:szCs w:val="16"/>
              </w:rPr>
            </w:pPr>
          </w:p>
        </w:tc>
        <w:tc>
          <w:tcPr>
            <w:tcW w:w="2527" w:type="dxa"/>
            <w:tcBorders>
              <w:bottom w:val="double" w:sz="4" w:space="0" w:color="auto"/>
            </w:tcBorders>
            <w:noWrap/>
          </w:tcPr>
          <w:p w:rsidR="006E7D59" w:rsidRDefault="009D0CB2"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b/>
                <w:bCs/>
                <w:sz w:val="16"/>
                <w:szCs w:val="16"/>
              </w:rPr>
            </w:pPr>
          </w:p>
        </w:tc>
        <w:tc>
          <w:tcPr>
            <w:tcW w:w="720" w:type="dxa"/>
            <w:noWrap/>
          </w:tcPr>
          <w:p w:rsidR="006E7D59" w:rsidRPr="003B4666" w:rsidRDefault="009D0CB2" w:rsidP="001D5C80">
            <w:pPr>
              <w:spacing w:after="0"/>
              <w:rPr>
                <w:sz w:val="16"/>
                <w:szCs w:val="16"/>
                <w:u w:val="single"/>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rPr>
                <w:sz w:val="16"/>
                <w:szCs w:val="16"/>
              </w:rPr>
            </w:pPr>
          </w:p>
        </w:tc>
        <w:tc>
          <w:tcPr>
            <w:tcW w:w="2527" w:type="dxa"/>
            <w:tcBorders>
              <w:top w:val="double" w:sz="4" w:space="0" w:color="auto"/>
            </w:tcBorders>
            <w:noWrap/>
          </w:tcPr>
          <w:p w:rsidR="006E7D59" w:rsidRPr="003B4666" w:rsidRDefault="009D0CB2" w:rsidP="001D5C80">
            <w:pPr>
              <w:spacing w:after="0"/>
              <w:rPr>
                <w:color w:val="000000"/>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16</w:t>
            </w:r>
          </w:p>
        </w:tc>
        <w:tc>
          <w:tcPr>
            <w:tcW w:w="720" w:type="dxa"/>
            <w:noWrap/>
          </w:tcPr>
          <w:p w:rsidR="006E7D59" w:rsidRPr="003B4666" w:rsidRDefault="009D0CB2" w:rsidP="001D5C80">
            <w:pPr>
              <w:spacing w:after="0"/>
              <w:ind w:left="-104" w:right="-108"/>
              <w:jc w:val="right"/>
              <w:rPr>
                <w:sz w:val="16"/>
                <w:szCs w:val="16"/>
              </w:rPr>
            </w:pPr>
            <w:r w:rsidRPr="003B4666">
              <w:rPr>
                <w:sz w:val="16"/>
                <w:szCs w:val="16"/>
              </w:rPr>
              <w:t>(2)</w:t>
            </w:r>
          </w:p>
        </w:tc>
        <w:tc>
          <w:tcPr>
            <w:tcW w:w="4720" w:type="dxa"/>
            <w:noWrap/>
          </w:tcPr>
          <w:p w:rsidR="006E7D59" w:rsidRPr="003B4666" w:rsidRDefault="009D0CB2" w:rsidP="001D5C80">
            <w:pPr>
              <w:spacing w:after="0"/>
              <w:rPr>
                <w:b/>
                <w:bCs/>
                <w:sz w:val="16"/>
                <w:szCs w:val="16"/>
              </w:rPr>
            </w:pPr>
            <w:r w:rsidRPr="003B4666">
              <w:rPr>
                <w:b/>
                <w:bCs/>
                <w:sz w:val="16"/>
                <w:szCs w:val="16"/>
              </w:rPr>
              <w:t>MID YEAR TREND ADJUSTMENT (MYTA)</w:t>
            </w:r>
          </w:p>
        </w:tc>
        <w:tc>
          <w:tcPr>
            <w:tcW w:w="720" w:type="dxa"/>
            <w:noWrap/>
          </w:tcPr>
          <w:p w:rsidR="006E7D59" w:rsidRPr="003B4666" w:rsidRDefault="009D0CB2" w:rsidP="001D5C80">
            <w:pPr>
              <w:spacing w:after="0"/>
              <w:rPr>
                <w:sz w:val="16"/>
                <w:szCs w:val="16"/>
                <w:u w:val="single"/>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color w:val="000000"/>
                <w:sz w:val="16"/>
                <w:szCs w:val="16"/>
              </w:rPr>
            </w:pPr>
          </w:p>
        </w:tc>
        <w:tc>
          <w:tcPr>
            <w:tcW w:w="723" w:type="dxa"/>
            <w:noWrap/>
          </w:tcPr>
          <w:p w:rsidR="006E7D59" w:rsidRPr="003B4666" w:rsidRDefault="009D0CB2" w:rsidP="001D5C80">
            <w:pPr>
              <w:spacing w:after="0"/>
              <w:rPr>
                <w:sz w:val="16"/>
                <w:szCs w:val="16"/>
              </w:rPr>
            </w:pP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17</w:t>
            </w:r>
          </w:p>
        </w:tc>
        <w:tc>
          <w:tcPr>
            <w:tcW w:w="720" w:type="dxa"/>
            <w:noWrap/>
          </w:tcPr>
          <w:p w:rsidR="006E7D59" w:rsidRPr="003B4666" w:rsidRDefault="009D0CB2" w:rsidP="001D5C80">
            <w:pPr>
              <w:spacing w:after="0"/>
              <w:ind w:left="-104" w:right="-108"/>
              <w:jc w:val="right"/>
              <w:rPr>
                <w:sz w:val="16"/>
                <w:szCs w:val="16"/>
              </w:rPr>
            </w:pPr>
          </w:p>
        </w:tc>
        <w:tc>
          <w:tcPr>
            <w:tcW w:w="7380" w:type="dxa"/>
            <w:gridSpan w:val="4"/>
            <w:noWrap/>
          </w:tcPr>
          <w:p w:rsidR="006E7D59" w:rsidRPr="003B4666" w:rsidRDefault="009D0CB2" w:rsidP="001D5C80">
            <w:pPr>
              <w:spacing w:after="0"/>
              <w:rPr>
                <w:sz w:val="16"/>
                <w:szCs w:val="16"/>
              </w:rPr>
            </w:pPr>
            <w:r w:rsidRPr="003B4666">
              <w:rPr>
                <w:sz w:val="16"/>
                <w:szCs w:val="16"/>
              </w:rPr>
              <w:t xml:space="preserve">The Mid-Year Trend Adjustment shall be the difference, whether positive or negative, between </w:t>
            </w:r>
          </w:p>
        </w:tc>
        <w:tc>
          <w:tcPr>
            <w:tcW w:w="2527" w:type="dxa"/>
            <w:noWrap/>
          </w:tcPr>
          <w:p w:rsidR="006E7D59" w:rsidRPr="003B4666" w:rsidRDefault="009D0CB2" w:rsidP="001D5C80">
            <w:pPr>
              <w:spacing w:after="0"/>
              <w:rPr>
                <w:color w:val="000000"/>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18</w:t>
            </w:r>
          </w:p>
        </w:tc>
        <w:tc>
          <w:tcPr>
            <w:tcW w:w="720" w:type="dxa"/>
            <w:noWrap/>
          </w:tcPr>
          <w:p w:rsidR="006E7D59" w:rsidRPr="003B4666" w:rsidRDefault="009D0CB2" w:rsidP="001D5C80">
            <w:pPr>
              <w:spacing w:after="0"/>
              <w:ind w:left="-104" w:right="-108"/>
              <w:jc w:val="right"/>
              <w:rPr>
                <w:sz w:val="16"/>
                <w:szCs w:val="16"/>
              </w:rPr>
            </w:pPr>
          </w:p>
        </w:tc>
        <w:tc>
          <w:tcPr>
            <w:tcW w:w="9907" w:type="dxa"/>
            <w:gridSpan w:val="5"/>
            <w:noWrap/>
          </w:tcPr>
          <w:p w:rsidR="006E7D59" w:rsidRPr="003B4666" w:rsidRDefault="009D0CB2" w:rsidP="001D5C80">
            <w:pPr>
              <w:spacing w:after="0"/>
              <w:rPr>
                <w:color w:val="000000"/>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19</w:t>
            </w:r>
          </w:p>
        </w:tc>
        <w:tc>
          <w:tcPr>
            <w:tcW w:w="720" w:type="dxa"/>
            <w:noWrap/>
          </w:tcPr>
          <w:p w:rsidR="006E7D59" w:rsidRPr="003B4666" w:rsidRDefault="009D0CB2" w:rsidP="001D5C80">
            <w:pPr>
              <w:spacing w:after="0"/>
              <w:ind w:left="-104" w:right="-108"/>
              <w:jc w:val="right"/>
              <w:rPr>
                <w:sz w:val="16"/>
                <w:szCs w:val="16"/>
              </w:rPr>
            </w:pPr>
          </w:p>
        </w:tc>
        <w:tc>
          <w:tcPr>
            <w:tcW w:w="9907" w:type="dxa"/>
            <w:gridSpan w:val="5"/>
            <w:noWrap/>
          </w:tcPr>
          <w:p w:rsidR="006E7D59" w:rsidRPr="00897A7F" w:rsidRDefault="009D0CB2" w:rsidP="001D5C80">
            <w:pPr>
              <w:spacing w:after="0"/>
              <w:rPr>
                <w:sz w:val="16"/>
                <w:szCs w:val="16"/>
              </w:rPr>
            </w:pPr>
            <w:r>
              <w:rPr>
                <w:sz w:val="16"/>
                <w:szCs w:val="16"/>
              </w:rPr>
              <w:t xml:space="preserve"> </w:t>
            </w:r>
            <w:r w:rsidRPr="0020016B">
              <w:rPr>
                <w:sz w:val="16"/>
                <w:szCs w:val="16"/>
              </w:rPr>
              <w:t xml:space="preserve">(i) the Historical TRR Component (E) excluding Transmission Support Payments, based on actual data for the first three months of the Forecast Period, </w:t>
            </w:r>
            <w:r>
              <w:t xml:space="preserve"> </w:t>
            </w:r>
            <w:r w:rsidRPr="00897A7F">
              <w:rPr>
                <w:sz w:val="16"/>
                <w:szCs w:val="16"/>
              </w:rPr>
              <w:t xml:space="preserve">and (ii) the Historical TRR Component (E) excluding Transmission Support Payments, based on </w:t>
            </w:r>
            <w:r w:rsidRPr="00897A7F">
              <w:rPr>
                <w:sz w:val="16"/>
                <w:szCs w:val="16"/>
              </w:rPr>
              <w:t>data for the first three months of the year prior to the Forecast Period.</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20</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w:t>
            </w:r>
          </w:p>
        </w:tc>
        <w:tc>
          <w:tcPr>
            <w:tcW w:w="720" w:type="dxa"/>
            <w:noWrap/>
          </w:tcPr>
          <w:p w:rsidR="006E7D59" w:rsidRPr="003B4666" w:rsidRDefault="009D0CB2" w:rsidP="001D5C80">
            <w:pPr>
              <w:spacing w:after="0"/>
              <w:rPr>
                <w:sz w:val="16"/>
                <w:szCs w:val="16"/>
                <w:u w:val="single"/>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color w:val="000000"/>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21</w:t>
            </w:r>
          </w:p>
        </w:tc>
        <w:tc>
          <w:tcPr>
            <w:tcW w:w="720" w:type="dxa"/>
            <w:noWrap/>
          </w:tcPr>
          <w:p w:rsidR="006E7D59" w:rsidRPr="003B4666" w:rsidRDefault="009D0CB2" w:rsidP="001D5C80">
            <w:pPr>
              <w:spacing w:after="0"/>
              <w:ind w:left="-104" w:right="-108"/>
              <w:jc w:val="right"/>
              <w:rPr>
                <w:sz w:val="16"/>
                <w:szCs w:val="16"/>
              </w:rPr>
            </w:pPr>
            <w:r w:rsidRPr="003B4666">
              <w:rPr>
                <w:sz w:val="16"/>
                <w:szCs w:val="16"/>
              </w:rPr>
              <w:t>(3)</w:t>
            </w:r>
          </w:p>
        </w:tc>
        <w:tc>
          <w:tcPr>
            <w:tcW w:w="5440" w:type="dxa"/>
            <w:gridSpan w:val="2"/>
            <w:noWrap/>
          </w:tcPr>
          <w:p w:rsidR="006E7D59" w:rsidRPr="003B4666" w:rsidRDefault="009D0CB2" w:rsidP="001D5C80">
            <w:pPr>
              <w:spacing w:after="0"/>
              <w:rPr>
                <w:b/>
                <w:bCs/>
                <w:sz w:val="16"/>
                <w:szCs w:val="16"/>
              </w:rPr>
            </w:pPr>
            <w:r w:rsidRPr="003B4666">
              <w:rPr>
                <w:b/>
                <w:bCs/>
                <w:sz w:val="16"/>
                <w:szCs w:val="16"/>
              </w:rPr>
              <w:t>The Tax Rate Adjustment (TRA)</w:t>
            </w: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22</w:t>
            </w:r>
          </w:p>
        </w:tc>
        <w:tc>
          <w:tcPr>
            <w:tcW w:w="720" w:type="dxa"/>
            <w:noWrap/>
          </w:tcPr>
          <w:p w:rsidR="006E7D59" w:rsidRPr="003B4666" w:rsidRDefault="009D0CB2" w:rsidP="001D5C80">
            <w:pPr>
              <w:spacing w:after="0"/>
              <w:ind w:left="-104" w:right="-108"/>
              <w:jc w:val="right"/>
              <w:rPr>
                <w:sz w:val="16"/>
                <w:szCs w:val="16"/>
              </w:rPr>
            </w:pPr>
          </w:p>
        </w:tc>
        <w:tc>
          <w:tcPr>
            <w:tcW w:w="13060" w:type="dxa"/>
            <w:gridSpan w:val="7"/>
            <w:noWrap/>
          </w:tcPr>
          <w:p w:rsidR="006E7D59" w:rsidRPr="003B4666" w:rsidRDefault="009D0CB2" w:rsidP="001D5C80">
            <w:pPr>
              <w:spacing w:after="0"/>
              <w:rPr>
                <w:sz w:val="16"/>
                <w:szCs w:val="16"/>
              </w:rPr>
            </w:pPr>
            <w:r w:rsidRPr="003B4666">
              <w:rPr>
                <w:sz w:val="16"/>
                <w:szCs w:val="16"/>
              </w:rPr>
              <w:t xml:space="preserve">The Tax Rate Adjustment shall be the amount, if any, required to adjust Historical TRR Component (A) for any change </w:t>
            </w:r>
            <w:r w:rsidRPr="003B4666">
              <w:rPr>
                <w:sz w:val="16"/>
                <w:szCs w:val="16"/>
              </w:rPr>
              <w:t>in the Federal Income Tax Rate </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23</w:t>
            </w:r>
          </w:p>
        </w:tc>
        <w:tc>
          <w:tcPr>
            <w:tcW w:w="720" w:type="dxa"/>
            <w:noWrap/>
          </w:tcPr>
          <w:p w:rsidR="006E7D59" w:rsidRPr="003B4666" w:rsidRDefault="009D0CB2" w:rsidP="001D5C80">
            <w:pPr>
              <w:spacing w:after="0"/>
              <w:ind w:left="-104" w:right="-108"/>
              <w:jc w:val="right"/>
              <w:rPr>
                <w:sz w:val="16"/>
                <w:szCs w:val="16"/>
              </w:rPr>
            </w:pPr>
          </w:p>
        </w:tc>
        <w:tc>
          <w:tcPr>
            <w:tcW w:w="9907" w:type="dxa"/>
            <w:gridSpan w:val="5"/>
            <w:noWrap/>
          </w:tcPr>
          <w:p w:rsidR="006E7D59" w:rsidRPr="003B4666" w:rsidRDefault="009D0CB2" w:rsidP="001D5C80">
            <w:pPr>
              <w:spacing w:after="0"/>
              <w:rPr>
                <w:sz w:val="16"/>
                <w:szCs w:val="16"/>
              </w:rPr>
            </w:pPr>
            <w:r w:rsidRPr="003B4666">
              <w:rPr>
                <w:sz w:val="16"/>
                <w:szCs w:val="16"/>
              </w:rPr>
              <w:t>and/or the State Income Tax Rate that takes effect during the first five months of the Forecast Period.</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24</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25</w:t>
            </w:r>
          </w:p>
        </w:tc>
        <w:tc>
          <w:tcPr>
            <w:tcW w:w="720" w:type="dxa"/>
            <w:noWrap/>
          </w:tcPr>
          <w:p w:rsidR="006E7D59" w:rsidRPr="003B4666" w:rsidRDefault="009D0CB2"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9D0CB2"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26</w:t>
            </w:r>
          </w:p>
        </w:tc>
        <w:tc>
          <w:tcPr>
            <w:tcW w:w="720" w:type="dxa"/>
            <w:noWrap/>
          </w:tcPr>
          <w:p w:rsidR="006E7D59" w:rsidRPr="003B4666" w:rsidRDefault="009D0CB2" w:rsidP="001D5C80">
            <w:pPr>
              <w:spacing w:after="0"/>
              <w:ind w:left="-104" w:right="-108"/>
              <w:jc w:val="right"/>
              <w:rPr>
                <w:sz w:val="16"/>
                <w:szCs w:val="16"/>
              </w:rPr>
            </w:pPr>
          </w:p>
        </w:tc>
        <w:tc>
          <w:tcPr>
            <w:tcW w:w="10630" w:type="dxa"/>
            <w:gridSpan w:val="6"/>
            <w:noWrap/>
          </w:tcPr>
          <w:p w:rsidR="006E7D59" w:rsidRPr="003B4666" w:rsidRDefault="009D0CB2" w:rsidP="001D5C80">
            <w:pPr>
              <w:spacing w:after="0"/>
              <w:rPr>
                <w:sz w:val="16"/>
                <w:szCs w:val="16"/>
              </w:rPr>
            </w:pPr>
            <w:r w:rsidRPr="003B4666">
              <w:rPr>
                <w:sz w:val="16"/>
                <w:szCs w:val="16"/>
              </w:rPr>
              <w:t xml:space="preserve">The Annual </w:t>
            </w:r>
            <w:r w:rsidRPr="003B4666">
              <w:rPr>
                <w:sz w:val="16"/>
                <w:szCs w:val="16"/>
              </w:rPr>
              <w:t>Forecast Transmission Revenue Requirement Factor (Annual FTRRF) shall equal the sum of Historical TRR components (A) through (C),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27</w:t>
            </w:r>
          </w:p>
        </w:tc>
        <w:tc>
          <w:tcPr>
            <w:tcW w:w="720" w:type="dxa"/>
            <w:noWrap/>
          </w:tcPr>
          <w:p w:rsidR="006E7D59" w:rsidRPr="003B4666" w:rsidRDefault="009D0CB2" w:rsidP="001D5C80">
            <w:pPr>
              <w:spacing w:after="0"/>
              <w:ind w:left="-104" w:right="-108"/>
              <w:jc w:val="right"/>
              <w:rPr>
                <w:sz w:val="16"/>
                <w:szCs w:val="16"/>
              </w:rPr>
            </w:pPr>
          </w:p>
        </w:tc>
        <w:tc>
          <w:tcPr>
            <w:tcW w:w="9907" w:type="dxa"/>
            <w:gridSpan w:val="5"/>
            <w:noWrap/>
          </w:tcPr>
          <w:p w:rsidR="006E7D59" w:rsidRPr="003B4666" w:rsidRDefault="009D0CB2" w:rsidP="001D5C80">
            <w:pPr>
              <w:spacing w:after="0"/>
              <w:rPr>
                <w:sz w:val="16"/>
                <w:szCs w:val="16"/>
              </w:rPr>
            </w:pPr>
            <w:r w:rsidRPr="003B4666">
              <w:rPr>
                <w:sz w:val="16"/>
                <w:szCs w:val="16"/>
              </w:rPr>
              <w:t>divided</w:t>
            </w:r>
            <w:r w:rsidRPr="003B4666">
              <w:rPr>
                <w:sz w:val="16"/>
                <w:szCs w:val="16"/>
              </w:rPr>
              <w:t xml:space="preserve"> by the year-end balance of Transmission Plant in Service determined in accordance with Section 14.1.9.2 (a), component (A)1(a).</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28</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ind w:firstLine="640"/>
              <w:rPr>
                <w:sz w:val="16"/>
                <w:szCs w:val="16"/>
              </w:rPr>
            </w:pPr>
            <w:r w:rsidRPr="003B4666">
              <w:rPr>
                <w:sz w:val="16"/>
                <w:szCs w:val="16"/>
              </w:rPr>
              <w:t> </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29</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rPr>
                <w:sz w:val="16"/>
                <w:szCs w:val="16"/>
              </w:rPr>
            </w:pP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30</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Investment Return and Income Taxes</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sz w:val="16"/>
                <w:szCs w:val="16"/>
              </w:rPr>
            </w:pPr>
            <w:r w:rsidRPr="003B4666">
              <w:rPr>
                <w:sz w:val="16"/>
                <w:szCs w:val="16"/>
              </w:rPr>
              <w:t>(A)</w:t>
            </w: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r w:rsidRPr="003B4666">
              <w:rPr>
                <w:sz w:val="16"/>
                <w:szCs w:val="16"/>
              </w:rPr>
              <w:t>Schedule 1,  Line 10</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31</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xml:space="preserve">Depreciation </w:t>
            </w:r>
            <w:r w:rsidRPr="003B4666">
              <w:rPr>
                <w:sz w:val="16"/>
                <w:szCs w:val="16"/>
              </w:rPr>
              <w:t>Expense</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sz w:val="16"/>
                <w:szCs w:val="16"/>
              </w:rPr>
            </w:pPr>
            <w:r w:rsidRPr="003B4666">
              <w:rPr>
                <w:sz w:val="16"/>
                <w:szCs w:val="16"/>
              </w:rPr>
              <w:t>(B)</w:t>
            </w: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r w:rsidRPr="003B4666">
              <w:rPr>
                <w:sz w:val="16"/>
                <w:szCs w:val="16"/>
              </w:rPr>
              <w:t>Schedule 1,  Line 11</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32</w:t>
            </w:r>
          </w:p>
        </w:tc>
        <w:tc>
          <w:tcPr>
            <w:tcW w:w="720" w:type="dxa"/>
            <w:noWrap/>
          </w:tcPr>
          <w:p w:rsidR="006E7D59" w:rsidRPr="003B4666" w:rsidRDefault="009D0CB2" w:rsidP="001D5C80">
            <w:pPr>
              <w:spacing w:after="0"/>
              <w:ind w:left="-104" w:right="-108"/>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Property Tax Expense</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sz w:val="16"/>
                <w:szCs w:val="16"/>
              </w:rPr>
            </w:pPr>
            <w:r w:rsidRPr="003B4666">
              <w:rPr>
                <w:sz w:val="16"/>
                <w:szCs w:val="16"/>
              </w:rPr>
              <w:t>(C)</w:t>
            </w: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r w:rsidRPr="003B4666">
              <w:rPr>
                <w:sz w:val="16"/>
                <w:szCs w:val="16"/>
              </w:rPr>
              <w:t>Schedule 1,  Line 12</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33</w:t>
            </w:r>
          </w:p>
        </w:tc>
        <w:tc>
          <w:tcPr>
            <w:tcW w:w="720" w:type="dxa"/>
            <w:noWrap/>
          </w:tcPr>
          <w:p w:rsidR="006E7D59" w:rsidRPr="003B4666" w:rsidRDefault="009D0CB2" w:rsidP="001D5C80">
            <w:pPr>
              <w:spacing w:after="0"/>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xml:space="preserve">        Total Expenses (Lines 30 thru 32)</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34</w:t>
            </w:r>
          </w:p>
        </w:tc>
        <w:tc>
          <w:tcPr>
            <w:tcW w:w="720" w:type="dxa"/>
            <w:noWrap/>
          </w:tcPr>
          <w:p w:rsidR="006E7D59" w:rsidRPr="003B4666" w:rsidRDefault="009D0CB2" w:rsidP="001D5C80">
            <w:pPr>
              <w:spacing w:after="0"/>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Transmission Plant</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sz w:val="16"/>
                <w:szCs w:val="16"/>
              </w:rPr>
            </w:pPr>
            <w:r w:rsidRPr="003B4666">
              <w:rPr>
                <w:sz w:val="16"/>
                <w:szCs w:val="16"/>
              </w:rPr>
              <w:t>(a)</w:t>
            </w: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r w:rsidRPr="003B4666">
              <w:rPr>
                <w:sz w:val="16"/>
                <w:szCs w:val="16"/>
              </w:rPr>
              <w:t>Schedule 6,   Page 1, Line 12</w:t>
            </w:r>
          </w:p>
        </w:tc>
      </w:tr>
      <w:tr w:rsidR="00BA5C95" w:rsidTr="001D5C80">
        <w:trPr>
          <w:trHeight w:val="216"/>
        </w:trPr>
        <w:tc>
          <w:tcPr>
            <w:tcW w:w="540" w:type="dxa"/>
            <w:noWrap/>
          </w:tcPr>
          <w:p w:rsidR="006E7D59" w:rsidRPr="003B4666" w:rsidRDefault="009D0CB2" w:rsidP="001D5C80">
            <w:pPr>
              <w:spacing w:after="0"/>
              <w:jc w:val="right"/>
              <w:rPr>
                <w:sz w:val="16"/>
                <w:szCs w:val="16"/>
              </w:rPr>
            </w:pPr>
            <w:r w:rsidRPr="003B4666">
              <w:rPr>
                <w:sz w:val="16"/>
                <w:szCs w:val="16"/>
              </w:rPr>
              <w:t>35</w:t>
            </w:r>
          </w:p>
        </w:tc>
        <w:tc>
          <w:tcPr>
            <w:tcW w:w="720" w:type="dxa"/>
            <w:noWrap/>
          </w:tcPr>
          <w:p w:rsidR="006E7D59" w:rsidRPr="003B4666" w:rsidRDefault="009D0CB2" w:rsidP="001D5C80">
            <w:pPr>
              <w:spacing w:after="0"/>
              <w:jc w:val="right"/>
              <w:rPr>
                <w:sz w:val="16"/>
                <w:szCs w:val="16"/>
              </w:rPr>
            </w:pPr>
          </w:p>
        </w:tc>
        <w:tc>
          <w:tcPr>
            <w:tcW w:w="4720" w:type="dxa"/>
            <w:noWrap/>
          </w:tcPr>
          <w:p w:rsidR="006E7D59" w:rsidRPr="003B4666" w:rsidRDefault="009D0CB2" w:rsidP="001D5C80">
            <w:pPr>
              <w:spacing w:after="0"/>
              <w:rPr>
                <w:sz w:val="16"/>
                <w:szCs w:val="16"/>
              </w:rPr>
            </w:pPr>
            <w:r w:rsidRPr="003B4666">
              <w:rPr>
                <w:sz w:val="16"/>
                <w:szCs w:val="16"/>
              </w:rPr>
              <w:t xml:space="preserve">         Annual Forecast Transmission Revenue Requirement Factor (Lines 33/ Line 34)</w:t>
            </w:r>
          </w:p>
        </w:tc>
        <w:tc>
          <w:tcPr>
            <w:tcW w:w="720" w:type="dxa"/>
            <w:noWrap/>
          </w:tcPr>
          <w:p w:rsidR="006E7D59" w:rsidRPr="003B4666" w:rsidRDefault="009D0CB2" w:rsidP="001D5C80">
            <w:pPr>
              <w:spacing w:after="0"/>
              <w:rPr>
                <w:sz w:val="16"/>
                <w:szCs w:val="16"/>
              </w:rPr>
            </w:pPr>
          </w:p>
        </w:tc>
        <w:tc>
          <w:tcPr>
            <w:tcW w:w="946" w:type="dxa"/>
            <w:noWrap/>
          </w:tcPr>
          <w:p w:rsidR="006E7D59" w:rsidRPr="003B4666" w:rsidRDefault="009D0CB2" w:rsidP="001D5C80">
            <w:pPr>
              <w:spacing w:after="0"/>
              <w:jc w:val="center"/>
              <w:rPr>
                <w:sz w:val="16"/>
                <w:szCs w:val="16"/>
              </w:rPr>
            </w:pPr>
          </w:p>
        </w:tc>
        <w:tc>
          <w:tcPr>
            <w:tcW w:w="994" w:type="dxa"/>
            <w:noWrap/>
          </w:tcPr>
          <w:p w:rsidR="006E7D59" w:rsidRPr="003B4666" w:rsidRDefault="009D0CB2" w:rsidP="001D5C80">
            <w:pPr>
              <w:spacing w:after="0"/>
              <w:rPr>
                <w:sz w:val="16"/>
                <w:szCs w:val="16"/>
              </w:rPr>
            </w:pPr>
          </w:p>
        </w:tc>
        <w:tc>
          <w:tcPr>
            <w:tcW w:w="2527" w:type="dxa"/>
            <w:noWrap/>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9D0CB2" w:rsidP="001D5C80">
            <w:pPr>
              <w:spacing w:after="0"/>
              <w:rPr>
                <w:sz w:val="16"/>
                <w:szCs w:val="16"/>
              </w:rPr>
            </w:pPr>
            <w:r w:rsidRPr="003B4666">
              <w:rPr>
                <w:sz w:val="16"/>
                <w:szCs w:val="16"/>
              </w:rPr>
              <w:t> </w:t>
            </w:r>
          </w:p>
        </w:tc>
        <w:tc>
          <w:tcPr>
            <w:tcW w:w="2430" w:type="dxa"/>
            <w:noWrap/>
          </w:tcPr>
          <w:p w:rsidR="006E7D59" w:rsidRPr="003B4666" w:rsidRDefault="009D0CB2" w:rsidP="001D5C80">
            <w:pPr>
              <w:spacing w:after="0"/>
              <w:rPr>
                <w:sz w:val="16"/>
                <w:szCs w:val="16"/>
              </w:rPr>
            </w:pPr>
          </w:p>
        </w:tc>
      </w:tr>
    </w:tbl>
    <w:p w:rsidR="006E7D59" w:rsidRPr="00512488" w:rsidRDefault="009D0CB2" w:rsidP="001D5C80">
      <w:pPr>
        <w:spacing w:after="0"/>
        <w:rPr>
          <w:rFonts w:cs="Tahoma"/>
          <w:color w:val="000000"/>
          <w:sz w:val="16"/>
          <w:szCs w:val="16"/>
        </w:rPr>
      </w:pPr>
    </w:p>
    <w:p w:rsidR="006E7D59" w:rsidRPr="00512488" w:rsidRDefault="009D0CB2"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BA5C95" w:rsidTr="001D5C80">
        <w:trPr>
          <w:trHeight w:val="144"/>
        </w:trPr>
        <w:tc>
          <w:tcPr>
            <w:tcW w:w="7816"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9D0CB2" w:rsidP="001D5C80">
            <w:pPr>
              <w:spacing w:after="0"/>
              <w:jc w:val="right"/>
              <w:rPr>
                <w:b/>
                <w:bCs/>
                <w:sz w:val="16"/>
                <w:szCs w:val="16"/>
              </w:rPr>
            </w:pPr>
            <w:r w:rsidRPr="003B4666">
              <w:rPr>
                <w:b/>
                <w:bCs/>
                <w:sz w:val="16"/>
                <w:szCs w:val="16"/>
              </w:rPr>
              <w:t>Attachment 1</w:t>
            </w:r>
          </w:p>
        </w:tc>
      </w:tr>
      <w:tr w:rsidR="00BA5C95" w:rsidTr="001D5C80">
        <w:trPr>
          <w:trHeight w:val="144"/>
        </w:trPr>
        <w:tc>
          <w:tcPr>
            <w:tcW w:w="7816"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Schedule 3</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276"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9D0CB2" w:rsidP="001D5C80">
            <w:pPr>
              <w:spacing w:after="0"/>
              <w:rPr>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180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9D0CB2"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9D0CB2" w:rsidP="001D5C80">
            <w:pPr>
              <w:spacing w:after="0"/>
              <w:jc w:val="center"/>
              <w:rPr>
                <w:b/>
                <w:bCs/>
                <w:sz w:val="16"/>
                <w:szCs w:val="16"/>
              </w:rPr>
            </w:pPr>
            <w:r w:rsidRPr="003B4666">
              <w:rPr>
                <w:b/>
                <w:bCs/>
                <w:sz w:val="16"/>
                <w:szCs w:val="16"/>
              </w:rPr>
              <w:t>0</w:t>
            </w:r>
          </w:p>
        </w:tc>
        <w:tc>
          <w:tcPr>
            <w:tcW w:w="1170" w:type="dxa"/>
            <w:tcBorders>
              <w:top w:val="nil"/>
              <w:left w:val="single" w:sz="4" w:space="0" w:color="auto"/>
              <w:bottom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Year</w:t>
            </w:r>
          </w:p>
        </w:tc>
        <w:tc>
          <w:tcPr>
            <w:tcW w:w="3291" w:type="dxa"/>
            <w:tcBorders>
              <w:top w:val="nil"/>
              <w:left w:val="nil"/>
              <w:bottom w:val="nil"/>
              <w:right w:val="nil"/>
            </w:tcBorders>
            <w:noWrap/>
            <w:vAlign w:val="bottom"/>
          </w:tcPr>
          <w:p w:rsidR="006E7D59" w:rsidRPr="003B4666" w:rsidRDefault="009D0CB2" w:rsidP="001D5C80">
            <w:pPr>
              <w:spacing w:after="0"/>
              <w:jc w:val="center"/>
              <w:rPr>
                <w:b/>
                <w:bCs/>
                <w:sz w:val="16"/>
                <w:szCs w:val="16"/>
                <w:u w:val="single"/>
              </w:rPr>
            </w:pPr>
            <w:r w:rsidRPr="003B4666">
              <w:rPr>
                <w:b/>
                <w:bCs/>
                <w:sz w:val="16"/>
                <w:szCs w:val="16"/>
                <w:u w:val="single"/>
              </w:rPr>
              <w:t>Source:</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9D0CB2" w:rsidP="001D5C80">
            <w:pPr>
              <w:spacing w:after="0"/>
              <w:rPr>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60"/>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9D0CB2"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BA5C95" w:rsidTr="001D5C80">
        <w:trPr>
          <w:trHeight w:val="80"/>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7 - Line 8</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11 - Line 9</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15 - Line 14</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3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BA5C95" w:rsidTr="001D5C80">
        <w:trPr>
          <w:trHeight w:val="99"/>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18 - Line 19</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20 *</w:t>
            </w:r>
            <w:r w:rsidRPr="003B4666">
              <w:rPr>
                <w:sz w:val="16"/>
                <w:szCs w:val="16"/>
              </w:rPr>
              <w:t xml:space="preserve"> Line 21</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12 + Line 16 + Line 22)</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57</w:t>
            </w:r>
          </w:p>
        </w:tc>
      </w:tr>
      <w:tr w:rsidR="00BA5C95" w:rsidTr="001D5C80">
        <w:trPr>
          <w:trHeight w:val="90"/>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24 + Line 26)</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9D0CB2"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291"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9D0CB2" w:rsidP="001D5C80">
            <w:pPr>
              <w:spacing w:after="0"/>
              <w:rPr>
                <w:sz w:val="16"/>
                <w:szCs w:val="16"/>
              </w:rPr>
            </w:pPr>
            <w:r w:rsidRPr="003B4666">
              <w:rPr>
                <w:sz w:val="16"/>
                <w:szCs w:val="16"/>
              </w:rPr>
              <w:t xml:space="preserve">Interest </w:t>
            </w:r>
            <w:r w:rsidRPr="003B4666">
              <w:rPr>
                <w:sz w:val="16"/>
                <w:szCs w:val="16"/>
              </w:rPr>
              <w:t>Calculation per 18 CFR § 35.19a  </w:t>
            </w:r>
          </w:p>
        </w:tc>
        <w:tc>
          <w:tcPr>
            <w:tcW w:w="1440" w:type="dxa"/>
            <w:tcBorders>
              <w:top w:val="nil"/>
              <w:left w:val="nil"/>
              <w:bottom w:val="single" w:sz="12" w:space="0" w:color="auto"/>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Accrued</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5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Int. @ End</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5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Period</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Of Period</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5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3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3rd QTR '07</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5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4th QTR '07</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5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1st QTR '08</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February</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29</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5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2nd QTR '08</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5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3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5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3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5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3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0"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pStyle w:val="Header"/>
        <w:spacing w:after="0"/>
        <w:rPr>
          <w:rStyle w:val="PageNumber"/>
          <w:sz w:val="16"/>
          <w:szCs w:val="16"/>
        </w:rPr>
      </w:pPr>
    </w:p>
    <w:p w:rsidR="006E7D59" w:rsidRPr="00512488" w:rsidRDefault="009D0CB2"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rPr>
                <w:sz w:val="16"/>
                <w:szCs w:val="16"/>
              </w:rPr>
            </w:pPr>
            <w:bookmarkStart w:id="2" w:name="RANGE!A1:I36"/>
            <w:bookmarkEnd w:id="2"/>
            <w:r w:rsidRPr="003B4666">
              <w:rPr>
                <w:sz w:val="16"/>
                <w:szCs w:val="16"/>
              </w:rPr>
              <w:t> </w:t>
            </w:r>
          </w:p>
        </w:tc>
        <w:tc>
          <w:tcPr>
            <w:tcW w:w="261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r w:rsidRPr="003B4666">
              <w:rPr>
                <w:b/>
                <w:bCs/>
                <w:sz w:val="16"/>
                <w:szCs w:val="16"/>
              </w:rPr>
              <w:t>Attachment 1</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r w:rsidRPr="003B4666">
              <w:rPr>
                <w:b/>
                <w:bCs/>
                <w:sz w:val="16"/>
                <w:szCs w:val="16"/>
              </w:rPr>
              <w:t>Schedule 4</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Niagara Mohawk Power Corporation 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9D0CB2" w:rsidP="001D5C80">
            <w:pPr>
              <w:spacing w:after="0"/>
              <w:rPr>
                <w:sz w:val="16"/>
                <w:szCs w:val="16"/>
              </w:rPr>
            </w:pPr>
          </w:p>
          <w:p w:rsidR="006E7D59" w:rsidRPr="003B4666" w:rsidRDefault="009D0CB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(a)</w:t>
            </w:r>
          </w:p>
          <w:p w:rsidR="006E7D59" w:rsidRPr="003B4666" w:rsidRDefault="009D0CB2"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(b)</w:t>
            </w:r>
          </w:p>
          <w:p w:rsidR="006E7D59" w:rsidRPr="003B4666" w:rsidRDefault="009D0CB2"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(c)</w:t>
            </w:r>
          </w:p>
          <w:p w:rsidR="006E7D59" w:rsidRPr="003B4666" w:rsidRDefault="009D0CB2"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(d)</w:t>
            </w:r>
          </w:p>
          <w:p w:rsidR="006E7D59" w:rsidRPr="003B4666" w:rsidRDefault="009D0CB2"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(e)</w:t>
            </w:r>
          </w:p>
          <w:p w:rsidR="006E7D59" w:rsidRPr="003B4666" w:rsidRDefault="009D0CB2"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(f)</w:t>
            </w:r>
          </w:p>
          <w:p w:rsidR="006E7D59" w:rsidRPr="003B4666" w:rsidRDefault="009D0CB2"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(g)</w:t>
            </w:r>
          </w:p>
          <w:p w:rsidR="006E7D59" w:rsidRPr="003B4666" w:rsidRDefault="009D0CB2" w:rsidP="001D5C80">
            <w:pPr>
              <w:spacing w:after="0"/>
              <w:jc w:val="center"/>
              <w:rPr>
                <w:sz w:val="16"/>
                <w:szCs w:val="16"/>
              </w:rPr>
            </w:pPr>
          </w:p>
        </w:tc>
      </w:tr>
      <w:tr w:rsidR="00BA5C95" w:rsidTr="001D5C80">
        <w:trPr>
          <w:trHeight w:val="873"/>
        </w:trPr>
        <w:tc>
          <w:tcPr>
            <w:tcW w:w="117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Annual True Up (**)</w:t>
            </w:r>
          </w:p>
        </w:tc>
        <w:tc>
          <w:tcPr>
            <w:tcW w:w="1080" w:type="dxa"/>
            <w:gridSpan w:val="2"/>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 xml:space="preserve">Scheduling System Control and Dispatch Costs </w:t>
            </w:r>
            <w:r w:rsidRPr="003B4666">
              <w:rPr>
                <w:sz w:val="16"/>
                <w:szCs w:val="16"/>
              </w:rPr>
              <w:t>(CCC)</w:t>
            </w:r>
          </w:p>
        </w:tc>
        <w:tc>
          <w:tcPr>
            <w:tcW w:w="1260" w:type="dxa"/>
            <w:gridSpan w:val="2"/>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9D0CB2" w:rsidP="001D5C80">
            <w:pPr>
              <w:spacing w:after="0"/>
              <w:jc w:val="center"/>
              <w:rPr>
                <w:sz w:val="16"/>
                <w:szCs w:val="16"/>
              </w:rPr>
            </w:pPr>
            <w:r w:rsidRPr="003B4666">
              <w:rPr>
                <w:sz w:val="16"/>
                <w:szCs w:val="16"/>
              </w:rPr>
              <w:t>Rate $/MWh (*)</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9D0CB2"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9D0CB2"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9D0CB2"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9D0CB2"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9D0CB2"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9D0CB2"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9D0CB2"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9D0CB2"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9D0CB2"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tcPr>
          <w:p w:rsidR="006E7D59" w:rsidRPr="003B4666" w:rsidRDefault="009D0CB2"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tcPr>
          <w:p w:rsidR="006E7D59" w:rsidRPr="003B4666" w:rsidRDefault="009D0CB2"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tcPr>
          <w:p w:rsidR="006E7D59" w:rsidRPr="003B4666" w:rsidRDefault="009D0CB2"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tcPr>
          <w:p w:rsidR="006E7D59" w:rsidRPr="003B4666" w:rsidRDefault="009D0CB2"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Schedule 2,  Line 14</w:t>
            </w:r>
          </w:p>
        </w:tc>
        <w:tc>
          <w:tcPr>
            <w:tcW w:w="791"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tcPr>
          <w:p w:rsidR="006E7D59" w:rsidRPr="003B4666" w:rsidRDefault="009D0CB2"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tcPr>
          <w:p w:rsidR="006E7D59" w:rsidRPr="003B4666" w:rsidRDefault="009D0CB2"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BA5C95" w:rsidTr="001D5C80">
        <w:trPr>
          <w:trHeight w:val="144"/>
        </w:trPr>
        <w:tc>
          <w:tcPr>
            <w:tcW w:w="1170" w:type="dxa"/>
            <w:tcBorders>
              <w:top w:val="nil"/>
              <w:left w:val="nil"/>
              <w:bottom w:val="nil"/>
              <w:right w:val="nil"/>
            </w:tcBorders>
            <w:noWrap/>
          </w:tcPr>
          <w:p w:rsidR="006E7D59" w:rsidRPr="003B4666" w:rsidRDefault="009D0CB2"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Schedule 11 - Annual Scheduling, System Control and Dispatch Costs. (i.e. the Transmission Component of control center costs) as record</w:t>
            </w:r>
            <w:r w:rsidRPr="003B4666">
              <w:rPr>
                <w:sz w:val="16"/>
                <w:szCs w:val="16"/>
              </w:rPr>
              <w:t>ed in FERC Account 561 and its associated sub-accounts from the prior calendar year excluding any NY Independent System Operating (NYISO) system control and load dispatch expenses already recovered under Schedule 1 of the NYISO Tariff. </w:t>
            </w:r>
          </w:p>
        </w:tc>
      </w:tr>
      <w:tr w:rsidR="00BA5C95" w:rsidTr="001D5C80">
        <w:trPr>
          <w:trHeight w:val="144"/>
        </w:trPr>
        <w:tc>
          <w:tcPr>
            <w:tcW w:w="1170" w:type="dxa"/>
            <w:tcBorders>
              <w:top w:val="nil"/>
              <w:left w:val="nil"/>
              <w:bottom w:val="nil"/>
              <w:right w:val="nil"/>
            </w:tcBorders>
            <w:noWrap/>
          </w:tcPr>
          <w:p w:rsidR="006E7D59" w:rsidRPr="003B4666" w:rsidRDefault="009D0CB2"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 xml:space="preserve">Schedule 12 - </w:t>
            </w:r>
            <w:r w:rsidRPr="003B4666">
              <w:rPr>
                <w:sz w:val="16"/>
                <w:szCs w:val="16"/>
              </w:rPr>
              <w:t>Billing Units shall be the total Niagara Mohawk load as reported to the NYISO for the calendar year prior to the Forecast Period, including the load for customers taking service under Niagara Mohawk's TSC rate.  The total Niagara Mohawk load will be adjust</w:t>
            </w:r>
            <w:r w:rsidRPr="003B4666">
              <w:rPr>
                <w:sz w:val="16"/>
                <w:szCs w:val="16"/>
              </w:rPr>
              <w:t>ed to exclude (i) load associated with wholesale transactions being revenue credited through the WR, CRR, SR, ECR, and Reserved components of Attachment H of the NYISO TSC rate including Niagara Mohawk's external sales, load associated with grandfathered O</w:t>
            </w:r>
            <w:r w:rsidRPr="003B4666">
              <w:rPr>
                <w:sz w:val="16"/>
                <w:szCs w:val="16"/>
              </w:rPr>
              <w:t>ATT agreements, and any load related to pre-OATT grandfathered agreements; (ii) load associated with transactions being revenue credited under Historical TRR Component J; and (iii) load associated with netted station service. </w:t>
            </w:r>
          </w:p>
        </w:tc>
      </w:tr>
      <w:tr w:rsidR="00BA5C95" w:rsidTr="001D5C80">
        <w:trPr>
          <w:trHeight w:val="135"/>
        </w:trPr>
        <w:tc>
          <w:tcPr>
            <w:tcW w:w="1170" w:type="dxa"/>
            <w:tcBorders>
              <w:top w:val="nil"/>
              <w:left w:val="nil"/>
              <w:bottom w:val="nil"/>
              <w:right w:val="nil"/>
            </w:tcBorders>
            <w:noWrap/>
          </w:tcPr>
          <w:p w:rsidR="006E7D59" w:rsidRPr="003B4666" w:rsidRDefault="009D0CB2"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9D0CB2" w:rsidP="001D5C80">
            <w:pPr>
              <w:spacing w:after="0"/>
              <w:ind w:left="-18"/>
              <w:rPr>
                <w:sz w:val="16"/>
                <w:szCs w:val="16"/>
                <w:lang w:val="es-CO"/>
              </w:rPr>
            </w:pPr>
            <w:r w:rsidRPr="003B4666">
              <w:rPr>
                <w:sz w:val="16"/>
                <w:szCs w:val="16"/>
                <w:lang w:val="es-CO"/>
              </w:rPr>
              <w:t>(Col (d) + Col (e)) / Co</w:t>
            </w:r>
            <w:r w:rsidRPr="003B4666">
              <w:rPr>
                <w:sz w:val="16"/>
                <w:szCs w:val="16"/>
                <w:lang w:val="es-CO"/>
              </w:rPr>
              <w:t>l (f)</w:t>
            </w:r>
          </w:p>
        </w:tc>
        <w:tc>
          <w:tcPr>
            <w:tcW w:w="540" w:type="dxa"/>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9D0CB2"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9D0CB2" w:rsidP="001D5C80">
            <w:pPr>
              <w:spacing w:after="0"/>
              <w:rPr>
                <w:sz w:val="16"/>
                <w:szCs w:val="16"/>
                <w:lang w:val="es-CO"/>
              </w:rPr>
            </w:pPr>
            <w:r w:rsidRPr="003B4666">
              <w:rPr>
                <w:sz w:val="16"/>
                <w:szCs w:val="16"/>
                <w:lang w:val="es-CO"/>
              </w:rPr>
              <w:t> </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9D0CB2"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9D0CB2" w:rsidP="001D5C80">
            <w:pPr>
              <w:spacing w:after="0"/>
              <w:rPr>
                <w:sz w:val="16"/>
                <w:szCs w:val="16"/>
                <w:lang w:val="es-CO"/>
              </w:rPr>
            </w:pPr>
            <w:r w:rsidRPr="003B4666">
              <w:rPr>
                <w:sz w:val="16"/>
                <w:szCs w:val="16"/>
                <w:lang w:val="es-CO"/>
              </w:rPr>
              <w:t> </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9D0CB2"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9D0CB2"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9D0CB2" w:rsidP="001D5C80">
            <w:pPr>
              <w:spacing w:after="0"/>
              <w:rPr>
                <w:sz w:val="16"/>
                <w:szCs w:val="16"/>
                <w:lang w:val="es-CO"/>
              </w:rPr>
            </w:pPr>
            <w:r w:rsidRPr="003B4666">
              <w:rPr>
                <w:sz w:val="16"/>
                <w:szCs w:val="16"/>
                <w:lang w:val="es-CO"/>
              </w:rPr>
              <w:t> </w:t>
            </w:r>
          </w:p>
        </w:tc>
      </w:tr>
      <w:tr w:rsidR="00BA5C95" w:rsidTr="001D5C80">
        <w:trPr>
          <w:trHeight w:val="144"/>
        </w:trPr>
        <w:tc>
          <w:tcPr>
            <w:tcW w:w="1170" w:type="dxa"/>
            <w:tcBorders>
              <w:top w:val="nil"/>
              <w:left w:val="nil"/>
              <w:bottom w:val="nil"/>
              <w:right w:val="nil"/>
            </w:tcBorders>
            <w:noWrap/>
          </w:tcPr>
          <w:p w:rsidR="006E7D59" w:rsidRPr="003B4666" w:rsidRDefault="009D0CB2"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9D0CB2" w:rsidP="001D5C80">
            <w:pPr>
              <w:spacing w:after="0"/>
              <w:ind w:left="-18"/>
              <w:rPr>
                <w:sz w:val="16"/>
                <w:szCs w:val="16"/>
              </w:rPr>
            </w:pPr>
            <w:r w:rsidRPr="003B4666">
              <w:rPr>
                <w:sz w:val="16"/>
                <w:szCs w:val="16"/>
              </w:rPr>
              <w:t>The rate column represents the unit rate prior to adjustments; the actual rate will be determined pursuant to the applicable TSC formula rate. </w:t>
            </w:r>
          </w:p>
        </w:tc>
      </w:tr>
      <w:tr w:rsidR="00BA5C95" w:rsidTr="001D5C80">
        <w:trPr>
          <w:trHeight w:val="144"/>
        </w:trPr>
        <w:tc>
          <w:tcPr>
            <w:tcW w:w="1170" w:type="dxa"/>
            <w:tcBorders>
              <w:top w:val="nil"/>
              <w:left w:val="nil"/>
              <w:bottom w:val="nil"/>
              <w:right w:val="nil"/>
            </w:tcBorders>
            <w:noWrap/>
          </w:tcPr>
          <w:p w:rsidR="006E7D59" w:rsidRPr="003B4666" w:rsidRDefault="009D0CB2" w:rsidP="001D5C80">
            <w:pPr>
              <w:spacing w:after="0"/>
              <w:ind w:right="-18"/>
              <w:rPr>
                <w:sz w:val="16"/>
                <w:szCs w:val="16"/>
              </w:rPr>
            </w:pPr>
            <w:r w:rsidRPr="003B4666">
              <w:rPr>
                <w:sz w:val="16"/>
                <w:szCs w:val="16"/>
              </w:rPr>
              <w:t>(**)</w:t>
            </w:r>
          </w:p>
        </w:tc>
        <w:tc>
          <w:tcPr>
            <w:tcW w:w="9000" w:type="dxa"/>
            <w:gridSpan w:val="13"/>
            <w:tcBorders>
              <w:top w:val="nil"/>
              <w:left w:val="nil"/>
              <w:bottom w:val="nil"/>
              <w:right w:val="nil"/>
            </w:tcBorders>
            <w:noWrap/>
            <w:vAlign w:val="bottom"/>
          </w:tcPr>
          <w:p w:rsidR="006E7D59" w:rsidRPr="003B4666" w:rsidRDefault="009D0CB2"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1170" w:type="dxa"/>
            <w:tcBorders>
              <w:top w:val="nil"/>
              <w:left w:val="nil"/>
              <w:bottom w:val="nil"/>
              <w:right w:val="nil"/>
            </w:tcBorders>
            <w:noWrap/>
            <w:vAlign w:val="bottom"/>
          </w:tcPr>
          <w:p w:rsidR="006E7D59" w:rsidRPr="003B4666" w:rsidRDefault="009D0CB2"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9D0CB2"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9D0CB2"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9D0CB2"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9D0CB2"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9D0CB2"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9D0CB2"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9D0CB2"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9D0CB2" w:rsidP="001D5C80">
            <w:pPr>
              <w:spacing w:after="0"/>
              <w:rPr>
                <w:rFonts w:ascii="Arial" w:hAnsi="Arial" w:cs="Arial"/>
                <w:sz w:val="16"/>
                <w:szCs w:val="16"/>
              </w:rPr>
            </w:pPr>
            <w:r w:rsidRPr="003B4666">
              <w:rPr>
                <w:rFonts w:ascii="Arial" w:hAnsi="Arial" w:cs="Arial"/>
                <w:sz w:val="16"/>
                <w:szCs w:val="16"/>
              </w:rPr>
              <w:t> </w:t>
            </w:r>
          </w:p>
        </w:tc>
      </w:tr>
    </w:tbl>
    <w:p w:rsidR="006E7D59" w:rsidRDefault="009D0CB2" w:rsidP="001D5C80">
      <w:pPr>
        <w:spacing w:after="0"/>
        <w:rPr>
          <w:rFonts w:cs="Tahoma"/>
          <w:color w:val="000000"/>
          <w:sz w:val="16"/>
          <w:szCs w:val="16"/>
        </w:rPr>
      </w:pPr>
    </w:p>
    <w:p w:rsidR="006E7D59" w:rsidRPr="00512488" w:rsidRDefault="009D0CB2"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BA5C95" w:rsidTr="001D5C80">
        <w:trPr>
          <w:trHeight w:val="324"/>
        </w:trPr>
        <w:tc>
          <w:tcPr>
            <w:tcW w:w="4049"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xml:space="preserve">Niagara Mohawk </w:t>
            </w:r>
            <w:r w:rsidRPr="003B4666">
              <w:rPr>
                <w:b/>
                <w:bCs/>
                <w:sz w:val="16"/>
                <w:szCs w:val="16"/>
              </w:rPr>
              <w:t>Power Corporation</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r w:rsidRPr="003B4666">
              <w:rPr>
                <w:b/>
                <w:bCs/>
                <w:sz w:val="16"/>
                <w:szCs w:val="16"/>
              </w:rPr>
              <w:t>Attachment 1</w:t>
            </w:r>
          </w:p>
        </w:tc>
      </w:tr>
      <w:tr w:rsidR="00BA5C95" w:rsidTr="001D5C80">
        <w:trPr>
          <w:trHeight w:val="144"/>
        </w:trPr>
        <w:tc>
          <w:tcPr>
            <w:tcW w:w="5348"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r w:rsidRPr="003B4666">
              <w:rPr>
                <w:b/>
                <w:bCs/>
                <w:sz w:val="16"/>
                <w:szCs w:val="16"/>
              </w:rPr>
              <w:t>Schedule  5</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0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0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9D0CB2"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9D0CB2" w:rsidP="001D5C80">
            <w:pPr>
              <w:spacing w:after="0"/>
              <w:jc w:val="center"/>
              <w:rPr>
                <w:sz w:val="16"/>
                <w:szCs w:val="16"/>
              </w:rPr>
            </w:pPr>
            <w:r w:rsidRPr="003B4666">
              <w:rPr>
                <w:b/>
                <w:bCs/>
                <w:sz w:val="16"/>
                <w:szCs w:val="16"/>
              </w:rPr>
              <w:t>0</w:t>
            </w:r>
          </w:p>
        </w:tc>
        <w:tc>
          <w:tcPr>
            <w:tcW w:w="2939" w:type="dxa"/>
            <w:tcBorders>
              <w:top w:val="nil"/>
              <w:left w:val="single" w:sz="4" w:space="0" w:color="auto"/>
              <w:bottom w:val="nil"/>
              <w:right w:val="nil"/>
            </w:tcBorders>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r>
      <w:tr w:rsidR="00BA5C95" w:rsidTr="001D5C80">
        <w:trPr>
          <w:trHeight w:val="144"/>
        </w:trPr>
        <w:tc>
          <w:tcPr>
            <w:tcW w:w="546" w:type="dxa"/>
            <w:tcBorders>
              <w:top w:val="nil"/>
              <w:left w:val="nil"/>
              <w:bottom w:val="nil"/>
              <w:right w:val="nil"/>
            </w:tcBorders>
            <w:shd w:val="clear" w:color="auto" w:fill="FFFFCC"/>
            <w:noWrap/>
            <w:vAlign w:val="bottom"/>
          </w:tcPr>
          <w:p w:rsidR="006E7D59" w:rsidRPr="003B4666" w:rsidRDefault="009D0CB2"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9D0CB2"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jc w:val="center"/>
              <w:rPr>
                <w:b/>
                <w:bCs/>
                <w:color w:val="0000FF"/>
                <w:sz w:val="16"/>
                <w:szCs w:val="16"/>
              </w:rPr>
            </w:pPr>
          </w:p>
        </w:tc>
      </w:tr>
      <w:tr w:rsidR="00BA5C95" w:rsidTr="001D5C80">
        <w:trPr>
          <w:trHeight w:val="144"/>
        </w:trPr>
        <w:tc>
          <w:tcPr>
            <w:tcW w:w="546" w:type="dxa"/>
            <w:tcBorders>
              <w:top w:val="single" w:sz="4" w:space="0" w:color="000000"/>
              <w:left w:val="nil"/>
              <w:bottom w:val="nil"/>
              <w:right w:val="nil"/>
            </w:tcBorders>
            <w:noWrap/>
            <w:vAlign w:val="bottom"/>
          </w:tcPr>
          <w:p w:rsidR="006E7D59" w:rsidRPr="003B4666" w:rsidRDefault="009D0CB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Source</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Definition</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9D0CB2" w:rsidP="001D5C80">
            <w:pPr>
              <w:spacing w:after="0"/>
              <w:rPr>
                <w:b/>
                <w:bCs/>
                <w:sz w:val="16"/>
                <w:szCs w:val="16"/>
                <w:u w:val="single"/>
              </w:rPr>
            </w:pPr>
            <w:r w:rsidRPr="003B4666">
              <w:rPr>
                <w:b/>
                <w:bCs/>
                <w:sz w:val="16"/>
                <w:szCs w:val="16"/>
                <w:u w:val="single"/>
              </w:rPr>
              <w:t>Electric Wages and Salaries Factor</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Fixed per settlement</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Fixed per settlement</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r w:rsidRPr="003B4666">
              <w:rPr>
                <w:sz w:val="16"/>
                <w:szCs w:val="16"/>
              </w:rPr>
              <w:t xml:space="preserve">14.1.9.1 </w:t>
            </w:r>
            <w:r w:rsidRPr="003B4666">
              <w:rPr>
                <w:sz w:val="16"/>
                <w:szCs w:val="16"/>
              </w:rPr>
              <w:t>2.</w:t>
            </w:r>
          </w:p>
        </w:tc>
        <w:tc>
          <w:tcPr>
            <w:tcW w:w="4979"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Gross Transmission Plant Allocation Factor shall equal the total investment in</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Transmission Plant in Service, Transmission Related Electric General Plant,</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 xml:space="preserve">Transmission Related Common Plant and Transmission Related Intangible Plant </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left w:val="nil"/>
              <w:bottom w:val="nil"/>
              <w:right w:val="nil"/>
            </w:tcBorders>
            <w:noWrap/>
            <w:vAlign w:val="bottom"/>
          </w:tcPr>
          <w:p w:rsidR="006E7D59" w:rsidRPr="003B4666" w:rsidRDefault="009D0CB2" w:rsidP="001D5C80">
            <w:pPr>
              <w:spacing w:after="0"/>
              <w:rPr>
                <w:sz w:val="16"/>
                <w:szCs w:val="16"/>
              </w:rPr>
            </w:pPr>
            <w:r w:rsidRPr="003B4666">
              <w:rPr>
                <w:sz w:val="16"/>
                <w:szCs w:val="16"/>
              </w:rPr>
              <w:t>divided by Gross Electric Plant</w:t>
            </w:r>
            <w:r w:rsidRPr="003B4666">
              <w:rPr>
                <w:color w:val="FF0000"/>
                <w:sz w:val="16"/>
                <w:szCs w:val="16"/>
              </w:rPr>
              <w:t>.</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 </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FF1 207.104</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color w:val="0000FF"/>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9D0CB2"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9D0CB2"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9D0CB2"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right w:val="nil"/>
            </w:tcBorders>
            <w:noWrap/>
            <w:vAlign w:val="bottom"/>
          </w:tcPr>
          <w:p w:rsidR="006E7D59" w:rsidRPr="003B4666" w:rsidRDefault="009D0CB2" w:rsidP="001D5C80">
            <w:pPr>
              <w:spacing w:after="0"/>
              <w:rPr>
                <w:color w:val="000000"/>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left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Gross Electric Plant Allocation Factor shall equal</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left w:val="nil"/>
              <w:bottom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 xml:space="preserve">Gross Electric Plant divided by the sum of Total Gas Plant, </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 Total Electric Plant, and Total Common Plant</w:t>
            </w: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53"/>
        </w:trPr>
        <w:tc>
          <w:tcPr>
            <w:tcW w:w="546"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9D0CB2"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939"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264"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rPr>
          <w:rFonts w:cs="Tahoma"/>
          <w:color w:val="000000"/>
          <w:sz w:val="16"/>
          <w:szCs w:val="16"/>
        </w:rPr>
      </w:pPr>
    </w:p>
    <w:p w:rsidR="006E7D59" w:rsidRPr="00512488" w:rsidRDefault="009D0CB2"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BA5C95"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9D0CB2" w:rsidP="001D5C80">
            <w:pPr>
              <w:spacing w:after="0"/>
              <w:ind w:right="612"/>
              <w:jc w:val="center"/>
              <w:rPr>
                <w:b/>
                <w:bCs/>
                <w:sz w:val="16"/>
                <w:szCs w:val="16"/>
              </w:rPr>
            </w:pPr>
            <w:r w:rsidRPr="003B4666">
              <w:rPr>
                <w:b/>
                <w:bCs/>
                <w:sz w:val="16"/>
                <w:szCs w:val="16"/>
              </w:rPr>
              <w:t>Attachment 1</w:t>
            </w:r>
          </w:p>
          <w:p w:rsidR="006E7D59" w:rsidRPr="003B4666" w:rsidRDefault="009D0CB2" w:rsidP="001D5C80">
            <w:pPr>
              <w:spacing w:after="0"/>
              <w:ind w:right="612"/>
              <w:jc w:val="center"/>
              <w:rPr>
                <w:b/>
                <w:bCs/>
                <w:sz w:val="16"/>
                <w:szCs w:val="16"/>
              </w:rPr>
            </w:pPr>
            <w:r w:rsidRPr="003B4666">
              <w:rPr>
                <w:b/>
                <w:bCs/>
                <w:sz w:val="16"/>
                <w:szCs w:val="16"/>
              </w:rPr>
              <w:t>Schedule  6</w:t>
            </w:r>
          </w:p>
          <w:p w:rsidR="006E7D59" w:rsidRPr="003B4666" w:rsidRDefault="009D0CB2" w:rsidP="001D5C80">
            <w:pPr>
              <w:spacing w:after="0"/>
              <w:ind w:right="612"/>
              <w:jc w:val="center"/>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9D0CB2" w:rsidP="001D5C80">
            <w:pPr>
              <w:spacing w:after="0"/>
              <w:jc w:val="center"/>
              <w:rPr>
                <w:b/>
                <w:bCs/>
                <w:sz w:val="16"/>
                <w:szCs w:val="16"/>
              </w:rPr>
            </w:pPr>
          </w:p>
        </w:tc>
      </w:tr>
      <w:tr w:rsidR="00BA5C95"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9D0CB2" w:rsidP="001D5C80">
            <w:pPr>
              <w:spacing w:after="0"/>
              <w:jc w:val="center"/>
              <w:rPr>
                <w:b/>
                <w:bCs/>
                <w:sz w:val="16"/>
                <w:szCs w:val="16"/>
              </w:rPr>
            </w:pPr>
          </w:p>
        </w:tc>
        <w:tc>
          <w:tcPr>
            <w:tcW w:w="360" w:type="dxa"/>
            <w:vMerge/>
            <w:tcBorders>
              <w:left w:val="nil"/>
              <w:right w:val="nil"/>
            </w:tcBorders>
            <w:vAlign w:val="bottom"/>
          </w:tcPr>
          <w:p w:rsidR="006E7D59" w:rsidRPr="003B4666" w:rsidRDefault="009D0CB2" w:rsidP="001D5C80">
            <w:pPr>
              <w:spacing w:after="0"/>
              <w:jc w:val="center"/>
              <w:rPr>
                <w:b/>
                <w:bCs/>
                <w:sz w:val="16"/>
                <w:szCs w:val="16"/>
              </w:rPr>
            </w:pPr>
          </w:p>
        </w:tc>
      </w:tr>
      <w:tr w:rsidR="00BA5C95"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9D0CB2"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9D0CB2" w:rsidP="001D5C80">
            <w:pPr>
              <w:spacing w:after="0"/>
              <w:jc w:val="center"/>
              <w:rPr>
                <w:b/>
                <w:bCs/>
                <w:sz w:val="16"/>
                <w:szCs w:val="16"/>
              </w:rPr>
            </w:pPr>
          </w:p>
        </w:tc>
      </w:tr>
      <w:tr w:rsidR="00BA5C95"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9D0CB2" w:rsidP="001D5C80">
            <w:pPr>
              <w:spacing w:after="0"/>
              <w:rPr>
                <w:sz w:val="16"/>
                <w:szCs w:val="16"/>
              </w:rPr>
            </w:pPr>
          </w:p>
        </w:tc>
        <w:tc>
          <w:tcPr>
            <w:tcW w:w="360"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 </w:t>
            </w:r>
          </w:p>
        </w:tc>
      </w:tr>
      <w:tr w:rsidR="00BA5C95" w:rsidTr="001D5C80">
        <w:trPr>
          <w:gridAfter w:val="1"/>
          <w:wAfter w:w="56" w:type="dxa"/>
          <w:trHeight w:val="60"/>
        </w:trPr>
        <w:tc>
          <w:tcPr>
            <w:tcW w:w="90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691" w:type="dxa"/>
            <w:tcBorders>
              <w:top w:val="nil"/>
              <w:left w:val="nil"/>
              <w:bottom w:val="nil"/>
              <w:right w:val="nil"/>
            </w:tcBorders>
          </w:tcPr>
          <w:p w:rsidR="006E7D59" w:rsidRPr="003B4666" w:rsidRDefault="009D0CB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gridAfter w:val="1"/>
          <w:wAfter w:w="56" w:type="dxa"/>
          <w:trHeight w:val="180"/>
        </w:trPr>
        <w:tc>
          <w:tcPr>
            <w:tcW w:w="90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691" w:type="dxa"/>
            <w:tcBorders>
              <w:top w:val="nil"/>
              <w:left w:val="nil"/>
              <w:bottom w:val="nil"/>
              <w:right w:val="nil"/>
            </w:tcBorders>
          </w:tcPr>
          <w:p w:rsidR="006E7D59" w:rsidRPr="003B4666" w:rsidRDefault="009D0CB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gridAfter w:val="1"/>
          <w:wAfter w:w="5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9D0CB2"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9D0CB2"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691" w:type="dxa"/>
            <w:tcBorders>
              <w:top w:val="nil"/>
              <w:left w:val="nil"/>
              <w:bottom w:val="nil"/>
              <w:right w:val="nil"/>
            </w:tcBorders>
          </w:tcPr>
          <w:p w:rsidR="006E7D59" w:rsidRPr="003B4666" w:rsidRDefault="009D0CB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56" w:type="dxa"/>
          <w:trHeight w:val="72"/>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691" w:type="dxa"/>
            <w:tcBorders>
              <w:top w:val="nil"/>
              <w:left w:val="nil"/>
              <w:bottom w:val="nil"/>
              <w:right w:val="nil"/>
            </w:tcBorders>
          </w:tcPr>
          <w:p w:rsidR="006E7D59" w:rsidRPr="003B4666" w:rsidRDefault="009D0CB2"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56" w:type="dxa"/>
          <w:trHeight w:val="10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9D0CB2"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9D0CB2"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9D0CB2" w:rsidP="001D5C80">
            <w:pPr>
              <w:spacing w:after="0"/>
              <w:rPr>
                <w:sz w:val="16"/>
                <w:szCs w:val="16"/>
              </w:rPr>
            </w:pPr>
          </w:p>
        </w:tc>
      </w:tr>
      <w:tr w:rsidR="00BA5C95" w:rsidTr="001D5C80">
        <w:trPr>
          <w:gridAfter w:val="1"/>
          <w:wAfter w:w="56" w:type="dxa"/>
          <w:trHeight w:val="135"/>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9D0CB2"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9D0CB2" w:rsidP="001D5C80">
            <w:pPr>
              <w:spacing w:after="0"/>
              <w:rPr>
                <w:sz w:val="16"/>
                <w:szCs w:val="16"/>
              </w:rPr>
            </w:pPr>
          </w:p>
        </w:tc>
      </w:tr>
      <w:tr w:rsidR="00BA5C95" w:rsidTr="001D5C80">
        <w:trPr>
          <w:gridAfter w:val="1"/>
          <w:wAfter w:w="56" w:type="dxa"/>
          <w:trHeight w:val="144"/>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9D0CB2"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9D0CB2" w:rsidP="001D5C80">
            <w:pPr>
              <w:spacing w:after="0"/>
              <w:rPr>
                <w:sz w:val="16"/>
                <w:szCs w:val="16"/>
              </w:rPr>
            </w:pPr>
          </w:p>
        </w:tc>
      </w:tr>
      <w:tr w:rsidR="00BA5C95" w:rsidTr="001D5C80">
        <w:trPr>
          <w:gridAfter w:val="1"/>
          <w:wAfter w:w="56" w:type="dxa"/>
          <w:trHeight w:val="162"/>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9D0CB2"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9D0CB2" w:rsidP="001D5C80">
            <w:pPr>
              <w:spacing w:after="0"/>
              <w:rPr>
                <w:sz w:val="16"/>
                <w:szCs w:val="16"/>
              </w:rPr>
            </w:pPr>
          </w:p>
        </w:tc>
      </w:tr>
      <w:tr w:rsidR="00BA5C95" w:rsidTr="001D5C80">
        <w:trPr>
          <w:gridAfter w:val="1"/>
          <w:wAfter w:w="56" w:type="dxa"/>
          <w:trHeight w:val="180"/>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9D0CB2"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9D0CB2" w:rsidP="001D5C80">
            <w:pPr>
              <w:spacing w:after="0"/>
              <w:rPr>
                <w:sz w:val="16"/>
                <w:szCs w:val="16"/>
              </w:rPr>
            </w:pPr>
          </w:p>
        </w:tc>
      </w:tr>
      <w:tr w:rsidR="00BA5C95" w:rsidTr="001D5C80">
        <w:trPr>
          <w:gridAfter w:val="1"/>
          <w:wAfter w:w="56" w:type="dxa"/>
          <w:trHeight w:val="171"/>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994" w:type="dxa"/>
            <w:gridSpan w:val="2"/>
            <w:tcBorders>
              <w:top w:val="nil"/>
              <w:left w:val="nil"/>
              <w:bottom w:val="nil"/>
              <w:right w:val="nil"/>
            </w:tcBorders>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56" w:type="dxa"/>
          <w:trHeight w:val="180"/>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994" w:type="dxa"/>
            <w:gridSpan w:val="2"/>
            <w:tcBorders>
              <w:top w:val="nil"/>
              <w:left w:val="nil"/>
              <w:bottom w:val="nil"/>
              <w:right w:val="nil"/>
            </w:tcBorders>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5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1" w:type="dxa"/>
            <w:tcBorders>
              <w:top w:val="nil"/>
              <w:left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9D0CB2" w:rsidP="001D5C80">
            <w:pPr>
              <w:spacing w:after="0"/>
              <w:jc w:val="center"/>
              <w:rPr>
                <w:b/>
                <w:bCs/>
                <w:sz w:val="16"/>
                <w:szCs w:val="16"/>
              </w:rPr>
            </w:pPr>
            <w:r w:rsidRPr="003B4666">
              <w:rPr>
                <w:b/>
                <w:bCs/>
                <w:sz w:val="16"/>
                <w:szCs w:val="16"/>
              </w:rPr>
              <w:t>2007</w:t>
            </w: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9D0CB2" w:rsidP="001D5C80">
            <w:pPr>
              <w:spacing w:after="0"/>
              <w:rPr>
                <w:color w:val="0000FF"/>
                <w:sz w:val="16"/>
                <w:szCs w:val="16"/>
              </w:rPr>
            </w:pPr>
          </w:p>
        </w:tc>
      </w:tr>
      <w:tr w:rsidR="00BA5C95" w:rsidTr="001D5C80">
        <w:trPr>
          <w:gridAfter w:val="1"/>
          <w:wAfter w:w="56" w:type="dxa"/>
          <w:trHeight w:val="1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left w:val="nil"/>
              <w:bottom w:val="nil"/>
              <w:right w:val="nil"/>
            </w:tcBorders>
            <w:noWrap/>
            <w:vAlign w:val="bottom"/>
          </w:tcPr>
          <w:p w:rsidR="006E7D59" w:rsidRPr="003B4666" w:rsidRDefault="009D0CB2"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9D0CB2"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9D0CB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3,  column 5</w:t>
            </w: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5,  column 5</w:t>
            </w: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10,  column 5</w:t>
            </w: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15,  column 5</w:t>
            </w: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right w:val="nil"/>
            </w:tcBorders>
            <w:noWrap/>
            <w:vAlign w:val="bottom"/>
          </w:tcPr>
          <w:p w:rsidR="006E7D59" w:rsidRPr="003B4666" w:rsidRDefault="009D0CB2"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19,  column 5</w:t>
            </w: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9D0CB2" w:rsidP="001D5C80">
            <w:pPr>
              <w:spacing w:after="0"/>
              <w:jc w:val="center"/>
              <w:rPr>
                <w:sz w:val="16"/>
                <w:szCs w:val="16"/>
              </w:rPr>
            </w:pP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9D0CB2"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r>
      <w:tr w:rsidR="00BA5C95" w:rsidTr="001D5C80">
        <w:trPr>
          <w:gridAfter w:val="1"/>
          <w:wAfter w:w="5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2, line 29,  column 5</w:t>
            </w: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7, line 6,  column 5</w:t>
            </w: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right w:val="nil"/>
            </w:tcBorders>
            <w:noWrap/>
            <w:vAlign w:val="bottom"/>
          </w:tcPr>
          <w:p w:rsidR="006E7D59" w:rsidRPr="003B4666" w:rsidRDefault="009D0CB2"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7, line 11,  column 5</w:t>
            </w:r>
          </w:p>
        </w:tc>
      </w:tr>
      <w:tr w:rsidR="00BA5C95" w:rsidTr="001D5C80">
        <w:trPr>
          <w:gridAfter w:val="1"/>
          <w:wAfter w:w="5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9D0CB2" w:rsidP="001D5C80">
            <w:pPr>
              <w:spacing w:after="0"/>
              <w:jc w:val="center"/>
              <w:rPr>
                <w:sz w:val="16"/>
                <w:szCs w:val="16"/>
              </w:rPr>
            </w:pP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5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9D0CB2"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7, line 15,  column 5</w:t>
            </w: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7, line 21,  column 5</w:t>
            </w:r>
          </w:p>
        </w:tc>
      </w:tr>
      <w:tr w:rsidR="00BA5C95"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right w:val="nil"/>
            </w:tcBorders>
            <w:noWrap/>
            <w:vAlign w:val="bottom"/>
          </w:tcPr>
          <w:p w:rsidR="006E7D59" w:rsidRPr="003B4666" w:rsidRDefault="009D0CB2"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9D0CB2"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7, line 28,  column 5</w:t>
            </w:r>
          </w:p>
        </w:tc>
      </w:tr>
      <w:tr w:rsidR="00BA5C95" w:rsidTr="001D5C80">
        <w:trPr>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9D0CB2" w:rsidP="001D5C80">
            <w:pPr>
              <w:spacing w:after="0"/>
              <w:jc w:val="center"/>
              <w:rPr>
                <w:sz w:val="16"/>
                <w:szCs w:val="16"/>
              </w:rPr>
            </w:pP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9D0CB2"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88"/>
        </w:trPr>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51" w:type="dxa"/>
            <w:tcBorders>
              <w:top w:val="nil"/>
              <w:left w:val="nil"/>
              <w:bottom w:val="nil"/>
              <w:right w:val="nil"/>
            </w:tcBorders>
          </w:tcPr>
          <w:p w:rsidR="006E7D59" w:rsidRPr="003B4666" w:rsidRDefault="009D0CB2"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9D0CB2"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Default="009D0CB2" w:rsidP="001D5C80">
      <w:pPr>
        <w:spacing w:after="0"/>
        <w:rPr>
          <w:rFonts w:cs="Tahoma"/>
          <w:color w:val="000000"/>
          <w:sz w:val="16"/>
          <w:szCs w:val="16"/>
        </w:rPr>
      </w:pPr>
    </w:p>
    <w:p w:rsidR="006E7D59" w:rsidRPr="00512488" w:rsidRDefault="009D0CB2"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BA5C95"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9D0CB2" w:rsidP="001D5C80">
            <w:pPr>
              <w:spacing w:after="0"/>
              <w:rPr>
                <w:sz w:val="16"/>
                <w:szCs w:val="16"/>
              </w:rPr>
            </w:pPr>
            <w:bookmarkStart w:id="3" w:name="RANGE!A1:P55"/>
            <w:bookmarkEnd w:id="3"/>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9D0CB2"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237"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9D0CB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jc w:val="center"/>
              <w:rPr>
                <w:b/>
                <w:bCs/>
                <w:sz w:val="16"/>
                <w:szCs w:val="16"/>
              </w:rPr>
            </w:pPr>
            <w:r w:rsidRPr="003B4666">
              <w:rPr>
                <w:b/>
                <w:bCs/>
                <w:sz w:val="16"/>
                <w:szCs w:val="16"/>
              </w:rPr>
              <w:t>Attachment 1</w:t>
            </w:r>
          </w:p>
        </w:tc>
      </w:tr>
      <w:tr w:rsidR="00BA5C95"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833" w:type="dxa"/>
            <w:gridSpan w:val="8"/>
            <w:vMerge/>
            <w:tcBorders>
              <w:left w:val="nil"/>
              <w:right w:val="nil"/>
            </w:tcBorders>
            <w:noWrap/>
            <w:vAlign w:val="bottom"/>
          </w:tcPr>
          <w:p w:rsidR="006E7D59" w:rsidRPr="003B4666" w:rsidRDefault="009D0CB2"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237"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9D0CB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jc w:val="center"/>
              <w:rPr>
                <w:b/>
                <w:bCs/>
                <w:sz w:val="16"/>
                <w:szCs w:val="16"/>
              </w:rPr>
            </w:pPr>
            <w:r w:rsidRPr="003B4666">
              <w:rPr>
                <w:b/>
                <w:bCs/>
                <w:sz w:val="16"/>
                <w:szCs w:val="16"/>
              </w:rPr>
              <w:t>Schedule  6</w:t>
            </w:r>
          </w:p>
        </w:tc>
      </w:tr>
      <w:tr w:rsidR="00BA5C95"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9D0CB2"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237"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9D0CB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jc w:val="center"/>
              <w:rPr>
                <w:b/>
                <w:bCs/>
                <w:sz w:val="16"/>
                <w:szCs w:val="16"/>
              </w:rPr>
            </w:pPr>
            <w:r w:rsidRPr="003B4666">
              <w:rPr>
                <w:b/>
                <w:bCs/>
                <w:sz w:val="16"/>
                <w:szCs w:val="16"/>
              </w:rPr>
              <w:t>Page 2 of 2</w:t>
            </w:r>
          </w:p>
        </w:tc>
      </w:tr>
      <w:tr w:rsidR="00BA5C95"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790" w:type="dxa"/>
            <w:tcBorders>
              <w:top w:val="nil"/>
              <w:left w:val="nil"/>
              <w:bottom w:val="nil"/>
              <w:right w:val="nil"/>
            </w:tcBorders>
            <w:noWrap/>
            <w:vAlign w:val="bottom"/>
          </w:tcPr>
          <w:p w:rsidR="006E7D59" w:rsidRPr="003B4666" w:rsidRDefault="009D0CB2"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9D0CB2"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7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9D0CB2" w:rsidP="001D5C80">
            <w:pPr>
              <w:spacing w:after="0"/>
              <w:jc w:val="center"/>
              <w:rPr>
                <w:b/>
                <w:bCs/>
                <w:sz w:val="16"/>
                <w:szCs w:val="16"/>
              </w:rPr>
            </w:pPr>
            <w:r w:rsidRPr="003B4666">
              <w:rPr>
                <w:b/>
                <w:bCs/>
                <w:sz w:val="16"/>
                <w:szCs w:val="16"/>
              </w:rPr>
              <w:t>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D0CB2"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9D0CB2"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vAlign w:val="bottom"/>
          </w:tcPr>
          <w:p w:rsidR="006E7D59" w:rsidRPr="003B4666" w:rsidRDefault="009D0CB2"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jc w:val="center"/>
              <w:rPr>
                <w:sz w:val="16"/>
                <w:szCs w:val="16"/>
                <w:u w:val="single"/>
              </w:rPr>
            </w:pPr>
            <w:r w:rsidRPr="003B4666">
              <w:rPr>
                <w:sz w:val="16"/>
                <w:szCs w:val="16"/>
                <w:u w:val="single"/>
              </w:rPr>
              <w:t>Definition</w:t>
            </w:r>
          </w:p>
        </w:tc>
      </w:tr>
      <w:tr w:rsidR="00BA5C95"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9D0CB2"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9D0CB2"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9D0CB2" w:rsidP="001D5C80">
            <w:pPr>
              <w:spacing w:after="0"/>
              <w:ind w:left="-20" w:right="-108"/>
              <w:rPr>
                <w:sz w:val="16"/>
                <w:szCs w:val="16"/>
              </w:rPr>
            </w:pPr>
            <w:r w:rsidRPr="003B4666">
              <w:rPr>
                <w:sz w:val="16"/>
                <w:szCs w:val="16"/>
              </w:rPr>
              <w:t xml:space="preserve">Transmission Plant in Service shall equal the </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 xml:space="preserve">balance of total investment in Transmission Plant </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9D0CB2"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 xml:space="preserve">plus Wholesale </w:t>
            </w:r>
            <w:r w:rsidRPr="003B4666">
              <w:rPr>
                <w:sz w:val="16"/>
                <w:szCs w:val="16"/>
              </w:rPr>
              <w:t>Metering Investment</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 xml:space="preserve">Transmission Related Electric General Plant shall </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equal the balance of investment in Electric General</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 xml:space="preserve">Plant mulitplied by the Transmission Wages and </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Salaries Allocation Factor</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FF1 201. 8h</w:t>
            </w: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color w:val="000000"/>
                <w:sz w:val="16"/>
                <w:szCs w:val="16"/>
              </w:rPr>
            </w:pPr>
            <w:r w:rsidRPr="003B4666">
              <w:rPr>
                <w:color w:val="000000"/>
                <w:sz w:val="16"/>
                <w:szCs w:val="16"/>
              </w:rPr>
              <w:t>Transmission Related Common Plant shall equal Common</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Plant multiplied by the Electric Wages and Salaries</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Allocation Factor and further multiplied by the</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 xml:space="preserve">Transmission Wages and </w:t>
            </w:r>
            <w:r w:rsidRPr="003B4666">
              <w:rPr>
                <w:sz w:val="16"/>
                <w:szCs w:val="16"/>
              </w:rPr>
              <w:t>Salaries Allocation Factor.</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color w:val="000000"/>
                <w:sz w:val="16"/>
                <w:szCs w:val="16"/>
              </w:rPr>
            </w:pPr>
            <w:r w:rsidRPr="003B4666">
              <w:rPr>
                <w:color w:val="000000"/>
                <w:sz w:val="16"/>
                <w:szCs w:val="16"/>
              </w:rPr>
              <w:t>Transmission Related Intangible Plant shall equal Intangible</w:t>
            </w:r>
          </w:p>
        </w:tc>
      </w:tr>
      <w:tr w:rsidR="00BA5C95" w:rsidTr="001D5C80">
        <w:trPr>
          <w:trHeight w:val="36"/>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Electric Plant multiplied by the Transmission Wages and</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Salaries Allocation Factor.</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color w:val="000000"/>
                <w:sz w:val="16"/>
                <w:szCs w:val="16"/>
              </w:rPr>
            </w:pPr>
            <w:r w:rsidRPr="003B4666">
              <w:rPr>
                <w:color w:val="000000"/>
                <w:sz w:val="16"/>
                <w:szCs w:val="16"/>
              </w:rPr>
              <w:t>Transmission Related Plant Held for Future Use shall equal</w:t>
            </w:r>
          </w:p>
        </w:tc>
      </w:tr>
      <w:tr w:rsidR="00BA5C95" w:rsidTr="001D5C80">
        <w:trPr>
          <w:trHeight w:val="25"/>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the balance in Plant Held for Future Use associated with</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property planned to be used for transmission service within</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r w:rsidRPr="003B4666">
              <w:rPr>
                <w:sz w:val="16"/>
                <w:szCs w:val="16"/>
              </w:rPr>
              <w:t>five years</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9D0CB2"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9D0CB2" w:rsidP="001D5C80">
            <w:pPr>
              <w:spacing w:after="0"/>
              <w:ind w:left="-20"/>
              <w:rPr>
                <w:color w:val="000000"/>
                <w:sz w:val="16"/>
                <w:szCs w:val="16"/>
              </w:rPr>
            </w:pPr>
            <w:r w:rsidRPr="003B4666">
              <w:rPr>
                <w:color w:val="000000"/>
                <w:sz w:val="16"/>
                <w:szCs w:val="16"/>
              </w:rPr>
              <w:t>Transmission Related Depreciation Reserve shall equal the</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9D0CB2"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balance of: (i) Transmission Depreciation Reserve, plus (ii)</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the product of Electric General Plant Depreciation Reserve</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Amortization</w:t>
            </w:r>
            <w:r w:rsidRPr="003B4666">
              <w:rPr>
                <w:sz w:val="16"/>
                <w:szCs w:val="16"/>
              </w:rPr>
              <w:t xml:space="preserve">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multiplied by the Transmission Wages and Salaries</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Allocation Factor, plus (iii) the product of Common Plant</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 Total  Depreciation (Sum of line 24 - Line 28)</w:t>
            </w: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Depreciation Reserve multiplied by the Electric Wages and</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Salaries Allocation Factor and further multiplied by the</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Transmission Wages and Salaries Allocation Factor </w:t>
            </w:r>
            <w:r w:rsidRPr="003B4666">
              <w:rPr>
                <w:sz w:val="16"/>
                <w:szCs w:val="16"/>
              </w:rPr>
              <w:t>plus (iv)</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the product of Intangible Electric Plant Depreciation Reserve</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multiplied by the Transmission Wages and Salaries</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Allocation Factor plus (v) depreciation reserve associated with</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the Wholesale Metering Investment</w:t>
            </w: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9D0CB2"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(d) Schedule 5, </w:t>
            </w:r>
            <w:r w:rsidRPr="003B4666">
              <w:rPr>
                <w:sz w:val="16"/>
                <w:szCs w:val="16"/>
              </w:rPr>
              <w:t>line 19 - not used on this Schedule</w:t>
            </w: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810" w:type="dxa"/>
            <w:tcBorders>
              <w:top w:val="nil"/>
              <w:left w:val="nil"/>
              <w:bottom w:val="nil"/>
              <w:right w:val="nil"/>
            </w:tcBorders>
            <w:noWrap/>
            <w:vAlign w:val="bottom"/>
          </w:tcPr>
          <w:p w:rsidR="006E7D59" w:rsidRPr="003B4666" w:rsidRDefault="009D0CB2"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7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9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5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Attachment 1</w:t>
            </w:r>
          </w:p>
        </w:tc>
      </w:tr>
      <w:tr w:rsidR="00BA5C95"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Schedule  7</w:t>
            </w:r>
          </w:p>
        </w:tc>
      </w:tr>
      <w:tr w:rsidR="00BA5C95"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2674" w:type="dxa"/>
            <w:tcBorders>
              <w:top w:val="nil"/>
              <w:left w:val="nil"/>
              <w:bottom w:val="nil"/>
              <w:right w:val="nil"/>
            </w:tcBorders>
            <w:noWrap/>
            <w:vAlign w:val="center"/>
          </w:tcPr>
          <w:p w:rsidR="006E7D59" w:rsidRPr="003B4666" w:rsidRDefault="009D0CB2" w:rsidP="001D5C80">
            <w:pPr>
              <w:spacing w:after="0"/>
              <w:ind w:right="-164"/>
              <w:rPr>
                <w:sz w:val="16"/>
                <w:szCs w:val="16"/>
              </w:rPr>
            </w:pPr>
            <w:r w:rsidRPr="003B4666">
              <w:rPr>
                <w:sz w:val="16"/>
                <w:szCs w:val="16"/>
              </w:rPr>
              <w:t xml:space="preserve">Attachment H Section </w:t>
            </w:r>
            <w:r w:rsidRPr="003B4666">
              <w:rPr>
                <w:sz w:val="16"/>
                <w:szCs w:val="16"/>
              </w:rPr>
              <w:t>14.1.9.2 (a) A. 1.</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tcBorders>
            <w:noWrap/>
            <w:vAlign w:val="center"/>
          </w:tcPr>
          <w:p w:rsidR="006E7D59" w:rsidRPr="003B4666" w:rsidRDefault="009D0CB2" w:rsidP="001D5C80">
            <w:pPr>
              <w:spacing w:after="0"/>
              <w:rPr>
                <w:sz w:val="16"/>
                <w:szCs w:val="16"/>
              </w:rPr>
            </w:pPr>
          </w:p>
        </w:tc>
        <w:tc>
          <w:tcPr>
            <w:tcW w:w="838" w:type="dxa"/>
            <w:noWrap/>
            <w:vAlign w:val="center"/>
          </w:tcPr>
          <w:p w:rsidR="006E7D59" w:rsidRPr="003B4666" w:rsidRDefault="009D0CB2" w:rsidP="001D5C80">
            <w:pPr>
              <w:spacing w:after="0"/>
              <w:rPr>
                <w:b/>
                <w:bCs/>
                <w:sz w:val="16"/>
                <w:szCs w:val="16"/>
              </w:rPr>
            </w:pPr>
          </w:p>
        </w:tc>
        <w:tc>
          <w:tcPr>
            <w:tcW w:w="1192" w:type="dxa"/>
            <w:vAlign w:val="center"/>
          </w:tcPr>
          <w:p w:rsidR="006E7D59" w:rsidRPr="003B4666" w:rsidRDefault="009D0CB2"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shd w:val="clear" w:color="auto" w:fill="FFFFCC"/>
            <w:noWrap/>
            <w:vAlign w:val="center"/>
          </w:tcPr>
          <w:p w:rsidR="006E7D59" w:rsidRPr="003B4666" w:rsidRDefault="009D0CB2"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9D0CB2"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9D0CB2" w:rsidP="001D5C80">
            <w:pPr>
              <w:spacing w:after="0"/>
              <w:jc w:val="center"/>
              <w:rPr>
                <w:sz w:val="16"/>
                <w:szCs w:val="16"/>
              </w:rPr>
            </w:pPr>
            <w:r w:rsidRPr="003B4666">
              <w:rPr>
                <w:b/>
                <w:bCs/>
                <w:sz w:val="16"/>
                <w:szCs w:val="16"/>
              </w:rPr>
              <w:t>0</w:t>
            </w:r>
          </w:p>
        </w:tc>
        <w:tc>
          <w:tcPr>
            <w:tcW w:w="1079" w:type="dxa"/>
            <w:tcBorders>
              <w:top w:val="nil"/>
              <w:left w:val="single" w:sz="4" w:space="0" w:color="auto"/>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right w:val="nil"/>
            </w:tcBorders>
            <w:noWrap/>
            <w:vAlign w:val="center"/>
          </w:tcPr>
          <w:p w:rsidR="006E7D59" w:rsidRPr="003B4666" w:rsidRDefault="009D0CB2" w:rsidP="001D5C80">
            <w:pPr>
              <w:spacing w:after="0"/>
              <w:rPr>
                <w:sz w:val="16"/>
                <w:szCs w:val="16"/>
              </w:rPr>
            </w:pP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tcBorders>
            <w:noWrap/>
            <w:vAlign w:val="center"/>
          </w:tcPr>
          <w:p w:rsidR="006E7D59" w:rsidRPr="003B4666" w:rsidRDefault="009D0CB2" w:rsidP="001D5C80">
            <w:pPr>
              <w:spacing w:after="0"/>
              <w:rPr>
                <w:sz w:val="16"/>
                <w:szCs w:val="16"/>
              </w:rPr>
            </w:pPr>
          </w:p>
        </w:tc>
        <w:tc>
          <w:tcPr>
            <w:tcW w:w="838" w:type="dxa"/>
            <w:noWrap/>
            <w:vAlign w:val="center"/>
          </w:tcPr>
          <w:p w:rsidR="006E7D59" w:rsidRPr="003B4666" w:rsidRDefault="009D0CB2" w:rsidP="001D5C80">
            <w:pPr>
              <w:spacing w:after="0"/>
              <w:jc w:val="center"/>
              <w:rPr>
                <w:sz w:val="16"/>
                <w:szCs w:val="16"/>
              </w:rPr>
            </w:pPr>
          </w:p>
        </w:tc>
        <w:tc>
          <w:tcPr>
            <w:tcW w:w="1192" w:type="dxa"/>
            <w:vAlign w:val="center"/>
          </w:tcPr>
          <w:p w:rsidR="006E7D59" w:rsidRPr="003B4666" w:rsidRDefault="009D0CB2"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single" w:sz="4" w:space="0" w:color="auto"/>
              <w:right w:val="nil"/>
            </w:tcBorders>
            <w:noWrap/>
            <w:vAlign w:val="bottom"/>
          </w:tcPr>
          <w:p w:rsidR="006E7D59" w:rsidRPr="003B4666" w:rsidRDefault="009D0CB2"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9D0CB2"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w:t>
            </w:r>
          </w:p>
          <w:p w:rsidR="006E7D59" w:rsidRPr="003B4666" w:rsidRDefault="009D0CB2"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w:t>
            </w:r>
          </w:p>
          <w:p w:rsidR="006E7D59" w:rsidRPr="003B4666" w:rsidRDefault="009D0CB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9D0CB2" w:rsidP="001D5C80">
            <w:pPr>
              <w:spacing w:after="0"/>
              <w:ind w:left="-27" w:right="-108"/>
              <w:jc w:val="center"/>
              <w:rPr>
                <w:sz w:val="16"/>
                <w:szCs w:val="16"/>
              </w:rPr>
            </w:pPr>
            <w:r w:rsidRPr="003B4666">
              <w:rPr>
                <w:sz w:val="16"/>
                <w:szCs w:val="16"/>
              </w:rPr>
              <w:t>(3) = (1)*(2)</w:t>
            </w:r>
          </w:p>
          <w:p w:rsidR="006E7D59" w:rsidRPr="003B4666" w:rsidRDefault="009D0CB2"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(4)</w:t>
            </w:r>
          </w:p>
          <w:p w:rsidR="006E7D59" w:rsidRPr="003B4666" w:rsidRDefault="009D0CB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9D0CB2" w:rsidP="001D5C80">
            <w:pPr>
              <w:spacing w:after="0"/>
              <w:ind w:left="-27" w:right="-24"/>
              <w:rPr>
                <w:sz w:val="16"/>
                <w:szCs w:val="16"/>
              </w:rPr>
            </w:pPr>
            <w:r w:rsidRPr="003B4666">
              <w:rPr>
                <w:sz w:val="16"/>
                <w:szCs w:val="16"/>
              </w:rPr>
              <w:t>(5) = (3)*(4)</w:t>
            </w:r>
          </w:p>
          <w:p w:rsidR="006E7D59" w:rsidRPr="003B4666" w:rsidRDefault="009D0CB2"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9D0CB2" w:rsidP="001D5C80">
            <w:pPr>
              <w:spacing w:after="0"/>
              <w:ind w:left="-62" w:right="-108"/>
              <w:rPr>
                <w:sz w:val="16"/>
                <w:szCs w:val="16"/>
              </w:rPr>
            </w:pPr>
            <w:r w:rsidRPr="003B4666">
              <w:rPr>
                <w:sz w:val="16"/>
                <w:szCs w:val="16"/>
              </w:rPr>
              <w:t>FERC Form 1/PSC Report</w:t>
            </w:r>
          </w:p>
          <w:p w:rsidR="006E7D59" w:rsidRPr="003B4666" w:rsidRDefault="009D0CB2" w:rsidP="001D5C80">
            <w:pPr>
              <w:spacing w:after="0"/>
              <w:jc w:val="center"/>
              <w:rPr>
                <w:sz w:val="16"/>
                <w:szCs w:val="16"/>
                <w:u w:val="single"/>
              </w:rPr>
            </w:pPr>
            <w:r w:rsidRPr="003B4666">
              <w:rPr>
                <w:sz w:val="16"/>
                <w:szCs w:val="16"/>
                <w:u w:val="single"/>
              </w:rPr>
              <w:t xml:space="preserve">Reference for col </w:t>
            </w:r>
            <w:r w:rsidRPr="003B4666">
              <w:rPr>
                <w:sz w:val="16"/>
                <w:szCs w:val="16"/>
                <w:u w:val="single"/>
              </w:rPr>
              <w:t>(1)</w:t>
            </w:r>
          </w:p>
        </w:tc>
        <w:tc>
          <w:tcPr>
            <w:tcW w:w="1056" w:type="dxa"/>
            <w:tcBorders>
              <w:top w:val="nil"/>
              <w:left w:val="nil"/>
              <w:bottom w:val="nil"/>
              <w:right w:val="nil"/>
            </w:tcBorders>
            <w:noWrap/>
            <w:vAlign w:val="bottom"/>
          </w:tcPr>
          <w:p w:rsidR="006E7D59" w:rsidRPr="003B4666" w:rsidRDefault="009D0CB2"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9D0CB2" w:rsidP="001D5C80">
            <w:pPr>
              <w:spacing w:after="0"/>
              <w:jc w:val="center"/>
              <w:rPr>
                <w:sz w:val="16"/>
                <w:szCs w:val="16"/>
                <w:u w:val="single"/>
              </w:rPr>
            </w:pPr>
            <w:r w:rsidRPr="003B4666">
              <w:rPr>
                <w:sz w:val="16"/>
                <w:szCs w:val="16"/>
                <w:u w:val="single"/>
              </w:rPr>
              <w:t>Definition</w:t>
            </w:r>
          </w:p>
        </w:tc>
      </w:tr>
      <w:tr w:rsidR="00BA5C95" w:rsidTr="001D5C80">
        <w:trPr>
          <w:trHeight w:val="144"/>
        </w:trPr>
        <w:tc>
          <w:tcPr>
            <w:tcW w:w="510" w:type="dxa"/>
            <w:tcBorders>
              <w:top w:val="single" w:sz="4" w:space="0" w:color="auto"/>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u w:val="single"/>
              </w:rPr>
            </w:pPr>
            <w:r w:rsidRPr="003B4666">
              <w:rPr>
                <w:sz w:val="16"/>
                <w:szCs w:val="16"/>
                <w:u w:val="single"/>
              </w:rPr>
              <w:t>Transmission Accumulated Deferred Taxes</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9D0CB2" w:rsidP="001D5C80">
            <w:pPr>
              <w:spacing w:after="0"/>
              <w:rPr>
                <w:color w:val="000000"/>
                <w:sz w:val="16"/>
                <w:szCs w:val="16"/>
              </w:rPr>
            </w:pPr>
            <w:r w:rsidRPr="003B4666">
              <w:rPr>
                <w:color w:val="000000"/>
                <w:sz w:val="16"/>
                <w:szCs w:val="16"/>
              </w:rPr>
              <w:t>Transmission Related Accumulated Deferred Income Taxes</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sz w:val="16"/>
                <w:szCs w:val="16"/>
              </w:rPr>
            </w:pPr>
            <w:r w:rsidRPr="003B4666">
              <w:rPr>
                <w:sz w:val="16"/>
                <w:szCs w:val="16"/>
              </w:rPr>
              <w:t>shall equal the electric balance of Total Accumulated Deferred</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sz w:val="16"/>
                <w:szCs w:val="16"/>
              </w:rPr>
            </w:pPr>
            <w:r w:rsidRPr="003B4666">
              <w:rPr>
                <w:sz w:val="16"/>
                <w:szCs w:val="16"/>
              </w:rPr>
              <w:t xml:space="preserve">Income Taxes (FERC Accounts 190, 55,281, 282, and 283 net of </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sz w:val="16"/>
                <w:szCs w:val="16"/>
              </w:rPr>
            </w:pPr>
            <w:r w:rsidRPr="003B4666">
              <w:rPr>
                <w:sz w:val="16"/>
                <w:szCs w:val="16"/>
              </w:rPr>
              <w:t xml:space="preserve">stranded costs), multiplied by the Gross Transmission Plant </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  Total (Sum of line 2 - Line 5)</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bottom w:val="nil"/>
              <w:right w:val="nil"/>
            </w:tcBorders>
            <w:noWrap/>
            <w:vAlign w:val="center"/>
          </w:tcPr>
          <w:p w:rsidR="006E7D59" w:rsidRPr="003B4666" w:rsidRDefault="009D0CB2" w:rsidP="001D5C80">
            <w:pPr>
              <w:spacing w:after="0"/>
              <w:rPr>
                <w:sz w:val="16"/>
                <w:szCs w:val="16"/>
              </w:rPr>
            </w:pPr>
            <w:r w:rsidRPr="003B4666">
              <w:rPr>
                <w:sz w:val="16"/>
                <w:szCs w:val="16"/>
              </w:rPr>
              <w:t>Allocation Factor.</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9D0CB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FF1 232 lines 2,4,9,17</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9D0CB2" w:rsidP="001D5C80">
            <w:pPr>
              <w:spacing w:after="0"/>
              <w:rPr>
                <w:color w:val="000000"/>
                <w:sz w:val="16"/>
                <w:szCs w:val="16"/>
              </w:rPr>
            </w:pPr>
            <w:r w:rsidRPr="003B4666">
              <w:rPr>
                <w:color w:val="000000"/>
                <w:sz w:val="16"/>
                <w:szCs w:val="16"/>
              </w:rPr>
              <w:t xml:space="preserve">Transmission Related Regulatory Assets shall be Regulatory </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FF1 278.1 lines 4&amp;21(f)</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sz w:val="16"/>
                <w:szCs w:val="16"/>
              </w:rPr>
            </w:pPr>
            <w:r w:rsidRPr="003B4666">
              <w:rPr>
                <w:sz w:val="16"/>
                <w:szCs w:val="16"/>
              </w:rPr>
              <w:t>Assets net of Regulatory Liabilities multiplied by the Gross</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  Total (line 9 + Line 10)</w:t>
            </w:r>
          </w:p>
        </w:tc>
        <w:tc>
          <w:tcPr>
            <w:tcW w:w="554" w:type="dxa"/>
            <w:gridSpan w:val="2"/>
            <w:tcBorders>
              <w:top w:val="single" w:sz="4" w:space="0" w:color="000000"/>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bottom w:val="nil"/>
              <w:right w:val="nil"/>
            </w:tcBorders>
            <w:noWrap/>
            <w:vAlign w:val="center"/>
          </w:tcPr>
          <w:p w:rsidR="006E7D59" w:rsidRPr="003B4666" w:rsidRDefault="009D0CB2" w:rsidP="001D5C80">
            <w:pPr>
              <w:spacing w:after="0"/>
              <w:rPr>
                <w:sz w:val="16"/>
                <w:szCs w:val="16"/>
              </w:rPr>
            </w:pPr>
            <w:r w:rsidRPr="003B4666">
              <w:rPr>
                <w:sz w:val="16"/>
                <w:szCs w:val="16"/>
              </w:rPr>
              <w:t>Transmission Plant Allocation Factor.</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9D0CB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9D0CB2" w:rsidP="001D5C80">
            <w:pPr>
              <w:spacing w:after="0"/>
              <w:rPr>
                <w:color w:val="000000"/>
                <w:sz w:val="16"/>
                <w:szCs w:val="16"/>
              </w:rPr>
            </w:pPr>
            <w:r w:rsidRPr="003B4666">
              <w:rPr>
                <w:color w:val="000000"/>
                <w:sz w:val="16"/>
                <w:szCs w:val="16"/>
              </w:rPr>
              <w:t xml:space="preserve">Transmission Related Prepayments shall be the product of </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FF1 263 lines 2 &amp; 9 (h)</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color w:val="000000"/>
                <w:sz w:val="16"/>
                <w:szCs w:val="16"/>
              </w:rPr>
            </w:pPr>
            <w:r w:rsidRPr="003B4666">
              <w:rPr>
                <w:color w:val="000000"/>
                <w:sz w:val="16"/>
                <w:szCs w:val="16"/>
              </w:rPr>
              <w:t xml:space="preserve">Prepayments excluding Federal and State taxes </w:t>
            </w:r>
            <w:r w:rsidRPr="003B4666">
              <w:rPr>
                <w:color w:val="000000"/>
                <w:sz w:val="16"/>
                <w:szCs w:val="16"/>
              </w:rPr>
              <w:t>multiplied by</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Total Prepayments </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9D0CB2"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9D0CB2"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color w:val="000000"/>
                <w:sz w:val="16"/>
                <w:szCs w:val="16"/>
              </w:rPr>
            </w:pPr>
            <w:r w:rsidRPr="003B4666">
              <w:rPr>
                <w:color w:val="000000"/>
                <w:sz w:val="16"/>
                <w:szCs w:val="16"/>
              </w:rPr>
              <w:t>the Gross Electric Plant Allocation Factor and further</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bottom w:val="nil"/>
              <w:right w:val="nil"/>
            </w:tcBorders>
            <w:noWrap/>
            <w:vAlign w:val="center"/>
          </w:tcPr>
          <w:p w:rsidR="006E7D59" w:rsidRPr="003B4666" w:rsidRDefault="009D0CB2" w:rsidP="001D5C80">
            <w:pPr>
              <w:spacing w:after="0"/>
              <w:rPr>
                <w:color w:val="000000"/>
                <w:sz w:val="16"/>
                <w:szCs w:val="16"/>
              </w:rPr>
            </w:pPr>
            <w:r w:rsidRPr="003B4666">
              <w:rPr>
                <w:color w:val="000000"/>
                <w:sz w:val="16"/>
                <w:szCs w:val="16"/>
              </w:rPr>
              <w:t>multiplied by the Gross Transmission Plant Allocation Factor.</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9D0CB2" w:rsidP="001D5C80">
            <w:pPr>
              <w:spacing w:after="0"/>
              <w:rPr>
                <w:color w:val="000000"/>
                <w:sz w:val="16"/>
                <w:szCs w:val="16"/>
              </w:rPr>
            </w:pPr>
            <w:r w:rsidRPr="003B4666">
              <w:rPr>
                <w:color w:val="000000"/>
                <w:sz w:val="16"/>
                <w:szCs w:val="16"/>
              </w:rPr>
              <w:t>Transmission Related Materials and Supplies shall equal: (i)</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FF1 227.8</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sz w:val="16"/>
                <w:szCs w:val="16"/>
              </w:rPr>
            </w:pPr>
            <w:r w:rsidRPr="003B4666">
              <w:rPr>
                <w:sz w:val="16"/>
                <w:szCs w:val="16"/>
              </w:rPr>
              <w:t>the balance of Materials and Supplies assigned to</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9D0CB2"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9D0CB2"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FF1 227.5</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9D0CB2"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sz w:val="16"/>
                <w:szCs w:val="16"/>
              </w:rPr>
            </w:pPr>
            <w:r w:rsidRPr="003B4666">
              <w:rPr>
                <w:sz w:val="16"/>
                <w:szCs w:val="16"/>
              </w:rPr>
              <w:t>assigned to Construction multiplied by the Gross Electric</w:t>
            </w:r>
          </w:p>
        </w:tc>
      </w:tr>
      <w:tr w:rsidR="00BA5C95" w:rsidTr="001D5C80">
        <w:trPr>
          <w:trHeight w:val="27"/>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sz w:val="16"/>
                <w:szCs w:val="16"/>
              </w:rPr>
            </w:pPr>
            <w:r w:rsidRPr="003B4666">
              <w:rPr>
                <w:sz w:val="16"/>
                <w:szCs w:val="16"/>
              </w:rPr>
              <w:t>Plant Allocation Factor and further multiplied by Gross</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bottom w:val="nil"/>
              <w:right w:val="nil"/>
            </w:tcBorders>
            <w:noWrap/>
            <w:vAlign w:val="center"/>
          </w:tcPr>
          <w:p w:rsidR="006E7D59" w:rsidRPr="003B4666" w:rsidRDefault="009D0CB2" w:rsidP="001D5C80">
            <w:pPr>
              <w:spacing w:after="0"/>
              <w:rPr>
                <w:color w:val="000000"/>
                <w:sz w:val="16"/>
                <w:szCs w:val="16"/>
              </w:rPr>
            </w:pPr>
            <w:r w:rsidRPr="003B4666">
              <w:rPr>
                <w:color w:val="000000"/>
                <w:sz w:val="16"/>
                <w:szCs w:val="16"/>
              </w:rPr>
              <w:t>Transmission Plant Allocation Factor.</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9D0CB2" w:rsidP="001D5C80">
            <w:pPr>
              <w:spacing w:after="0"/>
              <w:rPr>
                <w:color w:val="000000"/>
                <w:sz w:val="16"/>
                <w:szCs w:val="16"/>
              </w:rPr>
            </w:pPr>
            <w:r w:rsidRPr="003B4666">
              <w:rPr>
                <w:color w:val="000000"/>
                <w:sz w:val="16"/>
                <w:szCs w:val="16"/>
              </w:rPr>
              <w:t>Transmission Related Cash Working Capital shall be an</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right w:val="nil"/>
            </w:tcBorders>
            <w:noWrap/>
            <w:vAlign w:val="center"/>
          </w:tcPr>
          <w:p w:rsidR="006E7D59" w:rsidRPr="003B4666" w:rsidRDefault="009D0CB2" w:rsidP="001D5C80">
            <w:pPr>
              <w:spacing w:after="0"/>
              <w:rPr>
                <w:sz w:val="16"/>
                <w:szCs w:val="16"/>
              </w:rPr>
            </w:pPr>
            <w:r w:rsidRPr="003B4666">
              <w:rPr>
                <w:sz w:val="16"/>
                <w:szCs w:val="16"/>
              </w:rPr>
              <w:t>allowance equal to the product of: (i) 12.5% (45 days/ 360 days = 12.5%)</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left w:val="nil"/>
              <w:bottom w:val="nil"/>
              <w:right w:val="nil"/>
            </w:tcBorders>
            <w:noWrap/>
            <w:vAlign w:val="center"/>
          </w:tcPr>
          <w:p w:rsidR="006E7D59" w:rsidRPr="003B4666" w:rsidRDefault="009D0CB2" w:rsidP="001D5C80">
            <w:pPr>
              <w:spacing w:after="0"/>
              <w:rPr>
                <w:sz w:val="16"/>
                <w:szCs w:val="16"/>
              </w:rPr>
            </w:pPr>
            <w:r w:rsidRPr="003B4666">
              <w:rPr>
                <w:sz w:val="16"/>
                <w:szCs w:val="16"/>
              </w:rPr>
              <w:t>multiplied by (ii) Transmission Operation and Maintenance Expense.</w:t>
            </w: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  Total (line 26 * line 27)</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9D0CB2"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2674"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838"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192"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7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30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1056"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343" w:type="dxa"/>
            <w:tcBorders>
              <w:top w:val="nil"/>
              <w:left w:val="nil"/>
              <w:bottom w:val="nil"/>
              <w:right w:val="nil"/>
            </w:tcBorders>
            <w:noWrap/>
            <w:vAlign w:val="center"/>
          </w:tcPr>
          <w:p w:rsidR="006E7D59" w:rsidRPr="003B4666" w:rsidRDefault="009D0CB2" w:rsidP="001D5C80">
            <w:pPr>
              <w:spacing w:after="0"/>
              <w:rPr>
                <w:sz w:val="16"/>
                <w:szCs w:val="16"/>
              </w:rPr>
            </w:pPr>
          </w:p>
        </w:tc>
      </w:tr>
    </w:tbl>
    <w:p w:rsidR="006E7D59" w:rsidRPr="00512488" w:rsidRDefault="009D0CB2" w:rsidP="001D5C80">
      <w:pPr>
        <w:spacing w:after="0"/>
        <w:rPr>
          <w:rFonts w:cs="Tahoma"/>
          <w:color w:val="000000"/>
          <w:sz w:val="16"/>
          <w:szCs w:val="16"/>
        </w:rPr>
      </w:pPr>
    </w:p>
    <w:p w:rsidR="006E7D59" w:rsidRPr="00512488" w:rsidRDefault="009D0CB2"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BA5C95" w:rsidTr="001D5C80">
        <w:trPr>
          <w:trHeight w:val="144"/>
        </w:trPr>
        <w:tc>
          <w:tcPr>
            <w:tcW w:w="55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Attachment 1</w:t>
            </w:r>
          </w:p>
        </w:tc>
      </w:tr>
      <w:tr w:rsidR="00BA5C95" w:rsidTr="001D5C80">
        <w:trPr>
          <w:trHeight w:val="216"/>
        </w:trPr>
        <w:tc>
          <w:tcPr>
            <w:tcW w:w="55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Schedule  8</w:t>
            </w:r>
          </w:p>
        </w:tc>
      </w:tr>
      <w:tr w:rsidR="00BA5C95" w:rsidTr="001D5C80">
        <w:trPr>
          <w:trHeight w:val="171"/>
        </w:trPr>
        <w:tc>
          <w:tcPr>
            <w:tcW w:w="55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BA5C95" w:rsidTr="001D5C80">
        <w:trPr>
          <w:trHeight w:val="225"/>
        </w:trPr>
        <w:tc>
          <w:tcPr>
            <w:tcW w:w="799" w:type="dxa"/>
            <w:tcBorders>
              <w:top w:val="nil"/>
              <w:left w:val="nil"/>
              <w:bottom w:val="nil"/>
              <w:right w:val="nil"/>
            </w:tcBorders>
            <w:noWrap/>
            <w:vAlign w:val="center"/>
          </w:tcPr>
          <w:p w:rsidR="006E7D59" w:rsidRPr="003B4666" w:rsidRDefault="009D0CB2" w:rsidP="001D5C80">
            <w:pPr>
              <w:spacing w:after="0"/>
              <w:rPr>
                <w:sz w:val="16"/>
                <w:szCs w:val="16"/>
              </w:rPr>
            </w:pPr>
          </w:p>
        </w:tc>
        <w:tc>
          <w:tcPr>
            <w:tcW w:w="4481" w:type="dxa"/>
            <w:tcBorders>
              <w:top w:val="nil"/>
              <w:left w:val="nil"/>
              <w:bottom w:val="nil"/>
              <w:right w:val="nil"/>
            </w:tcBorders>
            <w:noWrap/>
            <w:vAlign w:val="center"/>
          </w:tcPr>
          <w:p w:rsidR="006E7D59" w:rsidRPr="003B4666" w:rsidRDefault="009D0CB2" w:rsidP="001D5C80">
            <w:pPr>
              <w:spacing w:after="0"/>
              <w:rPr>
                <w:strike/>
                <w:sz w:val="16"/>
                <w:szCs w:val="16"/>
              </w:rPr>
            </w:pPr>
          </w:p>
        </w:tc>
        <w:tc>
          <w:tcPr>
            <w:tcW w:w="840" w:type="dxa"/>
            <w:noWrap/>
            <w:vAlign w:val="center"/>
          </w:tcPr>
          <w:p w:rsidR="006E7D59" w:rsidRPr="003B4666" w:rsidRDefault="009D0CB2" w:rsidP="001D5C80">
            <w:pPr>
              <w:spacing w:after="0"/>
              <w:rPr>
                <w:b/>
                <w:bCs/>
                <w:sz w:val="16"/>
                <w:szCs w:val="16"/>
              </w:rPr>
            </w:pPr>
          </w:p>
        </w:tc>
      </w:tr>
      <w:tr w:rsidR="00BA5C95" w:rsidTr="001D5C80">
        <w:trPr>
          <w:trHeight w:val="70"/>
        </w:trPr>
        <w:tc>
          <w:tcPr>
            <w:tcW w:w="799" w:type="dxa"/>
            <w:tcBorders>
              <w:top w:val="nil"/>
              <w:left w:val="nil"/>
              <w:bottom w:val="nil"/>
              <w:right w:val="nil"/>
            </w:tcBorders>
            <w:shd w:val="clear" w:color="auto" w:fill="FFFFCC"/>
            <w:noWrap/>
            <w:vAlign w:val="center"/>
          </w:tcPr>
          <w:p w:rsidR="006E7D59" w:rsidRPr="003B4666" w:rsidRDefault="009D0CB2"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9D0CB2"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9D0CB2" w:rsidP="001D5C80">
            <w:pPr>
              <w:spacing w:after="0"/>
              <w:jc w:val="center"/>
              <w:rPr>
                <w:sz w:val="16"/>
                <w:szCs w:val="16"/>
              </w:rPr>
            </w:pPr>
            <w:r w:rsidRPr="003B4666">
              <w:rPr>
                <w:b/>
                <w:bCs/>
                <w:sz w:val="16"/>
                <w:szCs w:val="16"/>
              </w:rPr>
              <w:t>0</w:t>
            </w:r>
          </w:p>
        </w:tc>
      </w:tr>
    </w:tbl>
    <w:p w:rsidR="006E7D59" w:rsidRPr="00512488" w:rsidRDefault="009D0CB2"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BA5C95"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9D0CB2" w:rsidP="001D5C80">
            <w:pPr>
              <w:spacing w:after="0"/>
              <w:jc w:val="center"/>
              <w:rPr>
                <w:sz w:val="16"/>
                <w:szCs w:val="16"/>
                <w:u w:val="single"/>
              </w:rPr>
            </w:pPr>
            <w:r w:rsidRPr="003B4666">
              <w:rPr>
                <w:sz w:val="16"/>
                <w:szCs w:val="16"/>
              </w:rPr>
              <w:t>Line No.</w:t>
            </w:r>
          </w:p>
        </w:tc>
      </w:tr>
      <w:tr w:rsidR="00BA5C95" w:rsidTr="001D5C80">
        <w:trPr>
          <w:trHeight w:val="144"/>
        </w:trPr>
        <w:tc>
          <w:tcPr>
            <w:tcW w:w="630" w:type="dxa"/>
            <w:tcBorders>
              <w:top w:val="single" w:sz="4" w:space="0" w:color="auto"/>
              <w:left w:val="nil"/>
              <w:bottom w:val="nil"/>
              <w:right w:val="nil"/>
            </w:tcBorders>
            <w:noWrap/>
          </w:tcPr>
          <w:p w:rsidR="006E7D59" w:rsidRPr="003B4666" w:rsidRDefault="009D0CB2" w:rsidP="001D5C80">
            <w:pPr>
              <w:spacing w:after="0"/>
              <w:rPr>
                <w:sz w:val="16"/>
                <w:szCs w:val="16"/>
              </w:rPr>
            </w:pPr>
            <w:r w:rsidRPr="003B4666">
              <w:rPr>
                <w:sz w:val="16"/>
                <w:szCs w:val="16"/>
              </w:rPr>
              <w:t>1</w:t>
            </w:r>
          </w:p>
        </w:tc>
        <w:tc>
          <w:tcPr>
            <w:tcW w:w="10724" w:type="dxa"/>
            <w:gridSpan w:val="2"/>
          </w:tcPr>
          <w:p w:rsidR="006E7D59" w:rsidRPr="003B4666" w:rsidRDefault="009D0CB2"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w:t>
            </w:r>
          </w:p>
        </w:tc>
        <w:tc>
          <w:tcPr>
            <w:tcW w:w="464" w:type="dxa"/>
          </w:tcPr>
          <w:p w:rsidR="006E7D59" w:rsidRPr="003B4666" w:rsidRDefault="009D0CB2" w:rsidP="001D5C80">
            <w:pPr>
              <w:spacing w:after="0"/>
              <w:ind w:right="-108"/>
              <w:rPr>
                <w:strike/>
                <w:color w:val="000000"/>
                <w:sz w:val="16"/>
                <w:szCs w:val="16"/>
              </w:rPr>
            </w:pPr>
          </w:p>
        </w:tc>
        <w:tc>
          <w:tcPr>
            <w:tcW w:w="10260" w:type="dxa"/>
          </w:tcPr>
          <w:p w:rsidR="006E7D59" w:rsidRPr="003B4666" w:rsidRDefault="009D0CB2"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w:t>
            </w:r>
          </w:p>
        </w:tc>
        <w:tc>
          <w:tcPr>
            <w:tcW w:w="464" w:type="dxa"/>
          </w:tcPr>
          <w:p w:rsidR="006E7D59" w:rsidRPr="003B4666" w:rsidRDefault="009D0CB2" w:rsidP="001D5C80">
            <w:pPr>
              <w:spacing w:after="0"/>
              <w:ind w:right="-108"/>
              <w:rPr>
                <w:sz w:val="16"/>
                <w:szCs w:val="16"/>
              </w:rPr>
            </w:pPr>
          </w:p>
        </w:tc>
        <w:tc>
          <w:tcPr>
            <w:tcW w:w="10260" w:type="dxa"/>
          </w:tcPr>
          <w:p w:rsidR="006E7D59" w:rsidRPr="003B4666" w:rsidRDefault="009D0CB2" w:rsidP="001D5C80">
            <w:pPr>
              <w:spacing w:after="0"/>
              <w:rPr>
                <w:sz w:val="16"/>
                <w:szCs w:val="16"/>
              </w:rPr>
            </w:pP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4</w:t>
            </w:r>
          </w:p>
        </w:tc>
        <w:tc>
          <w:tcPr>
            <w:tcW w:w="464" w:type="dxa"/>
          </w:tcPr>
          <w:p w:rsidR="006E7D59" w:rsidRPr="003B4666" w:rsidRDefault="009D0CB2"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9D0CB2"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5</w:t>
            </w:r>
          </w:p>
        </w:tc>
        <w:tc>
          <w:tcPr>
            <w:tcW w:w="464" w:type="dxa"/>
          </w:tcPr>
          <w:p w:rsidR="006E7D59" w:rsidRPr="003B4666" w:rsidRDefault="009D0CB2" w:rsidP="001D5C80">
            <w:pPr>
              <w:spacing w:after="0"/>
              <w:ind w:right="-108"/>
              <w:jc w:val="right"/>
              <w:rPr>
                <w:sz w:val="16"/>
                <w:szCs w:val="16"/>
              </w:rPr>
            </w:pPr>
          </w:p>
        </w:tc>
        <w:tc>
          <w:tcPr>
            <w:tcW w:w="10260" w:type="dxa"/>
          </w:tcPr>
          <w:p w:rsidR="006E7D59" w:rsidRPr="003B4666" w:rsidRDefault="009D0CB2"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6</w:t>
            </w:r>
          </w:p>
        </w:tc>
        <w:tc>
          <w:tcPr>
            <w:tcW w:w="464" w:type="dxa"/>
          </w:tcPr>
          <w:p w:rsidR="006E7D59" w:rsidRPr="003B4666" w:rsidRDefault="009D0CB2" w:rsidP="001D5C80">
            <w:pPr>
              <w:spacing w:after="0"/>
              <w:ind w:right="-108"/>
              <w:jc w:val="right"/>
              <w:rPr>
                <w:sz w:val="16"/>
                <w:szCs w:val="16"/>
              </w:rPr>
            </w:pPr>
          </w:p>
        </w:tc>
        <w:tc>
          <w:tcPr>
            <w:tcW w:w="10260" w:type="dxa"/>
          </w:tcPr>
          <w:p w:rsidR="006E7D59" w:rsidRPr="003B4666" w:rsidRDefault="009D0CB2"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7</w:t>
            </w:r>
          </w:p>
        </w:tc>
        <w:tc>
          <w:tcPr>
            <w:tcW w:w="464" w:type="dxa"/>
          </w:tcPr>
          <w:p w:rsidR="006E7D59" w:rsidRPr="003B4666" w:rsidRDefault="009D0CB2" w:rsidP="001D5C80">
            <w:pPr>
              <w:spacing w:after="0"/>
              <w:ind w:right="-108"/>
              <w:jc w:val="right"/>
              <w:rPr>
                <w:sz w:val="16"/>
                <w:szCs w:val="16"/>
              </w:rPr>
            </w:pPr>
          </w:p>
        </w:tc>
        <w:tc>
          <w:tcPr>
            <w:tcW w:w="10260" w:type="dxa"/>
          </w:tcPr>
          <w:p w:rsidR="006E7D59" w:rsidRPr="003B4666" w:rsidRDefault="009D0CB2" w:rsidP="001D5C80">
            <w:pPr>
              <w:spacing w:after="0"/>
              <w:rPr>
                <w:sz w:val="16"/>
                <w:szCs w:val="16"/>
              </w:rPr>
            </w:pPr>
            <w:r w:rsidRPr="003B4666">
              <w:rPr>
                <w:sz w:val="16"/>
                <w:szCs w:val="16"/>
              </w:rPr>
              <w:t>any loss or gain on reacquired debt.</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8</w:t>
            </w:r>
          </w:p>
        </w:tc>
        <w:tc>
          <w:tcPr>
            <w:tcW w:w="464" w:type="dxa"/>
          </w:tcPr>
          <w:p w:rsidR="006E7D59" w:rsidRPr="003B4666" w:rsidRDefault="009D0CB2"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9D0CB2"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actual </w:t>
            </w:r>
            <w:r w:rsidRPr="003B4666">
              <w:rPr>
                <w:color w:val="000000"/>
                <w:sz w:val="16"/>
                <w:szCs w:val="16"/>
              </w:rPr>
              <w:t>preferred stock to total capital at year-end;</w:t>
            </w:r>
          </w:p>
        </w:tc>
      </w:tr>
      <w:tr w:rsidR="00BA5C95" w:rsidTr="001D5C80">
        <w:trPr>
          <w:trHeight w:val="81"/>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9</w:t>
            </w:r>
          </w:p>
        </w:tc>
        <w:tc>
          <w:tcPr>
            <w:tcW w:w="464" w:type="dxa"/>
          </w:tcPr>
          <w:p w:rsidR="006E7D59" w:rsidRPr="003B4666" w:rsidRDefault="009D0CB2" w:rsidP="001D5C80">
            <w:pPr>
              <w:spacing w:after="0"/>
              <w:ind w:right="-108"/>
              <w:jc w:val="right"/>
              <w:rPr>
                <w:sz w:val="16"/>
                <w:szCs w:val="16"/>
              </w:rPr>
            </w:pPr>
          </w:p>
        </w:tc>
        <w:tc>
          <w:tcPr>
            <w:tcW w:w="10260" w:type="dxa"/>
          </w:tcPr>
          <w:p w:rsidR="006E7D59" w:rsidRPr="003B4666" w:rsidRDefault="009D0CB2" w:rsidP="001D5C80">
            <w:pPr>
              <w:spacing w:after="0"/>
              <w:rPr>
                <w:sz w:val="16"/>
                <w:szCs w:val="16"/>
              </w:rPr>
            </w:pP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10</w:t>
            </w:r>
          </w:p>
        </w:tc>
        <w:tc>
          <w:tcPr>
            <w:tcW w:w="464" w:type="dxa"/>
          </w:tcPr>
          <w:p w:rsidR="006E7D59" w:rsidRPr="003B4666" w:rsidRDefault="009D0CB2" w:rsidP="001D5C80">
            <w:pPr>
              <w:spacing w:after="0"/>
              <w:ind w:right="-108"/>
              <w:jc w:val="right"/>
              <w:rPr>
                <w:sz w:val="16"/>
                <w:szCs w:val="16"/>
              </w:rPr>
            </w:pPr>
            <w:r w:rsidRPr="003B4666">
              <w:rPr>
                <w:sz w:val="16"/>
                <w:szCs w:val="16"/>
              </w:rPr>
              <w:t>(iii)</w:t>
            </w:r>
          </w:p>
        </w:tc>
        <w:tc>
          <w:tcPr>
            <w:tcW w:w="10260" w:type="dxa"/>
          </w:tcPr>
          <w:p w:rsidR="006E7D59" w:rsidRPr="003B4666" w:rsidRDefault="009D0CB2"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11</w:t>
            </w:r>
          </w:p>
        </w:tc>
        <w:tc>
          <w:tcPr>
            <w:tcW w:w="464" w:type="dxa"/>
          </w:tcPr>
          <w:p w:rsidR="006E7D59" w:rsidRPr="003B4666" w:rsidRDefault="009D0CB2" w:rsidP="001D5C80">
            <w:pPr>
              <w:spacing w:after="0"/>
              <w:rPr>
                <w:sz w:val="16"/>
                <w:szCs w:val="16"/>
              </w:rPr>
            </w:pPr>
          </w:p>
        </w:tc>
        <w:tc>
          <w:tcPr>
            <w:tcW w:w="10260" w:type="dxa"/>
          </w:tcPr>
          <w:p w:rsidR="006E7D59" w:rsidRPr="003B4666" w:rsidRDefault="009D0CB2" w:rsidP="001D5C80">
            <w:pPr>
              <w:spacing w:after="0"/>
              <w:rPr>
                <w:color w:val="000000"/>
                <w:sz w:val="16"/>
                <w:szCs w:val="16"/>
              </w:rPr>
            </w:pPr>
            <w:r w:rsidRPr="003B4666">
              <w:rPr>
                <w:color w:val="000000"/>
                <w:sz w:val="16"/>
                <w:szCs w:val="16"/>
              </w:rPr>
              <w:t>shall not exceed fifty percent (50%).</w:t>
            </w:r>
          </w:p>
        </w:tc>
      </w:tr>
    </w:tbl>
    <w:p w:rsidR="006E7D59" w:rsidRPr="00512488" w:rsidRDefault="009D0CB2"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36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4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66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4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36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4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4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right w:val="nil"/>
            </w:tcBorders>
            <w:noWrap/>
            <w:vAlign w:val="bottom"/>
          </w:tcPr>
          <w:p w:rsidR="006E7D59" w:rsidRPr="003B4666" w:rsidRDefault="009D0CB2"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541" w:type="dxa"/>
            <w:tcBorders>
              <w:top w:val="nil"/>
              <w:left w:val="nil"/>
              <w:right w:val="nil"/>
            </w:tcBorders>
            <w:noWrap/>
            <w:vAlign w:val="bottom"/>
          </w:tcPr>
          <w:p w:rsidR="006E7D59" w:rsidRPr="003B4666" w:rsidRDefault="009D0CB2"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9D0CB2" w:rsidP="001D5C80">
            <w:pPr>
              <w:spacing w:after="0"/>
              <w:jc w:val="center"/>
              <w:rPr>
                <w:sz w:val="16"/>
                <w:szCs w:val="16"/>
              </w:rPr>
            </w:pPr>
          </w:p>
        </w:tc>
        <w:tc>
          <w:tcPr>
            <w:tcW w:w="892" w:type="dxa"/>
            <w:tcBorders>
              <w:top w:val="nil"/>
              <w:left w:val="nil"/>
              <w:right w:val="nil"/>
            </w:tcBorders>
            <w:noWrap/>
            <w:vAlign w:val="bottom"/>
          </w:tcPr>
          <w:p w:rsidR="006E7D59" w:rsidRPr="003B4666" w:rsidRDefault="009D0CB2"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left w:val="nil"/>
              <w:right w:val="nil"/>
            </w:tcBorders>
            <w:noWrap/>
            <w:vAlign w:val="bottom"/>
          </w:tcPr>
          <w:p w:rsidR="006E7D59" w:rsidRPr="003B4666" w:rsidRDefault="009D0CB2"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10" w:type="dxa"/>
            <w:tcBorders>
              <w:top w:val="nil"/>
              <w:left w:val="nil"/>
              <w:right w:val="nil"/>
            </w:tcBorders>
            <w:noWrap/>
            <w:vAlign w:val="bottom"/>
          </w:tcPr>
          <w:p w:rsidR="006E7D59" w:rsidRPr="003B4666" w:rsidRDefault="009D0CB2" w:rsidP="001D5C80">
            <w:pPr>
              <w:spacing w:after="0"/>
              <w:jc w:val="center"/>
              <w:rPr>
                <w:sz w:val="16"/>
                <w:szCs w:val="16"/>
              </w:rPr>
            </w:pPr>
            <w:r w:rsidRPr="003B4666">
              <w:rPr>
                <w:sz w:val="16"/>
                <w:szCs w:val="16"/>
              </w:rPr>
              <w:t>EQUITY</w:t>
            </w: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892" w:type="dxa"/>
            <w:tcBorders>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10" w:type="dxa"/>
            <w:tcBorders>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PORTION</w:t>
            </w: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36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9D0CB2"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366" w:type="dxa"/>
            <w:tcBorders>
              <w:top w:val="nil"/>
              <w:left w:val="nil"/>
              <w:bottom w:val="nil"/>
              <w:right w:val="nil"/>
            </w:tcBorders>
            <w:noWrap/>
            <w:vAlign w:val="bottom"/>
          </w:tcPr>
          <w:p w:rsidR="006E7D59" w:rsidRPr="003B4666" w:rsidRDefault="009D0CB2"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9D0CB2"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9D0CB2"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9D0CB2"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366" w:type="dxa"/>
            <w:tcBorders>
              <w:top w:val="nil"/>
              <w:left w:val="nil"/>
              <w:bottom w:val="nil"/>
              <w:right w:val="nil"/>
            </w:tcBorders>
            <w:noWrap/>
            <w:vAlign w:val="bottom"/>
          </w:tcPr>
          <w:p w:rsidR="006E7D59" w:rsidRPr="003B4666" w:rsidRDefault="009D0CB2"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9D0CB2"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9D0CB2"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9D0CB2"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1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9D0CB2" w:rsidP="001D5C80">
            <w:pPr>
              <w:spacing w:after="0"/>
              <w:rPr>
                <w:color w:val="FF0000"/>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366" w:type="dxa"/>
            <w:tcBorders>
              <w:top w:val="nil"/>
              <w:left w:val="nil"/>
              <w:bottom w:val="nil"/>
              <w:right w:val="nil"/>
            </w:tcBorders>
            <w:noWrap/>
            <w:vAlign w:val="bottom"/>
          </w:tcPr>
          <w:p w:rsidR="006E7D59" w:rsidRPr="003B4666" w:rsidRDefault="009D0CB2"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9D0CB2"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9D0CB2"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9D0CB2"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1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36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9D0CB2"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270"/>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36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9D0CB2"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41"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9D0CB2" w:rsidP="001D5C80">
            <w:pPr>
              <w:spacing w:after="0"/>
              <w:rPr>
                <w:sz w:val="16"/>
                <w:szCs w:val="16"/>
              </w:rPr>
            </w:pPr>
          </w:p>
        </w:tc>
        <w:tc>
          <w:tcPr>
            <w:tcW w:w="89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1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bl>
    <w:p w:rsidR="006E7D59" w:rsidRPr="00512488" w:rsidRDefault="009D0CB2"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BA5C95" w:rsidTr="001D5C80">
        <w:trPr>
          <w:trHeight w:val="72"/>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1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96"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72"/>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1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96"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72"/>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1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7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96"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72"/>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9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5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1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5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7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1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96"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BA5C95" w:rsidTr="001D5C80">
        <w:trPr>
          <w:trHeight w:val="144"/>
        </w:trPr>
        <w:tc>
          <w:tcPr>
            <w:tcW w:w="37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9D0CB2"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9D0CB2"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9D0CB2"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9D0CB2"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t>
            </w:r>
          </w:p>
        </w:tc>
      </w:tr>
      <w:tr w:rsidR="00BA5C95" w:rsidTr="001D5C80">
        <w:trPr>
          <w:trHeight w:val="144"/>
        </w:trPr>
        <w:tc>
          <w:tcPr>
            <w:tcW w:w="37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t>
            </w:r>
          </w:p>
        </w:tc>
      </w:tr>
      <w:tr w:rsidR="00BA5C95" w:rsidTr="001D5C80">
        <w:trPr>
          <w:trHeight w:val="144"/>
        </w:trPr>
        <w:tc>
          <w:tcPr>
            <w:tcW w:w="37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123"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BA5C95" w:rsidTr="001D5C80">
        <w:trPr>
          <w:trHeight w:val="144"/>
        </w:trPr>
        <w:tc>
          <w:tcPr>
            <w:tcW w:w="270" w:type="dxa"/>
            <w:tcBorders>
              <w:top w:val="nil"/>
              <w:left w:val="nil"/>
              <w:bottom w:val="nil"/>
              <w:right w:val="nil"/>
            </w:tcBorders>
            <w:noWrap/>
          </w:tcPr>
          <w:p w:rsidR="006E7D59" w:rsidRPr="003B4666" w:rsidRDefault="009D0CB2"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72" w:type="dxa"/>
            <w:tcBorders>
              <w:top w:val="nil"/>
              <w:left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BA5C95" w:rsidTr="001D5C80">
        <w:trPr>
          <w:trHeight w:val="144"/>
        </w:trPr>
        <w:tc>
          <w:tcPr>
            <w:tcW w:w="270" w:type="dxa"/>
            <w:tcBorders>
              <w:top w:val="nil"/>
              <w:left w:val="nil"/>
              <w:bottom w:val="nil"/>
              <w:right w:val="nil"/>
            </w:tcBorders>
            <w:noWrap/>
          </w:tcPr>
          <w:p w:rsidR="006E7D59" w:rsidRPr="003B4666" w:rsidRDefault="009D0CB2"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72" w:type="dxa"/>
            <w:tcBorders>
              <w:left w:val="nil"/>
              <w:bottom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BA5C95" w:rsidTr="001D5C80">
        <w:trPr>
          <w:trHeight w:val="144"/>
        </w:trPr>
        <w:tc>
          <w:tcPr>
            <w:tcW w:w="27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672"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9D0CB2"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9D0CB2"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9D0CB2"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59"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160"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BA5C95" w:rsidTr="001D5C80">
        <w:trPr>
          <w:trHeight w:val="144"/>
        </w:trPr>
        <w:tc>
          <w:tcPr>
            <w:tcW w:w="630" w:type="dxa"/>
            <w:tcBorders>
              <w:top w:val="nil"/>
              <w:left w:val="nil"/>
              <w:bottom w:val="nil"/>
              <w:right w:val="nil"/>
            </w:tcBorders>
            <w:noWrap/>
            <w:vAlign w:val="center"/>
          </w:tcPr>
          <w:p w:rsidR="006E7D59" w:rsidRPr="003B4666" w:rsidRDefault="009D0CB2"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630" w:type="dxa"/>
            <w:tcBorders>
              <w:top w:val="nil"/>
              <w:left w:val="nil"/>
              <w:bottom w:val="nil"/>
              <w:right w:val="nil"/>
            </w:tcBorders>
            <w:noWrap/>
            <w:vAlign w:val="center"/>
          </w:tcPr>
          <w:p w:rsidR="006E7D59" w:rsidRPr="003B4666" w:rsidRDefault="009D0CB2"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630" w:type="dxa"/>
            <w:tcBorders>
              <w:top w:val="nil"/>
              <w:left w:val="nil"/>
              <w:bottom w:val="nil"/>
              <w:right w:val="nil"/>
            </w:tcBorders>
            <w:noWrap/>
            <w:vAlign w:val="center"/>
          </w:tcPr>
          <w:p w:rsidR="006E7D59" w:rsidRPr="003B4666" w:rsidRDefault="009D0CB2"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04"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9D0CB2"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9D0CB2"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9D0CB2"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9D0CB2"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9D0CB2" w:rsidP="001D5C80">
            <w:pPr>
              <w:spacing w:after="0"/>
              <w:rPr>
                <w:sz w:val="16"/>
                <w:szCs w:val="16"/>
              </w:rPr>
            </w:pPr>
            <w:r w:rsidRPr="003B4666">
              <w:rPr>
                <w:sz w:val="16"/>
                <w:szCs w:val="16"/>
              </w:rPr>
              <w:t>State Income Tax Rate</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9D0CB2" w:rsidP="001D5C80">
            <w:pPr>
              <w:spacing w:after="0"/>
              <w:rPr>
                <w:sz w:val="16"/>
                <w:szCs w:val="16"/>
              </w:rPr>
            </w:pP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324" w:type="dxa"/>
            <w:tcBorders>
              <w:top w:val="nil"/>
              <w:left w:val="nil"/>
              <w:bottom w:val="nil"/>
              <w:right w:val="nil"/>
            </w:tcBorders>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BA5C95" w:rsidTr="001D5C80">
        <w:trPr>
          <w:trHeight w:val="144"/>
        </w:trPr>
        <w:tc>
          <w:tcPr>
            <w:tcW w:w="646"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428" w:type="dxa"/>
            <w:tcBorders>
              <w:top w:val="nil"/>
              <w:left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BA5C95" w:rsidTr="001D5C80">
        <w:trPr>
          <w:trHeight w:val="144"/>
        </w:trPr>
        <w:tc>
          <w:tcPr>
            <w:tcW w:w="646"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428" w:type="dxa"/>
            <w:tcBorders>
              <w:left w:val="nil"/>
              <w:bottom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BA5C95" w:rsidTr="001D5C80">
        <w:trPr>
          <w:trHeight w:val="144"/>
        </w:trPr>
        <w:tc>
          <w:tcPr>
            <w:tcW w:w="646"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428"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646"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428"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646"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428"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9D0CB2"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9D0CB2"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659"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9D0CB2"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9D0CB2" w:rsidP="001D5C80">
            <w:pPr>
              <w:spacing w:after="0" w:line="120" w:lineRule="exact"/>
              <w:ind w:left="108"/>
              <w:rPr>
                <w:sz w:val="16"/>
                <w:szCs w:val="16"/>
              </w:rPr>
            </w:pPr>
          </w:p>
          <w:p w:rsidR="006E7D59" w:rsidRPr="003B4666" w:rsidRDefault="009D0CB2" w:rsidP="001D5C80">
            <w:pPr>
              <w:spacing w:after="0"/>
              <w:rPr>
                <w:sz w:val="16"/>
                <w:szCs w:val="16"/>
                <w:highlight w:val="yellow"/>
              </w:rPr>
            </w:pP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t>
            </w:r>
          </w:p>
        </w:tc>
      </w:tr>
      <w:tr w:rsidR="00BA5C95" w:rsidTr="001D5C80">
        <w:trPr>
          <w:trHeight w:val="144"/>
        </w:trPr>
        <w:tc>
          <w:tcPr>
            <w:tcW w:w="6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9D0CB2" w:rsidP="001D5C80">
            <w:pPr>
              <w:spacing w:after="0"/>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04"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7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04"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BA5C95"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9D0CB2"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9D0CB2"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9D0CB2"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9D0CB2"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9D0CB2"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9D0CB2"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9D0CB2"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9D0CB2"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3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9D0CB2"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BA5C95"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9D0CB2"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9D0CB2"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75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2" w:type="dxa"/>
            <w:tcBorders>
              <w:top w:val="nil"/>
              <w:left w:val="nil"/>
              <w:bottom w:val="nil"/>
              <w:right w:val="nil"/>
            </w:tcBorders>
            <w:noWrap/>
            <w:vAlign w:val="bottom"/>
          </w:tcPr>
          <w:p w:rsidR="006E7D59" w:rsidRPr="003B4666" w:rsidRDefault="009D0CB2" w:rsidP="001D5C80">
            <w:pPr>
              <w:spacing w:after="0"/>
              <w:jc w:val="center"/>
              <w:rPr>
                <w:b/>
                <w:bCs/>
                <w:color w:val="FF0000"/>
                <w:sz w:val="16"/>
                <w:szCs w:val="16"/>
              </w:rPr>
            </w:pPr>
          </w:p>
        </w:tc>
      </w:tr>
      <w:tr w:rsidR="00BA5C95"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781" w:type="dxa"/>
            <w:gridSpan w:val="4"/>
            <w:tcBorders>
              <w:top w:val="nil"/>
              <w:left w:val="nil"/>
              <w:right w:val="nil"/>
            </w:tcBorders>
            <w:noWrap/>
            <w:vAlign w:val="bottom"/>
          </w:tcPr>
          <w:p w:rsidR="006E7D59" w:rsidRPr="003B4666" w:rsidRDefault="009D0CB2" w:rsidP="001D5C80">
            <w:pPr>
              <w:spacing w:after="0"/>
              <w:jc w:val="center"/>
              <w:rPr>
                <w:b/>
                <w:bCs/>
                <w:sz w:val="16"/>
                <w:szCs w:val="16"/>
              </w:rPr>
            </w:pPr>
          </w:p>
        </w:tc>
        <w:tc>
          <w:tcPr>
            <w:tcW w:w="898" w:type="dxa"/>
            <w:gridSpan w:val="5"/>
            <w:tcBorders>
              <w:top w:val="nil"/>
              <w:left w:val="nil"/>
              <w:bottom w:val="single" w:sz="4" w:space="0" w:color="auto"/>
              <w:right w:val="nil"/>
            </w:tcBorders>
            <w:noWrap/>
            <w:vAlign w:val="bottom"/>
          </w:tcPr>
          <w:p w:rsidR="006E7D59" w:rsidRPr="003B4666" w:rsidRDefault="009D0CB2"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9D0CB2" w:rsidP="001D5C80">
            <w:pPr>
              <w:spacing w:after="0"/>
              <w:jc w:val="center"/>
              <w:rPr>
                <w:b/>
                <w:bCs/>
                <w:color w:val="FF0000"/>
                <w:sz w:val="16"/>
                <w:szCs w:val="16"/>
              </w:rPr>
            </w:pPr>
          </w:p>
        </w:tc>
      </w:tr>
      <w:tr w:rsidR="00BA5C95"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898" w:type="dxa"/>
            <w:gridSpan w:val="5"/>
            <w:tcBorders>
              <w:top w:val="single" w:sz="4" w:space="0" w:color="auto"/>
              <w:left w:val="nil"/>
              <w:bottom w:val="nil"/>
              <w:right w:val="nil"/>
            </w:tcBorders>
            <w:noWrap/>
            <w:vAlign w:val="bottom"/>
          </w:tcPr>
          <w:p w:rsidR="006E7D59" w:rsidRPr="003B4666" w:rsidRDefault="009D0CB2"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75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22" w:type="dxa"/>
            <w:tcBorders>
              <w:top w:val="nil"/>
              <w:left w:val="nil"/>
              <w:bottom w:val="nil"/>
              <w:right w:val="nil"/>
            </w:tcBorders>
            <w:noWrap/>
            <w:vAlign w:val="bottom"/>
          </w:tcPr>
          <w:p w:rsidR="006E7D59" w:rsidRPr="003B4666" w:rsidRDefault="009D0CB2" w:rsidP="001D5C80">
            <w:pPr>
              <w:spacing w:after="0"/>
              <w:rPr>
                <w:color w:val="FF0000"/>
                <w:sz w:val="16"/>
                <w:szCs w:val="16"/>
              </w:rPr>
            </w:pPr>
          </w:p>
        </w:tc>
      </w:tr>
      <w:tr w:rsidR="00BA5C95"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Schedule 6, page 1 of 2, Line 28</w:t>
            </w:r>
          </w:p>
        </w:tc>
      </w:tr>
      <w:tr w:rsidR="00BA5C95" w:rsidTr="001D5C80">
        <w:trPr>
          <w:trHeight w:val="60"/>
        </w:trPr>
        <w:tc>
          <w:tcPr>
            <w:tcW w:w="63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color w:val="FF0000"/>
                <w:sz w:val="16"/>
                <w:szCs w:val="16"/>
              </w:rPr>
            </w:pP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9D0CB2"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color w:val="FF0000"/>
                <w:sz w:val="16"/>
                <w:szCs w:val="16"/>
              </w:rPr>
            </w:pP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9D0CB2"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404"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73"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color w:val="FF0000"/>
                <w:sz w:val="16"/>
                <w:szCs w:val="16"/>
              </w:rPr>
            </w:pP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63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87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rPr>
          <w:rFonts w:cs="Tahoma"/>
          <w:color w:val="000000"/>
          <w:sz w:val="16"/>
          <w:szCs w:val="16"/>
        </w:rPr>
      </w:pPr>
    </w:p>
    <w:p w:rsidR="006E7D59" w:rsidRPr="00512488" w:rsidRDefault="009D0CB2" w:rsidP="001D5C80">
      <w:pPr>
        <w:spacing w:after="0"/>
        <w:rPr>
          <w:rFonts w:cs="Tahoma"/>
          <w:color w:val="000000"/>
          <w:sz w:val="16"/>
          <w:szCs w:val="16"/>
        </w:rPr>
      </w:pPr>
      <w:r w:rsidRPr="00512488">
        <w:rPr>
          <w:rFonts w:cs="Tahoma"/>
          <w:color w:val="000000"/>
          <w:sz w:val="16"/>
          <w:szCs w:val="16"/>
        </w:rPr>
        <w:br w:type="page"/>
      </w:r>
    </w:p>
    <w:tbl>
      <w:tblPr>
        <w:tblW w:w="9720" w:type="dxa"/>
        <w:tblInd w:w="18" w:type="dxa"/>
        <w:tblLook w:val="0000"/>
      </w:tblPr>
      <w:tblGrid>
        <w:gridCol w:w="5580"/>
        <w:gridCol w:w="4140"/>
      </w:tblGrid>
      <w:tr w:rsidR="00BA5C95" w:rsidTr="001D5C80">
        <w:trPr>
          <w:trHeight w:val="300"/>
        </w:trPr>
        <w:tc>
          <w:tcPr>
            <w:tcW w:w="55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4140"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Attachment 1</w:t>
            </w:r>
          </w:p>
        </w:tc>
      </w:tr>
      <w:tr w:rsidR="00BA5C95" w:rsidTr="001D5C80">
        <w:trPr>
          <w:trHeight w:val="216"/>
        </w:trPr>
        <w:tc>
          <w:tcPr>
            <w:tcW w:w="55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 xml:space="preserve">Annual Revenue Requirements of Transmission Facilities </w:t>
            </w:r>
          </w:p>
        </w:tc>
        <w:tc>
          <w:tcPr>
            <w:tcW w:w="4140"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Schedule  9</w:t>
            </w:r>
          </w:p>
        </w:tc>
      </w:tr>
      <w:tr w:rsidR="00BA5C95" w:rsidTr="001D5C80">
        <w:trPr>
          <w:trHeight w:val="171"/>
        </w:trPr>
        <w:tc>
          <w:tcPr>
            <w:tcW w:w="558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9D0CB2" w:rsidP="001D5C80">
            <w:pPr>
              <w:autoSpaceDE w:val="0"/>
              <w:autoSpaceDN w:val="0"/>
              <w:adjustRightInd w:val="0"/>
              <w:spacing w:after="0"/>
              <w:jc w:val="center"/>
              <w:rPr>
                <w:b/>
                <w:bCs/>
                <w:color w:val="000000"/>
                <w:sz w:val="16"/>
                <w:szCs w:val="16"/>
              </w:rPr>
            </w:pPr>
            <w:r w:rsidRPr="003B4666">
              <w:rPr>
                <w:b/>
                <w:bCs/>
                <w:color w:val="000000"/>
                <w:sz w:val="16"/>
                <w:szCs w:val="16"/>
              </w:rPr>
              <w:t>0</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r>
      <w:tr w:rsidR="00BA5C95" w:rsidTr="001D5C80">
        <w:trPr>
          <w:trHeight w:val="144"/>
        </w:trPr>
        <w:tc>
          <w:tcPr>
            <w:tcW w:w="360" w:type="dxa"/>
            <w:tcBorders>
              <w:top w:val="nil"/>
              <w:left w:val="nil"/>
              <w:bottom w:val="nil"/>
              <w:right w:val="nil"/>
            </w:tcBorders>
            <w:shd w:val="solid" w:color="FFFFCC" w:fill="auto"/>
          </w:tcPr>
          <w:p w:rsidR="006E7D59" w:rsidRPr="003B4666" w:rsidRDefault="009D0CB2"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r>
      <w:tr w:rsidR="00BA5C95" w:rsidTr="001D5C80">
        <w:trPr>
          <w:trHeight w:val="144"/>
        </w:trPr>
        <w:tc>
          <w:tcPr>
            <w:tcW w:w="360" w:type="dxa"/>
            <w:tcBorders>
              <w:top w:val="nil"/>
              <w:left w:val="nil"/>
              <w:bottom w:val="nil"/>
              <w:right w:val="nil"/>
            </w:tcBorders>
            <w:vAlign w:val="bottom"/>
          </w:tcPr>
          <w:p w:rsidR="006E7D59" w:rsidRPr="003B4666" w:rsidRDefault="009D0CB2"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9D0CB2"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9D0CB2" w:rsidP="001D5C80">
            <w:pPr>
              <w:spacing w:after="0"/>
              <w:jc w:val="center"/>
              <w:rPr>
                <w:sz w:val="16"/>
                <w:szCs w:val="16"/>
              </w:rPr>
            </w:pPr>
            <w:r w:rsidRPr="003B4666">
              <w:rPr>
                <w:sz w:val="16"/>
                <w:szCs w:val="16"/>
              </w:rPr>
              <w:t>(1)</w:t>
            </w:r>
          </w:p>
          <w:p w:rsidR="006E7D59" w:rsidRPr="003B4666" w:rsidRDefault="009D0CB2"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9D0CB2" w:rsidP="001D5C80">
            <w:pPr>
              <w:spacing w:after="0"/>
              <w:jc w:val="center"/>
              <w:rPr>
                <w:sz w:val="16"/>
                <w:szCs w:val="16"/>
              </w:rPr>
            </w:pPr>
            <w:r w:rsidRPr="003B4666">
              <w:rPr>
                <w:sz w:val="16"/>
                <w:szCs w:val="16"/>
              </w:rPr>
              <w:t>(2)</w:t>
            </w:r>
          </w:p>
          <w:p w:rsidR="006E7D59" w:rsidRPr="003B4666" w:rsidRDefault="009D0CB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9D0CB2" w:rsidP="001D5C80">
            <w:pPr>
              <w:spacing w:after="0"/>
              <w:jc w:val="center"/>
              <w:rPr>
                <w:sz w:val="16"/>
                <w:szCs w:val="16"/>
              </w:rPr>
            </w:pPr>
            <w:r w:rsidRPr="003B4666">
              <w:rPr>
                <w:sz w:val="16"/>
                <w:szCs w:val="16"/>
              </w:rPr>
              <w:t>(3) = (1)*(2)</w:t>
            </w:r>
          </w:p>
          <w:p w:rsidR="006E7D59" w:rsidRPr="003B4666" w:rsidRDefault="009D0CB2"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9D0CB2" w:rsidP="001D5C80">
            <w:pPr>
              <w:spacing w:after="0"/>
              <w:jc w:val="center"/>
              <w:rPr>
                <w:sz w:val="16"/>
                <w:szCs w:val="16"/>
              </w:rPr>
            </w:pPr>
            <w:r w:rsidRPr="003B4666">
              <w:rPr>
                <w:sz w:val="16"/>
                <w:szCs w:val="16"/>
              </w:rPr>
              <w:t>(4)</w:t>
            </w:r>
          </w:p>
          <w:p w:rsidR="006E7D59" w:rsidRPr="003B4666" w:rsidRDefault="009D0CB2"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9D0CB2" w:rsidP="001D5C80">
            <w:pPr>
              <w:spacing w:after="0"/>
              <w:jc w:val="center"/>
              <w:rPr>
                <w:sz w:val="16"/>
                <w:szCs w:val="16"/>
              </w:rPr>
            </w:pPr>
            <w:r w:rsidRPr="003B4666">
              <w:rPr>
                <w:sz w:val="16"/>
                <w:szCs w:val="16"/>
              </w:rPr>
              <w:t>(5) = (3)*(4)</w:t>
            </w:r>
          </w:p>
          <w:p w:rsidR="006E7D59" w:rsidRPr="003B4666" w:rsidRDefault="009D0CB2"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9D0CB2" w:rsidP="001D5C80">
            <w:pPr>
              <w:spacing w:after="0"/>
              <w:ind w:left="-6" w:right="-108"/>
              <w:jc w:val="center"/>
              <w:rPr>
                <w:sz w:val="16"/>
                <w:szCs w:val="16"/>
              </w:rPr>
            </w:pPr>
            <w:r w:rsidRPr="003B4666">
              <w:rPr>
                <w:sz w:val="16"/>
                <w:szCs w:val="16"/>
              </w:rPr>
              <w:t>FERC Form 1/</w:t>
            </w:r>
          </w:p>
          <w:p w:rsidR="006E7D59" w:rsidRPr="003B4666" w:rsidRDefault="009D0CB2" w:rsidP="001D5C80">
            <w:pPr>
              <w:spacing w:after="0"/>
              <w:ind w:left="-6" w:right="-108"/>
              <w:jc w:val="center"/>
              <w:rPr>
                <w:sz w:val="16"/>
                <w:szCs w:val="16"/>
              </w:rPr>
            </w:pPr>
            <w:r w:rsidRPr="003B4666">
              <w:rPr>
                <w:sz w:val="16"/>
                <w:szCs w:val="16"/>
              </w:rPr>
              <w:t>PSC Report</w:t>
            </w:r>
          </w:p>
          <w:p w:rsidR="006E7D59" w:rsidRPr="003B4666" w:rsidRDefault="009D0CB2"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9D0CB2"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BA5C95" w:rsidTr="001D5C80">
        <w:trPr>
          <w:trHeight w:val="144"/>
        </w:trPr>
        <w:tc>
          <w:tcPr>
            <w:tcW w:w="360" w:type="dxa"/>
            <w:tcBorders>
              <w:top w:val="single" w:sz="6" w:space="0" w:color="000000"/>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  Total (line 1+2+3+4+5)</w:t>
            </w: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BA5C95" w:rsidTr="001D5C80">
        <w:trPr>
          <w:trHeight w:val="60"/>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BA5C95" w:rsidTr="001D5C80">
        <w:trPr>
          <w:trHeight w:val="25"/>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BA5C95" w:rsidTr="001D5C80">
        <w:trPr>
          <w:trHeight w:val="63"/>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BA5C95" w:rsidTr="001D5C80">
        <w:trPr>
          <w:trHeight w:val="144"/>
        </w:trPr>
        <w:tc>
          <w:tcPr>
            <w:tcW w:w="36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9D0CB2"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9D0CB2"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9D0CB2"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9D0CB2"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9D0CB2"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9D0CB2"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9D0CB2"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BA5C95" w:rsidTr="001D5C80">
        <w:trPr>
          <w:trHeight w:val="72"/>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9D0CB2"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 xml:space="preserve">the sum of electric expenses as recorded in </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9D0CB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9D0CB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tcPr>
          <w:p w:rsidR="006E7D59" w:rsidRPr="003B4666" w:rsidRDefault="009D0CB2"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FERC Account Nos. 560, 562-574.</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tcPr>
          <w:p w:rsidR="006E7D59" w:rsidRPr="003B4666" w:rsidRDefault="009D0CB2"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tcPr>
          <w:p w:rsidR="006E7D59" w:rsidRPr="003B4666" w:rsidRDefault="009D0CB2"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9D0CB2" w:rsidP="001D5C80">
            <w:pPr>
              <w:spacing w:after="0"/>
              <w:rPr>
                <w:color w:val="000000"/>
                <w:sz w:val="16"/>
                <w:szCs w:val="16"/>
              </w:rPr>
            </w:pPr>
            <w:r w:rsidRPr="003B4666">
              <w:rPr>
                <w:color w:val="000000"/>
                <w:sz w:val="16"/>
                <w:szCs w:val="16"/>
              </w:rPr>
              <w:t>Transmission Related Administrative and General Expenses shall</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9D0CB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9D0CB2"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BA5C95" w:rsidTr="001D5C80">
        <w:trPr>
          <w:trHeight w:val="144"/>
        </w:trPr>
        <w:tc>
          <w:tcPr>
            <w:tcW w:w="360" w:type="dxa"/>
            <w:tcBorders>
              <w:top w:val="nil"/>
              <w:left w:val="nil"/>
              <w:bottom w:val="nil"/>
              <w:right w:val="nil"/>
            </w:tcBorders>
            <w:noWrap/>
          </w:tcPr>
          <w:p w:rsidR="006E7D59" w:rsidRPr="003B4666" w:rsidRDefault="009D0CB2">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9D0CB2">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9D0CB2">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D0CB2">
            <w:pPr>
              <w:spacing w:after="0"/>
              <w:rPr>
                <w:sz w:val="16"/>
                <w:szCs w:val="16"/>
              </w:rPr>
            </w:pPr>
          </w:p>
        </w:tc>
        <w:tc>
          <w:tcPr>
            <w:tcW w:w="900" w:type="dxa"/>
            <w:tcBorders>
              <w:top w:val="nil"/>
              <w:left w:val="nil"/>
              <w:bottom w:val="nil"/>
              <w:right w:val="nil"/>
            </w:tcBorders>
            <w:noWrap/>
            <w:vAlign w:val="bottom"/>
          </w:tcPr>
          <w:p w:rsidR="006E7D59" w:rsidRPr="003B4666" w:rsidRDefault="009D0CB2">
            <w:pPr>
              <w:spacing w:after="0"/>
              <w:rPr>
                <w:sz w:val="16"/>
                <w:szCs w:val="16"/>
              </w:rPr>
            </w:pPr>
          </w:p>
        </w:tc>
        <w:tc>
          <w:tcPr>
            <w:tcW w:w="1080" w:type="dxa"/>
            <w:tcBorders>
              <w:top w:val="nil"/>
              <w:left w:val="nil"/>
              <w:bottom w:val="nil"/>
              <w:right w:val="nil"/>
            </w:tcBorders>
            <w:noWrap/>
            <w:vAlign w:val="bottom"/>
          </w:tcPr>
          <w:p w:rsidR="006E7D59" w:rsidRPr="003B4666" w:rsidRDefault="009D0CB2">
            <w:pPr>
              <w:spacing w:after="0"/>
              <w:rPr>
                <w:sz w:val="16"/>
                <w:szCs w:val="16"/>
              </w:rPr>
            </w:pPr>
          </w:p>
        </w:tc>
        <w:tc>
          <w:tcPr>
            <w:tcW w:w="1080" w:type="dxa"/>
            <w:tcBorders>
              <w:top w:val="nil"/>
              <w:left w:val="nil"/>
              <w:bottom w:val="nil"/>
              <w:right w:val="nil"/>
            </w:tcBorders>
            <w:noWrap/>
          </w:tcPr>
          <w:p w:rsidR="006E7D59" w:rsidRPr="003B4666" w:rsidRDefault="009D0CB2">
            <w:pPr>
              <w:spacing w:after="0"/>
              <w:jc w:val="center"/>
              <w:rPr>
                <w:sz w:val="16"/>
                <w:szCs w:val="16"/>
              </w:rPr>
            </w:pPr>
          </w:p>
        </w:tc>
        <w:tc>
          <w:tcPr>
            <w:tcW w:w="1530" w:type="dxa"/>
            <w:tcBorders>
              <w:top w:val="nil"/>
              <w:left w:val="nil"/>
              <w:bottom w:val="nil"/>
              <w:right w:val="nil"/>
            </w:tcBorders>
            <w:noWrap/>
          </w:tcPr>
          <w:p w:rsidR="006E7D59" w:rsidRPr="003B4666" w:rsidRDefault="009D0CB2">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9D0CB2">
            <w:pPr>
              <w:spacing w:after="0"/>
              <w:rPr>
                <w:sz w:val="16"/>
                <w:szCs w:val="16"/>
              </w:rPr>
            </w:pPr>
          </w:p>
        </w:tc>
        <w:tc>
          <w:tcPr>
            <w:tcW w:w="4410" w:type="dxa"/>
            <w:tcBorders>
              <w:left w:val="nil"/>
              <w:right w:val="nil"/>
            </w:tcBorders>
            <w:noWrap/>
            <w:vAlign w:val="bottom"/>
          </w:tcPr>
          <w:p w:rsidR="006E7D59" w:rsidRPr="003B4666" w:rsidRDefault="009D0CB2">
            <w:pPr>
              <w:spacing w:after="0"/>
              <w:rPr>
                <w:sz w:val="16"/>
                <w:szCs w:val="16"/>
              </w:rPr>
            </w:pPr>
            <w:r w:rsidRPr="003B4666">
              <w:rPr>
                <w:sz w:val="16"/>
                <w:szCs w:val="16"/>
              </w:rPr>
              <w:t>excluding the sum of Electric Property Insurance, Electric Research and</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9D0CB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and 50% of the NYPSC Regulatory Expense</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30</w:t>
            </w:r>
          </w:p>
          <w:p w:rsidR="006E7D59" w:rsidRPr="003B4666" w:rsidRDefault="009D0CB2" w:rsidP="001D5C80">
            <w:pPr>
              <w:spacing w:after="0"/>
              <w:ind w:left="-108"/>
              <w:rPr>
                <w:sz w:val="16"/>
                <w:szCs w:val="16"/>
              </w:rPr>
            </w:pPr>
          </w:p>
          <w:p w:rsidR="006E7D59" w:rsidRPr="003B4666" w:rsidRDefault="009D0CB2"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Less: 50% of NY PSC Regulatory Expense</w:t>
            </w:r>
          </w:p>
          <w:p w:rsidR="006E7D59" w:rsidRPr="003B4666" w:rsidRDefault="009D0CB2"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9D0CB2" w:rsidP="001D5C80">
            <w:pPr>
              <w:spacing w:after="0"/>
              <w:rPr>
                <w:color w:val="FF0000"/>
                <w:sz w:val="16"/>
                <w:szCs w:val="16"/>
              </w:rPr>
            </w:pPr>
          </w:p>
        </w:tc>
        <w:tc>
          <w:tcPr>
            <w:tcW w:w="900" w:type="dxa"/>
            <w:tcBorders>
              <w:top w:val="nil"/>
              <w:left w:val="nil"/>
              <w:bottom w:val="nil"/>
              <w:right w:val="nil"/>
            </w:tcBorders>
            <w:noWrap/>
          </w:tcPr>
          <w:p w:rsidR="006E7D59" w:rsidRPr="003B4666" w:rsidRDefault="009D0CB2"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Pr>
                <w:sz w:val="16"/>
                <w:szCs w:val="16"/>
              </w:rPr>
              <w:t>50% of Workpaper 15</w:t>
            </w:r>
          </w:p>
          <w:p w:rsidR="006E7D59" w:rsidRPr="003B4666" w:rsidRDefault="009D0CB2" w:rsidP="001D5C80">
            <w:pPr>
              <w:spacing w:after="0"/>
              <w:jc w:val="center"/>
              <w:rPr>
                <w:sz w:val="16"/>
                <w:szCs w:val="16"/>
              </w:rPr>
            </w:pPr>
          </w:p>
          <w:p w:rsidR="006E7D59" w:rsidRPr="003B4666" w:rsidRDefault="009D0CB2"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9D0CB2" w:rsidP="001D5C80">
            <w:pPr>
              <w:spacing w:after="0"/>
              <w:rPr>
                <w:color w:val="000000"/>
                <w:sz w:val="16"/>
                <w:szCs w:val="16"/>
              </w:rPr>
            </w:pPr>
          </w:p>
          <w:p w:rsidR="006E7D59" w:rsidRPr="003B4666" w:rsidRDefault="009D0CB2" w:rsidP="001D5C80">
            <w:pPr>
              <w:spacing w:after="0"/>
              <w:rPr>
                <w:color w:val="000000"/>
                <w:sz w:val="16"/>
                <w:szCs w:val="16"/>
              </w:rPr>
            </w:pPr>
          </w:p>
          <w:p w:rsidR="006E7D59" w:rsidRPr="003B4666" w:rsidRDefault="009D0CB2" w:rsidP="001D5C80">
            <w:pPr>
              <w:spacing w:after="0"/>
              <w:rPr>
                <w:color w:val="000000"/>
                <w:sz w:val="16"/>
                <w:szCs w:val="16"/>
              </w:rPr>
            </w:pP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plus the sum of Electric Property Insurance multiplied by the Gross</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9D0CB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9D0CB2"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Transmission Plant Allocation Factor, plus transmission-specific Electric</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9D0CB2"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9D0CB2"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9D0CB2"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p>
        </w:tc>
        <w:tc>
          <w:tcPr>
            <w:tcW w:w="1080" w:type="dxa"/>
            <w:tcBorders>
              <w:top w:val="nil"/>
              <w:left w:val="nil"/>
              <w:bottom w:val="nil"/>
              <w:right w:val="nil"/>
            </w:tcBorders>
            <w:noWrap/>
          </w:tcPr>
          <w:p w:rsidR="006E7D59" w:rsidRPr="003B4666" w:rsidRDefault="009D0CB2"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and General Expenses shall exclude the actual Post-Employment</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p>
        </w:tc>
        <w:tc>
          <w:tcPr>
            <w:tcW w:w="1080" w:type="dxa"/>
            <w:tcBorders>
              <w:top w:val="nil"/>
              <w:left w:val="nil"/>
              <w:bottom w:val="nil"/>
              <w:right w:val="nil"/>
            </w:tcBorders>
            <w:noWrap/>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Benefits Other than Pensions ("PBOP") included in FERC Account 926,</w:t>
            </w:r>
          </w:p>
        </w:tc>
      </w:tr>
      <w:tr w:rsidR="00BA5C95" w:rsidTr="001D5C80">
        <w:trPr>
          <w:trHeight w:val="50"/>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9D0CB2"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9D0CB2"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9D0CB2"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9D0CB2"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and shall add back in the amounts shown on Workpaper 3, page 1,</w:t>
            </w:r>
          </w:p>
        </w:tc>
      </w:tr>
      <w:tr w:rsidR="00BA5C95" w:rsidTr="001D5C80">
        <w:trPr>
          <w:trHeight w:val="45"/>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9D0CB2" w:rsidP="001D5C80">
            <w:pPr>
              <w:spacing w:after="0"/>
              <w:jc w:val="center"/>
              <w:rPr>
                <w:sz w:val="16"/>
                <w:szCs w:val="16"/>
              </w:rPr>
            </w:pPr>
          </w:p>
        </w:tc>
        <w:tc>
          <w:tcPr>
            <w:tcW w:w="1080" w:type="dxa"/>
            <w:tcBorders>
              <w:top w:val="nil"/>
              <w:left w:val="nil"/>
              <w:bottom w:val="nil"/>
              <w:right w:val="nil"/>
            </w:tcBorders>
            <w:noWrap/>
          </w:tcPr>
          <w:p w:rsidR="006E7D59" w:rsidRPr="003B4666" w:rsidRDefault="009D0CB2"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bottom w:val="nil"/>
              <w:right w:val="nil"/>
            </w:tcBorders>
            <w:noWrap/>
            <w:vAlign w:val="bottom"/>
          </w:tcPr>
          <w:p w:rsidR="006E7D59" w:rsidRPr="003B4666" w:rsidRDefault="009D0CB2" w:rsidP="001D5C80">
            <w:pPr>
              <w:spacing w:after="0"/>
              <w:rPr>
                <w:sz w:val="16"/>
                <w:szCs w:val="16"/>
              </w:rPr>
            </w:pPr>
            <w:r w:rsidRPr="003B4666">
              <w:rPr>
                <w:sz w:val="16"/>
                <w:szCs w:val="16"/>
              </w:rPr>
              <w:t>or other amount subsequently approved by FERC under Section 205 or 206.</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9D0CB2"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9D0CB2" w:rsidP="001D5C80">
            <w:pPr>
              <w:spacing w:after="0"/>
              <w:jc w:val="right"/>
              <w:rPr>
                <w:sz w:val="16"/>
                <w:szCs w:val="16"/>
              </w:rPr>
            </w:pP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p>
        </w:tc>
        <w:tc>
          <w:tcPr>
            <w:tcW w:w="1080" w:type="dxa"/>
            <w:tcBorders>
              <w:top w:val="nil"/>
              <w:left w:val="nil"/>
              <w:bottom w:val="nil"/>
              <w:right w:val="nil"/>
            </w:tcBorders>
            <w:noWrap/>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tcPr>
          <w:p w:rsidR="006E7D59" w:rsidRPr="003B4666" w:rsidRDefault="009D0CB2"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9D0CB2" w:rsidP="001D5C80">
            <w:pPr>
              <w:spacing w:after="0"/>
              <w:rPr>
                <w:color w:val="000000"/>
                <w:sz w:val="16"/>
                <w:szCs w:val="16"/>
              </w:rPr>
            </w:pPr>
            <w:r w:rsidRPr="003B4666">
              <w:rPr>
                <w:color w:val="000000"/>
                <w:sz w:val="16"/>
                <w:szCs w:val="16"/>
              </w:rPr>
              <w:t>Transmission Related Payroll Tax Expense shall equal the product of</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9D0CB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p>
        </w:tc>
        <w:tc>
          <w:tcPr>
            <w:tcW w:w="1080" w:type="dxa"/>
            <w:tcBorders>
              <w:top w:val="nil"/>
              <w:left w:val="nil"/>
              <w:bottom w:val="nil"/>
              <w:right w:val="nil"/>
            </w:tcBorders>
            <w:noWrap/>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right w:val="nil"/>
            </w:tcBorders>
            <w:noWrap/>
            <w:vAlign w:val="bottom"/>
          </w:tcPr>
          <w:p w:rsidR="006E7D59" w:rsidRPr="003B4666" w:rsidRDefault="009D0CB2" w:rsidP="001D5C80">
            <w:pPr>
              <w:spacing w:after="0"/>
              <w:rPr>
                <w:sz w:val="16"/>
                <w:szCs w:val="16"/>
              </w:rPr>
            </w:pPr>
            <w:r w:rsidRPr="003B4666">
              <w:rPr>
                <w:sz w:val="16"/>
                <w:szCs w:val="16"/>
              </w:rPr>
              <w:t>electric Payroll Taxes multiplied by the Transmission Wages and</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9D0CB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p>
        </w:tc>
        <w:tc>
          <w:tcPr>
            <w:tcW w:w="1080" w:type="dxa"/>
            <w:tcBorders>
              <w:top w:val="nil"/>
              <w:left w:val="nil"/>
              <w:bottom w:val="nil"/>
              <w:right w:val="nil"/>
            </w:tcBorders>
            <w:noWrap/>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Salaries Allocation </w:t>
            </w:r>
            <w:r w:rsidRPr="003B4666">
              <w:rPr>
                <w:sz w:val="16"/>
                <w:szCs w:val="16"/>
              </w:rPr>
              <w:t>Factor.</w:t>
            </w: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9D0CB2"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p>
        </w:tc>
        <w:tc>
          <w:tcPr>
            <w:tcW w:w="1080" w:type="dxa"/>
            <w:tcBorders>
              <w:top w:val="nil"/>
              <w:left w:val="nil"/>
              <w:bottom w:val="nil"/>
              <w:right w:val="nil"/>
            </w:tcBorders>
            <w:noWrap/>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FF1 263.17i</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9D0CB2"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9D0CB2"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9D0CB2"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tcPr>
          <w:p w:rsidR="006E7D59" w:rsidRPr="003B4666" w:rsidRDefault="009D0CB2" w:rsidP="001D5C80">
            <w:pPr>
              <w:spacing w:after="0"/>
              <w:jc w:val="center"/>
              <w:rPr>
                <w:sz w:val="16"/>
                <w:szCs w:val="16"/>
              </w:rPr>
            </w:pPr>
          </w:p>
        </w:tc>
        <w:tc>
          <w:tcPr>
            <w:tcW w:w="1530" w:type="dxa"/>
            <w:tcBorders>
              <w:top w:val="nil"/>
              <w:left w:val="nil"/>
              <w:bottom w:val="nil"/>
              <w:right w:val="nil"/>
            </w:tcBorders>
            <w:noWrap/>
          </w:tcPr>
          <w:p w:rsidR="006E7D59" w:rsidRPr="003B4666" w:rsidRDefault="009D0CB2"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3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3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3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144"/>
        </w:trPr>
        <w:tc>
          <w:tcPr>
            <w:tcW w:w="360" w:type="dxa"/>
            <w:tcBorders>
              <w:top w:val="nil"/>
              <w:left w:val="nil"/>
              <w:bottom w:val="nil"/>
              <w:right w:val="nil"/>
            </w:tcBorders>
            <w:noWrap/>
          </w:tcPr>
          <w:p w:rsidR="006E7D59" w:rsidRPr="003B4666" w:rsidRDefault="009D0CB2" w:rsidP="001D5C80">
            <w:pPr>
              <w:spacing w:after="0"/>
              <w:ind w:left="-108"/>
              <w:rPr>
                <w:sz w:val="16"/>
                <w:szCs w:val="16"/>
              </w:rPr>
            </w:pPr>
          </w:p>
        </w:tc>
        <w:tc>
          <w:tcPr>
            <w:tcW w:w="2340" w:type="dxa"/>
            <w:tcBorders>
              <w:top w:val="nil"/>
              <w:left w:val="nil"/>
              <w:bottom w:val="nil"/>
              <w:right w:val="nil"/>
            </w:tcBorders>
            <w:noWrap/>
          </w:tcPr>
          <w:p w:rsidR="006E7D59" w:rsidRPr="003B4666" w:rsidRDefault="009D0CB2"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90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0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53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2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4410" w:type="dxa"/>
            <w:tcBorders>
              <w:top w:val="nil"/>
              <w:left w:val="nil"/>
              <w:bottom w:val="nil"/>
              <w:right w:val="nil"/>
            </w:tcBorders>
            <w:noWrap/>
            <w:vAlign w:val="bottom"/>
          </w:tcPr>
          <w:p w:rsidR="006E7D59" w:rsidRPr="003B4666" w:rsidRDefault="009D0CB2" w:rsidP="001D5C80">
            <w:pPr>
              <w:spacing w:after="0"/>
              <w:rPr>
                <w:sz w:val="16"/>
                <w:szCs w:val="16"/>
              </w:rPr>
            </w:pPr>
          </w:p>
        </w:tc>
      </w:tr>
    </w:tbl>
    <w:p w:rsidR="006E7D59" w:rsidRPr="00512488" w:rsidRDefault="009D0CB2" w:rsidP="001D5C80">
      <w:pPr>
        <w:spacing w:after="0"/>
        <w:rPr>
          <w:rFonts w:cs="Tahoma"/>
          <w:color w:val="000000"/>
          <w:sz w:val="16"/>
          <w:szCs w:val="16"/>
        </w:rPr>
      </w:pPr>
    </w:p>
    <w:p w:rsidR="006E7D59" w:rsidRPr="00512488" w:rsidRDefault="009D0CB2"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BA5C95" w:rsidTr="001D5C80">
        <w:trPr>
          <w:trHeight w:val="216"/>
        </w:trPr>
        <w:tc>
          <w:tcPr>
            <w:tcW w:w="4047" w:type="dxa"/>
            <w:gridSpan w:val="4"/>
            <w:tcBorders>
              <w:top w:val="nil"/>
              <w:left w:val="nil"/>
              <w:bottom w:val="nil"/>
              <w:right w:val="nil"/>
            </w:tcBorders>
            <w:noWrap/>
          </w:tcPr>
          <w:p w:rsidR="006E7D59" w:rsidRPr="003B4666" w:rsidRDefault="009D0CB2"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9D0CB2" w:rsidP="001D5C80">
            <w:pPr>
              <w:spacing w:after="0"/>
              <w:rPr>
                <w:sz w:val="16"/>
                <w:szCs w:val="16"/>
              </w:rPr>
            </w:pPr>
          </w:p>
        </w:tc>
        <w:tc>
          <w:tcPr>
            <w:tcW w:w="612" w:type="dxa"/>
            <w:tcBorders>
              <w:top w:val="nil"/>
              <w:left w:val="nil"/>
              <w:bottom w:val="nil"/>
              <w:right w:val="nil"/>
            </w:tcBorders>
            <w:noWrap/>
          </w:tcPr>
          <w:p w:rsidR="006E7D59" w:rsidRPr="003B4666" w:rsidRDefault="009D0CB2" w:rsidP="001D5C80">
            <w:pPr>
              <w:spacing w:after="0"/>
              <w:rPr>
                <w:sz w:val="16"/>
                <w:szCs w:val="16"/>
              </w:rPr>
            </w:pPr>
          </w:p>
        </w:tc>
        <w:tc>
          <w:tcPr>
            <w:tcW w:w="6253" w:type="dxa"/>
            <w:tcBorders>
              <w:top w:val="nil"/>
              <w:left w:val="nil"/>
              <w:bottom w:val="nil"/>
              <w:right w:val="nil"/>
            </w:tcBorders>
            <w:noWrap/>
          </w:tcPr>
          <w:p w:rsidR="006E7D59" w:rsidRPr="003B4666" w:rsidRDefault="009D0CB2" w:rsidP="001D5C80">
            <w:pPr>
              <w:spacing w:after="0"/>
              <w:jc w:val="center"/>
              <w:rPr>
                <w:b/>
                <w:bCs/>
                <w:sz w:val="16"/>
                <w:szCs w:val="16"/>
              </w:rPr>
            </w:pPr>
            <w:r w:rsidRPr="003B4666">
              <w:rPr>
                <w:b/>
                <w:bCs/>
                <w:sz w:val="16"/>
                <w:szCs w:val="16"/>
              </w:rPr>
              <w:t>Attachment 1</w:t>
            </w:r>
          </w:p>
        </w:tc>
      </w:tr>
      <w:tr w:rsidR="00BA5C95" w:rsidTr="001D5C80">
        <w:trPr>
          <w:trHeight w:val="216"/>
        </w:trPr>
        <w:tc>
          <w:tcPr>
            <w:tcW w:w="5989" w:type="dxa"/>
            <w:gridSpan w:val="5"/>
            <w:tcBorders>
              <w:top w:val="nil"/>
              <w:left w:val="nil"/>
              <w:bottom w:val="nil"/>
              <w:right w:val="nil"/>
            </w:tcBorders>
            <w:noWrap/>
          </w:tcPr>
          <w:p w:rsidR="006E7D59" w:rsidRPr="003B4666" w:rsidRDefault="009D0CB2"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9D0CB2" w:rsidP="001D5C80">
            <w:pPr>
              <w:spacing w:after="0"/>
              <w:rPr>
                <w:sz w:val="16"/>
                <w:szCs w:val="16"/>
              </w:rPr>
            </w:pPr>
          </w:p>
        </w:tc>
        <w:tc>
          <w:tcPr>
            <w:tcW w:w="6253" w:type="dxa"/>
            <w:tcBorders>
              <w:top w:val="nil"/>
              <w:left w:val="nil"/>
              <w:bottom w:val="nil"/>
              <w:right w:val="nil"/>
            </w:tcBorders>
            <w:noWrap/>
          </w:tcPr>
          <w:p w:rsidR="006E7D59" w:rsidRPr="003B4666" w:rsidRDefault="009D0CB2" w:rsidP="001D5C80">
            <w:pPr>
              <w:spacing w:after="0"/>
              <w:jc w:val="center"/>
              <w:rPr>
                <w:b/>
                <w:bCs/>
                <w:sz w:val="16"/>
                <w:szCs w:val="16"/>
              </w:rPr>
            </w:pPr>
            <w:r w:rsidRPr="003B4666">
              <w:rPr>
                <w:b/>
                <w:bCs/>
                <w:sz w:val="16"/>
                <w:szCs w:val="16"/>
              </w:rPr>
              <w:t>Schedule  10</w:t>
            </w:r>
          </w:p>
        </w:tc>
      </w:tr>
      <w:tr w:rsidR="00BA5C95" w:rsidTr="001D5C80">
        <w:trPr>
          <w:trHeight w:val="216"/>
        </w:trPr>
        <w:tc>
          <w:tcPr>
            <w:tcW w:w="5989" w:type="dxa"/>
            <w:gridSpan w:val="5"/>
            <w:tcBorders>
              <w:top w:val="nil"/>
              <w:left w:val="nil"/>
              <w:bottom w:val="nil"/>
              <w:right w:val="nil"/>
            </w:tcBorders>
            <w:noWrap/>
          </w:tcPr>
          <w:p w:rsidR="006E7D59" w:rsidRPr="003B4666" w:rsidRDefault="009D0CB2"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9D0CB2" w:rsidP="001D5C80">
            <w:pPr>
              <w:spacing w:after="0"/>
              <w:rPr>
                <w:sz w:val="16"/>
                <w:szCs w:val="16"/>
              </w:rPr>
            </w:pPr>
          </w:p>
        </w:tc>
        <w:tc>
          <w:tcPr>
            <w:tcW w:w="6253" w:type="dxa"/>
            <w:tcBorders>
              <w:top w:val="nil"/>
              <w:left w:val="nil"/>
              <w:bottom w:val="nil"/>
              <w:right w:val="nil"/>
            </w:tcBorders>
            <w:noWrap/>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p>
        </w:tc>
        <w:tc>
          <w:tcPr>
            <w:tcW w:w="256" w:type="dxa"/>
            <w:tcBorders>
              <w:top w:val="nil"/>
              <w:left w:val="nil"/>
              <w:bottom w:val="nil"/>
              <w:right w:val="nil"/>
            </w:tcBorders>
            <w:noWrap/>
          </w:tcPr>
          <w:p w:rsidR="006E7D59" w:rsidRPr="003B4666" w:rsidRDefault="009D0CB2" w:rsidP="001D5C80">
            <w:pPr>
              <w:spacing w:after="0"/>
              <w:rPr>
                <w:sz w:val="16"/>
                <w:szCs w:val="16"/>
              </w:rPr>
            </w:pPr>
          </w:p>
        </w:tc>
        <w:tc>
          <w:tcPr>
            <w:tcW w:w="1911" w:type="dxa"/>
            <w:tcBorders>
              <w:top w:val="nil"/>
              <w:left w:val="nil"/>
              <w:bottom w:val="nil"/>
              <w:right w:val="nil"/>
            </w:tcBorders>
            <w:noWrap/>
          </w:tcPr>
          <w:p w:rsidR="006E7D59" w:rsidRPr="003B4666" w:rsidRDefault="009D0CB2" w:rsidP="001D5C80">
            <w:pPr>
              <w:spacing w:after="0"/>
              <w:rPr>
                <w:sz w:val="16"/>
                <w:szCs w:val="16"/>
              </w:rPr>
            </w:pPr>
          </w:p>
        </w:tc>
        <w:tc>
          <w:tcPr>
            <w:tcW w:w="1370" w:type="dxa"/>
            <w:tcBorders>
              <w:top w:val="nil"/>
              <w:left w:val="nil"/>
              <w:bottom w:val="nil"/>
              <w:right w:val="nil"/>
            </w:tcBorders>
            <w:noWrap/>
          </w:tcPr>
          <w:p w:rsidR="006E7D59" w:rsidRPr="003B4666" w:rsidRDefault="009D0CB2"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9D0CB2" w:rsidP="001D5C80">
            <w:pPr>
              <w:spacing w:after="0"/>
              <w:jc w:val="center"/>
              <w:rPr>
                <w:b/>
                <w:bCs/>
                <w:sz w:val="16"/>
                <w:szCs w:val="16"/>
              </w:rPr>
            </w:pPr>
            <w:r w:rsidRPr="003B4666">
              <w:rPr>
                <w:b/>
                <w:bCs/>
                <w:sz w:val="16"/>
                <w:szCs w:val="16"/>
              </w:rPr>
              <w:t>0</w:t>
            </w:r>
          </w:p>
        </w:tc>
        <w:tc>
          <w:tcPr>
            <w:tcW w:w="612" w:type="dxa"/>
            <w:tcBorders>
              <w:top w:val="nil"/>
              <w:left w:val="single" w:sz="4" w:space="0" w:color="auto"/>
              <w:bottom w:val="nil"/>
              <w:right w:val="nil"/>
            </w:tcBorders>
            <w:noWrap/>
          </w:tcPr>
          <w:p w:rsidR="006E7D59" w:rsidRPr="003B4666" w:rsidRDefault="009D0CB2" w:rsidP="001D5C80">
            <w:pPr>
              <w:spacing w:after="0"/>
              <w:rPr>
                <w:sz w:val="16"/>
                <w:szCs w:val="16"/>
              </w:rPr>
            </w:pPr>
          </w:p>
        </w:tc>
        <w:tc>
          <w:tcPr>
            <w:tcW w:w="6253" w:type="dxa"/>
            <w:tcBorders>
              <w:top w:val="nil"/>
              <w:left w:val="nil"/>
              <w:bottom w:val="nil"/>
              <w:right w:val="nil"/>
            </w:tcBorders>
            <w:noWrap/>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9D0CB2" w:rsidP="001D5C80">
            <w:pPr>
              <w:spacing w:after="0"/>
              <w:rPr>
                <w:sz w:val="16"/>
                <w:szCs w:val="16"/>
              </w:rPr>
            </w:pPr>
          </w:p>
        </w:tc>
        <w:tc>
          <w:tcPr>
            <w:tcW w:w="1942" w:type="dxa"/>
            <w:tcBorders>
              <w:top w:val="nil"/>
              <w:left w:val="nil"/>
              <w:bottom w:val="nil"/>
              <w:right w:val="nil"/>
            </w:tcBorders>
            <w:noWrap/>
          </w:tcPr>
          <w:p w:rsidR="006E7D59" w:rsidRPr="003B4666" w:rsidRDefault="009D0CB2" w:rsidP="001D5C80">
            <w:pPr>
              <w:spacing w:after="0"/>
              <w:rPr>
                <w:sz w:val="16"/>
                <w:szCs w:val="16"/>
              </w:rPr>
            </w:pPr>
          </w:p>
        </w:tc>
        <w:tc>
          <w:tcPr>
            <w:tcW w:w="612" w:type="dxa"/>
            <w:tcBorders>
              <w:top w:val="nil"/>
              <w:left w:val="nil"/>
              <w:bottom w:val="nil"/>
              <w:right w:val="nil"/>
            </w:tcBorders>
            <w:noWrap/>
          </w:tcPr>
          <w:p w:rsidR="006E7D59" w:rsidRPr="003B4666" w:rsidRDefault="009D0CB2" w:rsidP="001D5C80">
            <w:pPr>
              <w:spacing w:after="0"/>
              <w:rPr>
                <w:sz w:val="16"/>
                <w:szCs w:val="16"/>
              </w:rPr>
            </w:pPr>
          </w:p>
        </w:tc>
        <w:tc>
          <w:tcPr>
            <w:tcW w:w="6253" w:type="dxa"/>
            <w:tcBorders>
              <w:top w:val="nil"/>
              <w:left w:val="nil"/>
              <w:bottom w:val="nil"/>
              <w:right w:val="nil"/>
            </w:tcBorders>
            <w:noWrap/>
          </w:tcPr>
          <w:p w:rsidR="006E7D59" w:rsidRPr="003B4666" w:rsidRDefault="009D0CB2" w:rsidP="001D5C80">
            <w:pPr>
              <w:spacing w:after="0"/>
              <w:rPr>
                <w:b/>
                <w:bCs/>
                <w:sz w:val="16"/>
                <w:szCs w:val="16"/>
              </w:rPr>
            </w:pP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p>
        </w:tc>
        <w:tc>
          <w:tcPr>
            <w:tcW w:w="256" w:type="dxa"/>
            <w:tcBorders>
              <w:top w:val="nil"/>
              <w:left w:val="nil"/>
              <w:bottom w:val="nil"/>
              <w:right w:val="nil"/>
            </w:tcBorders>
            <w:noWrap/>
          </w:tcPr>
          <w:p w:rsidR="006E7D59" w:rsidRPr="003B4666" w:rsidRDefault="009D0CB2" w:rsidP="001D5C80">
            <w:pPr>
              <w:spacing w:after="0"/>
              <w:rPr>
                <w:sz w:val="16"/>
                <w:szCs w:val="16"/>
              </w:rPr>
            </w:pPr>
          </w:p>
        </w:tc>
        <w:tc>
          <w:tcPr>
            <w:tcW w:w="1911" w:type="dxa"/>
            <w:tcBorders>
              <w:top w:val="nil"/>
              <w:left w:val="nil"/>
              <w:bottom w:val="nil"/>
              <w:right w:val="nil"/>
            </w:tcBorders>
            <w:noWrap/>
          </w:tcPr>
          <w:p w:rsidR="006E7D59" w:rsidRPr="003B4666" w:rsidRDefault="009D0CB2" w:rsidP="001D5C80">
            <w:pPr>
              <w:spacing w:after="0"/>
              <w:rPr>
                <w:sz w:val="16"/>
                <w:szCs w:val="16"/>
              </w:rPr>
            </w:pPr>
          </w:p>
        </w:tc>
        <w:tc>
          <w:tcPr>
            <w:tcW w:w="1370" w:type="dxa"/>
            <w:tcBorders>
              <w:top w:val="nil"/>
              <w:left w:val="nil"/>
              <w:bottom w:val="nil"/>
              <w:right w:val="nil"/>
            </w:tcBorders>
            <w:noWrap/>
          </w:tcPr>
          <w:p w:rsidR="006E7D59" w:rsidRPr="003B4666" w:rsidRDefault="009D0CB2" w:rsidP="001D5C80">
            <w:pPr>
              <w:spacing w:after="0"/>
              <w:rPr>
                <w:sz w:val="16"/>
                <w:szCs w:val="16"/>
              </w:rPr>
            </w:pPr>
          </w:p>
        </w:tc>
        <w:tc>
          <w:tcPr>
            <w:tcW w:w="1942" w:type="dxa"/>
            <w:tcBorders>
              <w:top w:val="nil"/>
              <w:left w:val="nil"/>
              <w:bottom w:val="nil"/>
              <w:right w:val="nil"/>
            </w:tcBorders>
            <w:noWrap/>
          </w:tcPr>
          <w:p w:rsidR="006E7D59" w:rsidRPr="003B4666" w:rsidRDefault="009D0CB2" w:rsidP="001D5C80">
            <w:pPr>
              <w:spacing w:after="0"/>
              <w:rPr>
                <w:sz w:val="16"/>
                <w:szCs w:val="16"/>
              </w:rPr>
            </w:pPr>
          </w:p>
        </w:tc>
        <w:tc>
          <w:tcPr>
            <w:tcW w:w="612" w:type="dxa"/>
            <w:tcBorders>
              <w:top w:val="nil"/>
              <w:left w:val="nil"/>
              <w:bottom w:val="nil"/>
              <w:right w:val="nil"/>
            </w:tcBorders>
            <w:noWrap/>
          </w:tcPr>
          <w:p w:rsidR="006E7D59" w:rsidRPr="003B4666" w:rsidRDefault="009D0CB2" w:rsidP="001D5C80">
            <w:pPr>
              <w:spacing w:after="0"/>
              <w:rPr>
                <w:sz w:val="16"/>
                <w:szCs w:val="16"/>
              </w:rPr>
            </w:pPr>
          </w:p>
        </w:tc>
        <w:tc>
          <w:tcPr>
            <w:tcW w:w="6253" w:type="dxa"/>
            <w:tcBorders>
              <w:top w:val="nil"/>
              <w:left w:val="nil"/>
              <w:bottom w:val="nil"/>
              <w:right w:val="nil"/>
            </w:tcBorders>
            <w:noWrap/>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shd w:val="clear" w:color="auto" w:fill="FFFFCC"/>
            <w:noWrap/>
          </w:tcPr>
          <w:p w:rsidR="006E7D59" w:rsidRPr="003B4666" w:rsidRDefault="009D0CB2" w:rsidP="001D5C80">
            <w:pPr>
              <w:spacing w:after="0"/>
              <w:rPr>
                <w:sz w:val="16"/>
                <w:szCs w:val="16"/>
              </w:rPr>
            </w:pPr>
            <w:r w:rsidRPr="003B4666">
              <w:rPr>
                <w:sz w:val="16"/>
                <w:szCs w:val="16"/>
              </w:rPr>
              <w:t> </w:t>
            </w:r>
          </w:p>
        </w:tc>
        <w:tc>
          <w:tcPr>
            <w:tcW w:w="256" w:type="dxa"/>
            <w:tcBorders>
              <w:top w:val="nil"/>
              <w:left w:val="nil"/>
              <w:bottom w:val="nil"/>
              <w:right w:val="nil"/>
            </w:tcBorders>
            <w:shd w:val="clear" w:color="auto" w:fill="FFFFCC"/>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9D0CB2" w:rsidP="001D5C80">
            <w:pPr>
              <w:spacing w:after="0"/>
              <w:rPr>
                <w:sz w:val="16"/>
                <w:szCs w:val="16"/>
              </w:rPr>
            </w:pPr>
          </w:p>
        </w:tc>
        <w:tc>
          <w:tcPr>
            <w:tcW w:w="1942" w:type="dxa"/>
            <w:tcBorders>
              <w:top w:val="nil"/>
              <w:left w:val="nil"/>
              <w:right w:val="nil"/>
            </w:tcBorders>
            <w:noWrap/>
          </w:tcPr>
          <w:p w:rsidR="006E7D59" w:rsidRPr="003B4666" w:rsidRDefault="009D0CB2" w:rsidP="001D5C80">
            <w:pPr>
              <w:spacing w:after="0"/>
              <w:rPr>
                <w:sz w:val="16"/>
                <w:szCs w:val="16"/>
              </w:rPr>
            </w:pPr>
          </w:p>
        </w:tc>
        <w:tc>
          <w:tcPr>
            <w:tcW w:w="612" w:type="dxa"/>
            <w:tcBorders>
              <w:top w:val="nil"/>
              <w:left w:val="nil"/>
              <w:bottom w:val="nil"/>
              <w:right w:val="nil"/>
            </w:tcBorders>
            <w:noWrap/>
          </w:tcPr>
          <w:p w:rsidR="006E7D59" w:rsidRPr="003B4666" w:rsidRDefault="009D0CB2" w:rsidP="001D5C80">
            <w:pPr>
              <w:spacing w:after="0"/>
              <w:rPr>
                <w:sz w:val="16"/>
                <w:szCs w:val="16"/>
              </w:rPr>
            </w:pPr>
          </w:p>
        </w:tc>
        <w:tc>
          <w:tcPr>
            <w:tcW w:w="6253" w:type="dxa"/>
            <w:tcBorders>
              <w:top w:val="nil"/>
              <w:left w:val="nil"/>
              <w:right w:val="nil"/>
            </w:tcBorders>
            <w:noWrap/>
          </w:tcPr>
          <w:p w:rsidR="006E7D59" w:rsidRPr="003B4666" w:rsidRDefault="009D0CB2" w:rsidP="001D5C80">
            <w:pPr>
              <w:spacing w:after="0"/>
              <w:rPr>
                <w:sz w:val="16"/>
                <w:szCs w:val="16"/>
              </w:rPr>
            </w:pPr>
          </w:p>
        </w:tc>
      </w:tr>
      <w:tr w:rsidR="00BA5C95" w:rsidTr="001D5C80">
        <w:trPr>
          <w:trHeight w:val="144"/>
        </w:trPr>
        <w:tc>
          <w:tcPr>
            <w:tcW w:w="51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Line</w:t>
            </w:r>
          </w:p>
          <w:p w:rsidR="006E7D59" w:rsidRPr="003B4666" w:rsidRDefault="009D0CB2" w:rsidP="001D5C80">
            <w:pPr>
              <w:spacing w:after="0"/>
              <w:jc w:val="center"/>
              <w:rPr>
                <w:sz w:val="16"/>
                <w:szCs w:val="16"/>
                <w:u w:val="single"/>
              </w:rPr>
            </w:pPr>
            <w:r w:rsidRPr="003B4666">
              <w:rPr>
                <w:sz w:val="16"/>
                <w:szCs w:val="16"/>
                <w:u w:val="single"/>
              </w:rPr>
              <w:t>No.</w:t>
            </w:r>
          </w:p>
        </w:tc>
        <w:tc>
          <w:tcPr>
            <w:tcW w:w="256"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911"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1370" w:type="dxa"/>
            <w:tcBorders>
              <w:top w:val="nil"/>
              <w:left w:val="nil"/>
              <w:right w:val="nil"/>
            </w:tcBorders>
            <w:noWrap/>
            <w:vAlign w:val="bottom"/>
          </w:tcPr>
          <w:p w:rsidR="006E7D59" w:rsidRPr="003B4666" w:rsidRDefault="009D0CB2" w:rsidP="001D5C80">
            <w:pPr>
              <w:spacing w:after="0"/>
              <w:jc w:val="center"/>
              <w:rPr>
                <w:sz w:val="16"/>
                <w:szCs w:val="16"/>
              </w:rPr>
            </w:pPr>
            <w:r w:rsidRPr="003B4666">
              <w:rPr>
                <w:sz w:val="16"/>
                <w:szCs w:val="16"/>
              </w:rPr>
              <w:t>(1)</w:t>
            </w:r>
          </w:p>
          <w:p w:rsidR="006E7D59" w:rsidRPr="003B4666" w:rsidRDefault="009D0CB2" w:rsidP="001D5C80">
            <w:pPr>
              <w:spacing w:after="0"/>
              <w:jc w:val="center"/>
              <w:rPr>
                <w:sz w:val="16"/>
                <w:szCs w:val="16"/>
                <w:u w:val="single"/>
              </w:rPr>
            </w:pPr>
            <w:r w:rsidRPr="003B4666">
              <w:rPr>
                <w:sz w:val="16"/>
                <w:szCs w:val="16"/>
                <w:u w:val="single"/>
              </w:rPr>
              <w:t>Total</w:t>
            </w:r>
          </w:p>
        </w:tc>
        <w:tc>
          <w:tcPr>
            <w:tcW w:w="1942" w:type="dxa"/>
            <w:tcBorders>
              <w:top w:val="nil"/>
              <w:left w:val="nil"/>
              <w:right w:val="nil"/>
            </w:tcBorders>
            <w:noWrap/>
            <w:vAlign w:val="bottom"/>
          </w:tcPr>
          <w:p w:rsidR="006E7D59" w:rsidRPr="003B4666" w:rsidRDefault="009D0CB2" w:rsidP="001D5C80">
            <w:pPr>
              <w:spacing w:after="0"/>
              <w:jc w:val="center"/>
              <w:rPr>
                <w:sz w:val="16"/>
                <w:szCs w:val="16"/>
                <w:u w:val="single"/>
              </w:rPr>
            </w:pPr>
            <w:r w:rsidRPr="003B4666">
              <w:rPr>
                <w:sz w:val="16"/>
                <w:szCs w:val="16"/>
                <w:u w:val="single"/>
              </w:rPr>
              <w:t>Source</w:t>
            </w:r>
          </w:p>
        </w:tc>
        <w:tc>
          <w:tcPr>
            <w:tcW w:w="612"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9D0CB2" w:rsidP="001D5C80">
            <w:pPr>
              <w:spacing w:after="0"/>
              <w:jc w:val="center"/>
              <w:rPr>
                <w:sz w:val="16"/>
                <w:szCs w:val="16"/>
              </w:rPr>
            </w:pPr>
            <w:r w:rsidRPr="003B4666">
              <w:rPr>
                <w:sz w:val="16"/>
                <w:szCs w:val="16"/>
              </w:rPr>
              <w:t>Definition</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p>
        </w:tc>
        <w:tc>
          <w:tcPr>
            <w:tcW w:w="256" w:type="dxa"/>
            <w:tcBorders>
              <w:top w:val="nil"/>
              <w:left w:val="nil"/>
              <w:bottom w:val="nil"/>
              <w:right w:val="nil"/>
            </w:tcBorders>
            <w:noWrap/>
          </w:tcPr>
          <w:p w:rsidR="006E7D59" w:rsidRPr="003B4666" w:rsidRDefault="009D0CB2" w:rsidP="001D5C80">
            <w:pPr>
              <w:spacing w:after="0"/>
              <w:rPr>
                <w:sz w:val="16"/>
                <w:szCs w:val="16"/>
              </w:rPr>
            </w:pPr>
          </w:p>
        </w:tc>
        <w:tc>
          <w:tcPr>
            <w:tcW w:w="1911" w:type="dxa"/>
            <w:tcBorders>
              <w:top w:val="nil"/>
              <w:left w:val="nil"/>
              <w:bottom w:val="nil"/>
              <w:right w:val="nil"/>
            </w:tcBorders>
            <w:noWrap/>
          </w:tcPr>
          <w:p w:rsidR="006E7D59" w:rsidRPr="003B4666" w:rsidRDefault="009D0CB2" w:rsidP="001D5C80">
            <w:pPr>
              <w:spacing w:after="0"/>
              <w:rPr>
                <w:sz w:val="16"/>
                <w:szCs w:val="16"/>
              </w:rPr>
            </w:pPr>
          </w:p>
        </w:tc>
        <w:tc>
          <w:tcPr>
            <w:tcW w:w="1370" w:type="dxa"/>
            <w:tcBorders>
              <w:left w:val="nil"/>
              <w:bottom w:val="nil"/>
              <w:right w:val="nil"/>
            </w:tcBorders>
            <w:shd w:val="clear" w:color="auto" w:fill="FFFF99"/>
            <w:noWrap/>
          </w:tcPr>
          <w:p w:rsidR="006E7D59" w:rsidRPr="003B4666" w:rsidRDefault="009D0CB2" w:rsidP="001D5C80">
            <w:pPr>
              <w:spacing w:after="0"/>
              <w:jc w:val="center"/>
              <w:rPr>
                <w:sz w:val="16"/>
                <w:szCs w:val="16"/>
              </w:rPr>
            </w:pPr>
          </w:p>
        </w:tc>
        <w:tc>
          <w:tcPr>
            <w:tcW w:w="1942" w:type="dxa"/>
            <w:tcBorders>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9D0CB2" w:rsidP="001D5C80">
            <w:pPr>
              <w:spacing w:after="0"/>
              <w:rPr>
                <w:color w:val="000000"/>
                <w:sz w:val="16"/>
                <w:szCs w:val="16"/>
              </w:rPr>
            </w:pP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9D0CB2" w:rsidP="001D5C80">
            <w:pPr>
              <w:spacing w:after="0"/>
              <w:jc w:val="center"/>
              <w:rPr>
                <w:sz w:val="16"/>
                <w:szCs w:val="16"/>
              </w:rPr>
            </w:pPr>
          </w:p>
        </w:tc>
        <w:tc>
          <w:tcPr>
            <w:tcW w:w="1942" w:type="dxa"/>
            <w:tcBorders>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A11EF7" w:rsidRDefault="009D0CB2" w:rsidP="001D5C80">
            <w:pPr>
              <w:spacing w:after="0"/>
              <w:jc w:val="right"/>
              <w:rPr>
                <w:sz w:val="16"/>
                <w:szCs w:val="16"/>
              </w:rPr>
            </w:pPr>
          </w:p>
        </w:tc>
        <w:tc>
          <w:tcPr>
            <w:tcW w:w="6253" w:type="dxa"/>
            <w:tcBorders>
              <w:top w:val="nil"/>
              <w:left w:val="nil"/>
              <w:bottom w:val="nil"/>
              <w:right w:val="nil"/>
            </w:tcBorders>
            <w:noWrap/>
          </w:tcPr>
          <w:p w:rsidR="006E7D59" w:rsidRPr="00A11EF7" w:rsidRDefault="009D0CB2" w:rsidP="001D5C80">
            <w:pPr>
              <w:spacing w:after="0"/>
              <w:ind w:left="-81"/>
              <w:rPr>
                <w:sz w:val="16"/>
                <w:szCs w:val="16"/>
              </w:rPr>
            </w:pPr>
            <w:r w:rsidRPr="00A11EF7">
              <w:rPr>
                <w:sz w:val="16"/>
                <w:szCs w:val="16"/>
              </w:rPr>
              <w:t> ( ) indicates a refund or a reduction to the revenue requirement on Schedule 1.</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top w:val="nil"/>
              <w:left w:val="nil"/>
              <w:bottom w:val="nil"/>
              <w:right w:val="nil"/>
            </w:tcBorders>
            <w:noWrap/>
          </w:tcPr>
          <w:p w:rsidR="006E7D59" w:rsidRPr="003B4666" w:rsidRDefault="009D0CB2" w:rsidP="001D5C80">
            <w:pPr>
              <w:spacing w:after="0"/>
              <w:ind w:left="-81"/>
              <w:rPr>
                <w:sz w:val="16"/>
                <w:szCs w:val="16"/>
              </w:rPr>
            </w:pPr>
            <w:r w:rsidRPr="003B4666">
              <w:rPr>
                <w:sz w:val="16"/>
                <w:szCs w:val="16"/>
              </w:rPr>
              <w:t> </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9D0CB2" w:rsidP="001D5C80">
            <w:pPr>
              <w:spacing w:after="0"/>
              <w:ind w:left="-81"/>
              <w:rPr>
                <w:sz w:val="16"/>
                <w:szCs w:val="16"/>
              </w:rPr>
            </w:pPr>
            <w:r w:rsidRPr="003B4666">
              <w:rPr>
                <w:sz w:val="16"/>
                <w:szCs w:val="16"/>
              </w:rPr>
              <w:t>Transmission Related Bad Debt Expense shall equal</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left w:val="nil"/>
              <w:bottom w:val="nil"/>
              <w:right w:val="nil"/>
            </w:tcBorders>
            <w:noWrap/>
          </w:tcPr>
          <w:p w:rsidR="006E7D59" w:rsidRPr="003B4666" w:rsidRDefault="009D0CB2" w:rsidP="001D5C80">
            <w:pPr>
              <w:spacing w:after="0"/>
              <w:ind w:left="-81"/>
              <w:rPr>
                <w:sz w:val="16"/>
                <w:szCs w:val="16"/>
              </w:rPr>
            </w:pPr>
            <w:r w:rsidRPr="003B4666">
              <w:rPr>
                <w:sz w:val="16"/>
                <w:szCs w:val="16"/>
              </w:rPr>
              <w:t xml:space="preserve">Bad Debt Expense as reported in Account 904 </w:t>
            </w:r>
            <w:r w:rsidRPr="003B4666">
              <w:rPr>
                <w:sz w:val="16"/>
                <w:szCs w:val="16"/>
              </w:rPr>
              <w:t>related to NMPC's wholesale transmission billing.</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top w:val="nil"/>
              <w:left w:val="nil"/>
              <w:bottom w:val="nil"/>
              <w:right w:val="nil"/>
            </w:tcBorders>
            <w:noWrap/>
          </w:tcPr>
          <w:p w:rsidR="006E7D59" w:rsidRPr="003B4666" w:rsidRDefault="009D0CB2" w:rsidP="001D5C80">
            <w:pPr>
              <w:spacing w:after="0"/>
              <w:ind w:left="-81"/>
              <w:rPr>
                <w:color w:val="FF0000"/>
                <w:sz w:val="16"/>
                <w:szCs w:val="16"/>
              </w:rPr>
            </w:pPr>
            <w:r w:rsidRPr="003B4666">
              <w:rPr>
                <w:color w:val="FF0000"/>
                <w:sz w:val="16"/>
                <w:szCs w:val="16"/>
              </w:rPr>
              <w:t> </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left w:val="nil"/>
              <w:right w:val="nil"/>
            </w:tcBorders>
            <w:noWrap/>
          </w:tcPr>
          <w:p w:rsidR="006E7D59" w:rsidRPr="003B4666" w:rsidRDefault="009D0CB2" w:rsidP="001D5C80">
            <w:pPr>
              <w:spacing w:after="0"/>
              <w:ind w:left="-81"/>
              <w:rPr>
                <w:sz w:val="16"/>
                <w:szCs w:val="16"/>
              </w:rPr>
            </w:pPr>
            <w:r w:rsidRPr="003B4666">
              <w:rPr>
                <w:sz w:val="16"/>
                <w:szCs w:val="16"/>
              </w:rPr>
              <w:t xml:space="preserve">excluding (a) any NMPC revenues already reflected in </w:t>
            </w:r>
            <w:r w:rsidRPr="003B4666">
              <w:rPr>
                <w:sz w:val="16"/>
                <w:szCs w:val="16"/>
              </w:rPr>
              <w:t>the WR, CRR, SR, ECR and Reserved</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left w:val="nil"/>
              <w:right w:val="nil"/>
            </w:tcBorders>
            <w:noWrap/>
          </w:tcPr>
          <w:p w:rsidR="006E7D59" w:rsidRPr="003B4666" w:rsidRDefault="009D0CB2" w:rsidP="001D5C80">
            <w:pPr>
              <w:spacing w:after="0"/>
              <w:ind w:left="-81"/>
              <w:rPr>
                <w:sz w:val="16"/>
                <w:szCs w:val="16"/>
              </w:rPr>
            </w:pPr>
            <w:r w:rsidRPr="003B4666">
              <w:rPr>
                <w:sz w:val="16"/>
                <w:szCs w:val="16"/>
              </w:rPr>
              <w:t>components in Attachment  H of the NYISO TSC rate; (b) any revenues associated</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left w:val="nil"/>
              <w:right w:val="nil"/>
            </w:tcBorders>
            <w:noWrap/>
          </w:tcPr>
          <w:p w:rsidR="006E7D59" w:rsidRPr="003B4666" w:rsidRDefault="009D0CB2" w:rsidP="001D5C80">
            <w:pPr>
              <w:spacing w:after="0"/>
              <w:ind w:left="-81"/>
              <w:rPr>
                <w:sz w:val="16"/>
                <w:szCs w:val="16"/>
              </w:rPr>
            </w:pPr>
            <w:r w:rsidRPr="003B4666">
              <w:rPr>
                <w:sz w:val="16"/>
                <w:szCs w:val="16"/>
              </w:rPr>
              <w:t xml:space="preserve">revenues associated with </w:t>
            </w:r>
            <w:r w:rsidRPr="003B4666">
              <w:rPr>
                <w:sz w:val="16"/>
                <w:szCs w:val="16"/>
              </w:rPr>
              <w:t>transmission service provided under this TSC rate, for which the</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left w:val="nil"/>
              <w:bottom w:val="nil"/>
              <w:right w:val="nil"/>
            </w:tcBorders>
            <w:noWrap/>
          </w:tcPr>
          <w:p w:rsidR="006E7D59" w:rsidRPr="003B4666" w:rsidRDefault="009D0CB2" w:rsidP="001D5C80">
            <w:pPr>
              <w:spacing w:after="0"/>
              <w:ind w:left="-81"/>
              <w:rPr>
                <w:sz w:val="16"/>
                <w:szCs w:val="16"/>
              </w:rPr>
            </w:pPr>
            <w:r w:rsidRPr="003B4666">
              <w:rPr>
                <w:sz w:val="16"/>
                <w:szCs w:val="16"/>
              </w:rPr>
              <w:t>load is reflected in the calculation of BU.</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top w:val="nil"/>
              <w:left w:val="nil"/>
              <w:bottom w:val="nil"/>
              <w:right w:val="nil"/>
            </w:tcBorders>
            <w:noWrap/>
          </w:tcPr>
          <w:p w:rsidR="006E7D59" w:rsidRPr="003B4666" w:rsidRDefault="009D0CB2" w:rsidP="001D5C80">
            <w:pPr>
              <w:spacing w:after="0"/>
              <w:ind w:left="-81"/>
              <w:rPr>
                <w:sz w:val="16"/>
                <w:szCs w:val="16"/>
              </w:rPr>
            </w:pPr>
            <w:r w:rsidRPr="003B4666">
              <w:rPr>
                <w:sz w:val="16"/>
                <w:szCs w:val="16"/>
              </w:rPr>
              <w:t> </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Transmission Rents shall equal all Transmission-related rental income </w:t>
            </w:r>
            <w:r w:rsidRPr="003B4666">
              <w:rPr>
                <w:color w:val="000000"/>
                <w:sz w:val="16"/>
                <w:szCs w:val="16"/>
              </w:rPr>
              <w:t>recorded in FERC</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left w:val="nil"/>
              <w:bottom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account 454.615</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p>
        </w:tc>
        <w:tc>
          <w:tcPr>
            <w:tcW w:w="6253" w:type="dxa"/>
            <w:tcBorders>
              <w:top w:val="nil"/>
              <w:left w:val="nil"/>
              <w:bottom w:val="nil"/>
              <w:right w:val="nil"/>
            </w:tcBorders>
            <w:noWrap/>
          </w:tcPr>
          <w:p w:rsidR="006E7D59" w:rsidRPr="003B4666" w:rsidRDefault="009D0CB2" w:rsidP="001D5C80">
            <w:pPr>
              <w:spacing w:after="0"/>
              <w:ind w:left="-81"/>
              <w:rPr>
                <w:sz w:val="16"/>
                <w:szCs w:val="16"/>
              </w:rPr>
            </w:pPr>
            <w:r w:rsidRPr="003B4666">
              <w:rPr>
                <w:sz w:val="16"/>
                <w:szCs w:val="16"/>
              </w:rPr>
              <w:t> </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jc w:val="center"/>
              <w:rPr>
                <w:sz w:val="16"/>
                <w:szCs w:val="16"/>
              </w:rPr>
            </w:pP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9D0CB2" w:rsidP="001D5C80">
            <w:pPr>
              <w:spacing w:after="0"/>
              <w:ind w:left="-81"/>
              <w:rPr>
                <w:sz w:val="16"/>
                <w:szCs w:val="16"/>
              </w:rPr>
            </w:pPr>
            <w:r w:rsidRPr="003B4666">
              <w:rPr>
                <w:sz w:val="16"/>
                <w:szCs w:val="16"/>
              </w:rPr>
              <w:t> </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revisions resulting from any FERC proceeding to consider the </w:t>
            </w:r>
            <w:r w:rsidRPr="003B4666">
              <w:rPr>
                <w:color w:val="000000"/>
                <w:sz w:val="16"/>
                <w:szCs w:val="16"/>
              </w:rPr>
              <w:t>Annual Update, or</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charges produced by the </w:t>
            </w:r>
            <w:r w:rsidRPr="003B4666">
              <w:rPr>
                <w:color w:val="000000"/>
                <w:sz w:val="16"/>
                <w:szCs w:val="16"/>
              </w:rPr>
              <w:t>Formula Rate (with interest determined in accordance</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any </w:t>
            </w:r>
            <w:r w:rsidRPr="003B4666">
              <w:rPr>
                <w:color w:val="000000"/>
                <w:sz w:val="16"/>
                <w:szCs w:val="16"/>
              </w:rPr>
              <w:t>refunds or surcharges, except that, if an error in a Data Input is discovered</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incorporated prospectively into the charges produced by the Formula Rate </w:t>
            </w:r>
            <w:r w:rsidRPr="003B4666">
              <w:rPr>
                <w:color w:val="000000"/>
                <w:sz w:val="16"/>
                <w:szCs w:val="16"/>
              </w:rPr>
              <w:t>during</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9D0CB2"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r>
      <w:tr w:rsidR="00BA5C95" w:rsidTr="001D5C80">
        <w:trPr>
          <w:trHeight w:val="144"/>
        </w:trPr>
        <w:tc>
          <w:tcPr>
            <w:tcW w:w="510"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9D0CB2"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9D0CB2" w:rsidP="001D5C80">
            <w:pPr>
              <w:spacing w:after="0"/>
              <w:rPr>
                <w:sz w:val="16"/>
                <w:szCs w:val="16"/>
              </w:rPr>
            </w:pPr>
            <w:r w:rsidRPr="003B4666">
              <w:rPr>
                <w:sz w:val="16"/>
                <w:szCs w:val="16"/>
              </w:rPr>
              <w:t> </w:t>
            </w:r>
          </w:p>
        </w:tc>
      </w:tr>
    </w:tbl>
    <w:p w:rsidR="006E7D59" w:rsidRPr="00512488" w:rsidRDefault="009D0CB2" w:rsidP="001D5C80">
      <w:pPr>
        <w:pStyle w:val="Header"/>
        <w:spacing w:after="0"/>
        <w:rPr>
          <w:rStyle w:val="PageNumber"/>
          <w:sz w:val="16"/>
          <w:szCs w:val="16"/>
        </w:rPr>
      </w:pPr>
    </w:p>
    <w:p w:rsidR="006E7D59" w:rsidRPr="00512488" w:rsidRDefault="009D0CB2"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BA5C95" w:rsidTr="001D5C80">
        <w:trPr>
          <w:trHeight w:val="378"/>
        </w:trPr>
        <w:tc>
          <w:tcPr>
            <w:tcW w:w="72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9D0CB2" w:rsidP="001D5C80">
            <w:pPr>
              <w:spacing w:after="0"/>
              <w:jc w:val="right"/>
              <w:rPr>
                <w:b/>
                <w:bCs/>
                <w:sz w:val="16"/>
                <w:szCs w:val="16"/>
              </w:rPr>
            </w:pPr>
            <w:r w:rsidRPr="003B4666">
              <w:rPr>
                <w:b/>
                <w:bCs/>
                <w:sz w:val="16"/>
                <w:szCs w:val="16"/>
              </w:rPr>
              <w:t>Schedule 11</w:t>
            </w:r>
          </w:p>
          <w:p w:rsidR="006E7D59" w:rsidRPr="003B4666" w:rsidRDefault="009D0CB2" w:rsidP="001D5C80">
            <w:pPr>
              <w:spacing w:after="0"/>
              <w:jc w:val="right"/>
              <w:rPr>
                <w:sz w:val="16"/>
                <w:szCs w:val="16"/>
              </w:rPr>
            </w:pPr>
            <w:r w:rsidRPr="003B4666">
              <w:rPr>
                <w:b/>
                <w:bCs/>
                <w:sz w:val="16"/>
                <w:szCs w:val="16"/>
              </w:rPr>
              <w:t>Page 1 of 1</w:t>
            </w:r>
          </w:p>
        </w:tc>
      </w:tr>
      <w:tr w:rsidR="00BA5C95" w:rsidTr="001D5C80">
        <w:trPr>
          <w:trHeight w:val="207"/>
        </w:trPr>
        <w:tc>
          <w:tcPr>
            <w:tcW w:w="72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b/>
                <w:bCs/>
                <w:sz w:val="16"/>
                <w:szCs w:val="16"/>
              </w:rPr>
            </w:pPr>
          </w:p>
        </w:tc>
      </w:tr>
      <w:tr w:rsidR="00BA5C95" w:rsidTr="001D5C80">
        <w:trPr>
          <w:trHeight w:val="180"/>
        </w:trPr>
        <w:tc>
          <w:tcPr>
            <w:tcW w:w="720"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r>
      <w:tr w:rsidR="00BA5C95" w:rsidTr="001D5C80">
        <w:trPr>
          <w:trHeight w:val="315"/>
        </w:trPr>
        <w:tc>
          <w:tcPr>
            <w:tcW w:w="720"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r>
      <w:tr w:rsidR="00BA5C95" w:rsidTr="001D5C80">
        <w:trPr>
          <w:trHeight w:val="300"/>
        </w:trPr>
        <w:tc>
          <w:tcPr>
            <w:tcW w:w="720" w:type="dxa"/>
            <w:tcBorders>
              <w:top w:val="nil"/>
              <w:left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9D0CB2"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9D0CB2"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9D0CB2" w:rsidP="001D5C80">
            <w:pPr>
              <w:spacing w:after="0"/>
              <w:rPr>
                <w:sz w:val="16"/>
                <w:szCs w:val="16"/>
              </w:rPr>
            </w:pPr>
            <w:r w:rsidRPr="003B4666">
              <w:rPr>
                <w:sz w:val="16"/>
                <w:szCs w:val="16"/>
              </w:rPr>
              <w:t>already recovered under Schedule 1 of the NYISO Tariff.  </w:t>
            </w:r>
          </w:p>
        </w:tc>
      </w:tr>
      <w:tr w:rsidR="00BA5C95" w:rsidTr="001D5C80">
        <w:trPr>
          <w:trHeight w:val="315"/>
        </w:trPr>
        <w:tc>
          <w:tcPr>
            <w:tcW w:w="720" w:type="dxa"/>
            <w:tcBorders>
              <w:top w:val="nil"/>
              <w:left w:val="nil"/>
              <w:right w:val="nil"/>
            </w:tcBorders>
            <w:noWrap/>
            <w:vAlign w:val="bottom"/>
          </w:tcPr>
          <w:p w:rsidR="006E7D59" w:rsidRPr="003B4666" w:rsidRDefault="009D0CB2" w:rsidP="001D5C80">
            <w:pPr>
              <w:spacing w:after="0"/>
              <w:rPr>
                <w:sz w:val="16"/>
                <w:szCs w:val="16"/>
              </w:rPr>
            </w:pP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9D0CB2"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9D0CB2"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440" w:type="dxa"/>
            <w:tcBorders>
              <w:top w:val="nil"/>
              <w:left w:val="nil"/>
              <w:bottom w:val="nil"/>
              <w:right w:val="nil"/>
            </w:tcBorders>
            <w:noWrap/>
            <w:vAlign w:val="bottom"/>
          </w:tcPr>
          <w:p w:rsidR="006E7D59" w:rsidRPr="003B4666" w:rsidRDefault="009D0CB2" w:rsidP="001D5C80">
            <w:pPr>
              <w:spacing w:after="0"/>
              <w:jc w:val="center"/>
              <w:rPr>
                <w:b/>
                <w:bCs/>
                <w:sz w:val="16"/>
                <w:szCs w:val="16"/>
                <w:u w:val="single"/>
              </w:rPr>
            </w:pPr>
          </w:p>
        </w:tc>
      </w:tr>
      <w:tr w:rsidR="00BA5C95" w:rsidTr="001D5C80">
        <w:trPr>
          <w:trHeight w:val="315"/>
        </w:trPr>
        <w:tc>
          <w:tcPr>
            <w:tcW w:w="720" w:type="dxa"/>
            <w:tcBorders>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9D0CB2"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9D0CB2" w:rsidP="001D5C80">
            <w:pPr>
              <w:spacing w:after="0"/>
              <w:jc w:val="right"/>
              <w:rPr>
                <w:b/>
                <w:bCs/>
                <w:sz w:val="16"/>
                <w:szCs w:val="16"/>
                <w:u w:val="single"/>
              </w:rPr>
            </w:pPr>
            <w:r w:rsidRPr="003B4666">
              <w:rPr>
                <w:b/>
                <w:bCs/>
                <w:sz w:val="16"/>
                <w:szCs w:val="16"/>
                <w:u w:val="single"/>
              </w:rPr>
              <w:t>0</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ind w:right="380"/>
              <w:jc w:val="center"/>
              <w:rPr>
                <w:b/>
                <w:bCs/>
                <w:sz w:val="16"/>
                <w:szCs w:val="16"/>
                <w:u w:val="single"/>
              </w:rPr>
            </w:pPr>
            <w:r w:rsidRPr="003B4666">
              <w:rPr>
                <w:b/>
                <w:bCs/>
                <w:sz w:val="16"/>
                <w:szCs w:val="16"/>
                <w:u w:val="single"/>
              </w:rPr>
              <w:t>Source</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FF1 321.84b</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FF1 321.85b</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FF1 321.86b</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FF1 321.87b</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FF1 321.88b</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FF1 321.89b</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FF1 321.90b</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FF1 321.91b</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FF1 321.92b</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342"/>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sum lines 3 - 11</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9D0CB2" w:rsidP="001D5C80">
            <w:pPr>
              <w:spacing w:after="0"/>
              <w:ind w:left="-108"/>
              <w:rPr>
                <w:sz w:val="16"/>
                <w:szCs w:val="16"/>
              </w:rPr>
            </w:pPr>
            <w:r w:rsidRPr="003B4666">
              <w:rPr>
                <w:sz w:val="16"/>
                <w:szCs w:val="16"/>
              </w:rPr>
              <w:t>Less Account 561 directly recovered under Schedule 1 of the NY ISO Tariff</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288"/>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7</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11</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17 + line 18</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13 - line 19</w:t>
            </w:r>
          </w:p>
        </w:tc>
      </w:tr>
      <w:tr w:rsidR="00BA5C95" w:rsidTr="001D5C80">
        <w:trPr>
          <w:trHeight w:val="300"/>
        </w:trPr>
        <w:tc>
          <w:tcPr>
            <w:tcW w:w="72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bl>
    <w:p w:rsidR="006E7D59" w:rsidRPr="00512488" w:rsidRDefault="009D0CB2" w:rsidP="001D5C80">
      <w:pPr>
        <w:pStyle w:val="Header"/>
        <w:spacing w:after="0"/>
        <w:rPr>
          <w:rStyle w:val="PageNumber"/>
          <w:sz w:val="16"/>
          <w:szCs w:val="16"/>
        </w:rPr>
      </w:pPr>
    </w:p>
    <w:p w:rsidR="006E7D59" w:rsidRPr="00512488" w:rsidRDefault="009D0CB2"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BA5C95" w:rsidTr="001D5C80">
        <w:trPr>
          <w:trHeight w:val="300"/>
        </w:trPr>
        <w:tc>
          <w:tcPr>
            <w:tcW w:w="4196" w:type="dxa"/>
            <w:gridSpan w:val="4"/>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p w:rsidR="006E7D59" w:rsidRPr="003B4666" w:rsidRDefault="009D0CB2"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9D0CB2" w:rsidP="001D5C80">
            <w:pPr>
              <w:spacing w:after="0"/>
              <w:rPr>
                <w:sz w:val="16"/>
                <w:szCs w:val="16"/>
              </w:rPr>
            </w:pPr>
          </w:p>
        </w:tc>
        <w:tc>
          <w:tcPr>
            <w:tcW w:w="7175"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Attachment 1</w:t>
            </w:r>
          </w:p>
          <w:p w:rsidR="006E7D59" w:rsidRPr="003B4666" w:rsidRDefault="009D0CB2" w:rsidP="001D5C80">
            <w:pPr>
              <w:spacing w:after="0"/>
              <w:rPr>
                <w:b/>
                <w:bCs/>
                <w:sz w:val="16"/>
                <w:szCs w:val="16"/>
              </w:rPr>
            </w:pPr>
            <w:r w:rsidRPr="003B4666">
              <w:rPr>
                <w:b/>
                <w:bCs/>
                <w:sz w:val="16"/>
                <w:szCs w:val="16"/>
              </w:rPr>
              <w:t>Schedule 12</w:t>
            </w:r>
          </w:p>
          <w:p w:rsidR="006E7D59" w:rsidRPr="003B4666" w:rsidRDefault="009D0CB2" w:rsidP="001D5C80">
            <w:pPr>
              <w:spacing w:after="0"/>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207"/>
        </w:trPr>
        <w:tc>
          <w:tcPr>
            <w:tcW w:w="6390" w:type="dxa"/>
            <w:gridSpan w:val="6"/>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180"/>
        </w:trPr>
        <w:tc>
          <w:tcPr>
            <w:tcW w:w="2625" w:type="dxa"/>
            <w:gridSpan w:val="3"/>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r>
      <w:tr w:rsidR="00BA5C95" w:rsidTr="001D5C80">
        <w:trPr>
          <w:trHeight w:val="135"/>
        </w:trPr>
        <w:tc>
          <w:tcPr>
            <w:tcW w:w="754"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9D0CB2" w:rsidP="001D5C80">
            <w:pPr>
              <w:spacing w:after="0"/>
              <w:rPr>
                <w:b/>
                <w:bCs/>
                <w:sz w:val="16"/>
                <w:szCs w:val="16"/>
              </w:rPr>
            </w:pPr>
            <w:r w:rsidRPr="003B4666">
              <w:rPr>
                <w:b/>
                <w:bCs/>
                <w:sz w:val="16"/>
                <w:szCs w:val="16"/>
              </w:rPr>
              <w:t> </w:t>
            </w:r>
          </w:p>
        </w:tc>
      </w:tr>
      <w:tr w:rsidR="00BA5C95" w:rsidTr="001D5C80">
        <w:trPr>
          <w:trHeight w:val="300"/>
        </w:trPr>
        <w:tc>
          <w:tcPr>
            <w:tcW w:w="754"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9D0CB2"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9D0CB2" w:rsidP="001D5C80">
            <w:pPr>
              <w:spacing w:after="0"/>
              <w:rPr>
                <w:sz w:val="16"/>
                <w:szCs w:val="16"/>
              </w:rPr>
            </w:pPr>
          </w:p>
        </w:tc>
      </w:tr>
    </w:tbl>
    <w:p w:rsidR="006E7D59" w:rsidRPr="00512488" w:rsidRDefault="009D0CB2"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BA5C95" w:rsidTr="001D5C80">
        <w:trPr>
          <w:trHeight w:val="315"/>
        </w:trPr>
        <w:tc>
          <w:tcPr>
            <w:tcW w:w="810" w:type="dxa"/>
            <w:tcBorders>
              <w:top w:val="nil"/>
              <w:left w:val="nil"/>
              <w:right w:val="nil"/>
            </w:tcBorders>
            <w:noWrap/>
            <w:vAlign w:val="bottom"/>
          </w:tcPr>
          <w:p w:rsidR="006E7D59" w:rsidRPr="003B4666" w:rsidRDefault="009D0CB2"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9D0CB2" w:rsidP="00CA41A5">
            <w:pPr>
              <w:spacing w:after="0"/>
              <w:rPr>
                <w:b/>
                <w:bCs/>
                <w:sz w:val="16"/>
                <w:szCs w:val="16"/>
                <w:u w:val="single"/>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BA5C95" w:rsidTr="001D5C80">
        <w:trPr>
          <w:trHeight w:val="300"/>
        </w:trPr>
        <w:tc>
          <w:tcPr>
            <w:tcW w:w="810" w:type="dxa"/>
            <w:tcBorders>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NIMO TOL (transmission owner load)</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NIMO TOL (transmission owner load)</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NIMO TOL (transmission owner load)</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NIMO TOL (transmission owner load)</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NIMO TOL </w:t>
            </w:r>
            <w:r w:rsidRPr="003B4666">
              <w:rPr>
                <w:sz w:val="16"/>
                <w:szCs w:val="16"/>
              </w:rPr>
              <w:t>(transmission owner load)</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NIMO TOL (transmission owner load)</w:t>
            </w:r>
          </w:p>
        </w:tc>
      </w:tr>
      <w:tr w:rsidR="00BA5C95" w:rsidTr="001D5C80">
        <w:trPr>
          <w:trHeight w:val="162"/>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315"/>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sum lines 1-6</w:t>
            </w:r>
          </w:p>
        </w:tc>
      </w:tr>
      <w:tr w:rsidR="00BA5C95" w:rsidTr="001D5C80">
        <w:trPr>
          <w:trHeight w:val="8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FF1 page 329.11.j</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NIMO TOL (transmission owner load)</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All other non-retail transactions (Sum of 300,000 series PTID's from TOL)</w:t>
            </w:r>
          </w:p>
        </w:tc>
      </w:tr>
      <w:tr w:rsidR="00BA5C95" w:rsidTr="001D5C80">
        <w:trPr>
          <w:trHeight w:val="315"/>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sum lines 9 - 1</w:t>
            </w:r>
            <w:r>
              <w:rPr>
                <w:sz w:val="16"/>
                <w:szCs w:val="16"/>
              </w:rPr>
              <w:t>1</w:t>
            </w:r>
          </w:p>
        </w:tc>
      </w:tr>
      <w:tr w:rsidR="00BA5C95" w:rsidTr="001D5C80">
        <w:trPr>
          <w:trHeight w:val="99"/>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PLUS: TSC </w:t>
            </w:r>
            <w:r w:rsidRPr="003B4666">
              <w:rPr>
                <w:sz w:val="16"/>
                <w:szCs w:val="16"/>
              </w:rPr>
              <w:t>Load</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FF1 page 329.19.j </w:t>
            </w:r>
          </w:p>
        </w:tc>
      </w:tr>
      <w:tr w:rsidR="00BA5C95" w:rsidTr="001D5C80">
        <w:trPr>
          <w:trHeight w:val="300"/>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9D0CB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xml:space="preserve">FF1 page 329.1.j   </w:t>
            </w:r>
          </w:p>
        </w:tc>
      </w:tr>
      <w:tr w:rsidR="00BA5C95" w:rsidTr="001D5C80">
        <w:trPr>
          <w:trHeight w:val="315"/>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sum lines 15 -17</w:t>
            </w:r>
          </w:p>
        </w:tc>
      </w:tr>
      <w:tr w:rsidR="00BA5C95" w:rsidTr="001D5C80">
        <w:trPr>
          <w:trHeight w:val="99"/>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D0CB2"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r>
      <w:tr w:rsidR="00BA5C95" w:rsidTr="001D5C80">
        <w:trPr>
          <w:trHeight w:val="315"/>
        </w:trPr>
        <w:tc>
          <w:tcPr>
            <w:tcW w:w="810" w:type="dxa"/>
            <w:tcBorders>
              <w:top w:val="nil"/>
              <w:left w:val="nil"/>
              <w:bottom w:val="nil"/>
              <w:right w:val="nil"/>
            </w:tcBorders>
            <w:noWrap/>
            <w:vAlign w:val="bottom"/>
          </w:tcPr>
          <w:p w:rsidR="006E7D59" w:rsidRPr="003B4666" w:rsidRDefault="009D0CB2"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9D0CB2"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r w:rsidRPr="003B4666">
              <w:rPr>
                <w:sz w:val="16"/>
                <w:szCs w:val="16"/>
              </w:rPr>
              <w:t>line 7 - line 1</w:t>
            </w:r>
            <w:r>
              <w:rPr>
                <w:sz w:val="16"/>
                <w:szCs w:val="16"/>
              </w:rPr>
              <w:t>2</w:t>
            </w:r>
            <w:r w:rsidRPr="003B4666">
              <w:rPr>
                <w:sz w:val="16"/>
                <w:szCs w:val="16"/>
              </w:rPr>
              <w:t xml:space="preserve"> + line 1</w:t>
            </w:r>
            <w:r>
              <w:rPr>
                <w:sz w:val="16"/>
                <w:szCs w:val="16"/>
              </w:rPr>
              <w:t>6</w:t>
            </w:r>
          </w:p>
        </w:tc>
      </w:tr>
      <w:tr w:rsidR="00BA5C95" w:rsidTr="001D5C80">
        <w:trPr>
          <w:trHeight w:val="153"/>
        </w:trPr>
        <w:tc>
          <w:tcPr>
            <w:tcW w:w="810" w:type="dxa"/>
            <w:tcBorders>
              <w:top w:val="nil"/>
              <w:left w:val="nil"/>
              <w:bottom w:val="nil"/>
              <w:right w:val="nil"/>
            </w:tcBorders>
            <w:noWrap/>
            <w:vAlign w:val="bottom"/>
          </w:tcPr>
          <w:p w:rsidR="006E7D59" w:rsidRPr="003B4666" w:rsidRDefault="009D0CB2" w:rsidP="001D5C80">
            <w:pPr>
              <w:spacing w:after="0"/>
              <w:jc w:val="center"/>
              <w:rPr>
                <w:sz w:val="16"/>
                <w:szCs w:val="16"/>
              </w:rPr>
            </w:pP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9D0CB2" w:rsidP="001D5C80">
            <w:pPr>
              <w:spacing w:after="0"/>
              <w:rPr>
                <w:sz w:val="16"/>
                <w:szCs w:val="16"/>
              </w:rPr>
            </w:pPr>
          </w:p>
        </w:tc>
        <w:tc>
          <w:tcPr>
            <w:tcW w:w="256"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399" w:type="dxa"/>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315"/>
        </w:trPr>
        <w:tc>
          <w:tcPr>
            <w:tcW w:w="810" w:type="dxa"/>
            <w:tcBorders>
              <w:top w:val="nil"/>
              <w:left w:val="nil"/>
              <w:bottom w:val="nil"/>
              <w:right w:val="nil"/>
            </w:tcBorders>
            <w:noWrap/>
          </w:tcPr>
          <w:p w:rsidR="006E7D59" w:rsidRPr="003B4666" w:rsidRDefault="009D0CB2" w:rsidP="001D5C80">
            <w:pPr>
              <w:spacing w:after="0"/>
              <w:rPr>
                <w:sz w:val="16"/>
                <w:szCs w:val="16"/>
              </w:rPr>
            </w:pP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80"/>
        </w:trPr>
        <w:tc>
          <w:tcPr>
            <w:tcW w:w="8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288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251"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9D0CB2"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7740" w:type="dxa"/>
            <w:tcBorders>
              <w:top w:val="nil"/>
              <w:left w:val="nil"/>
              <w:bottom w:val="nil"/>
              <w:right w:val="nil"/>
            </w:tcBorders>
            <w:noWrap/>
            <w:vAlign w:val="bottom"/>
          </w:tcPr>
          <w:p w:rsidR="006E7D59" w:rsidRPr="003B4666" w:rsidRDefault="009D0CB2" w:rsidP="001D5C80">
            <w:pPr>
              <w:spacing w:after="0"/>
              <w:rPr>
                <w:sz w:val="16"/>
                <w:szCs w:val="16"/>
              </w:rPr>
            </w:pPr>
          </w:p>
        </w:tc>
      </w:tr>
      <w:tr w:rsidR="00BA5C95" w:rsidTr="001D5C80">
        <w:trPr>
          <w:trHeight w:val="315"/>
        </w:trPr>
        <w:tc>
          <w:tcPr>
            <w:tcW w:w="810" w:type="dxa"/>
            <w:tcBorders>
              <w:top w:val="nil"/>
              <w:left w:val="nil"/>
              <w:bottom w:val="nil"/>
              <w:right w:val="nil"/>
            </w:tcBorders>
            <w:noWrap/>
            <w:vAlign w:val="bottom"/>
          </w:tcPr>
          <w:p w:rsidR="006E7D59" w:rsidRPr="003B4666" w:rsidRDefault="009D0CB2" w:rsidP="001D5C80">
            <w:pPr>
              <w:spacing w:after="0"/>
              <w:rPr>
                <w:sz w:val="16"/>
                <w:szCs w:val="16"/>
              </w:rPr>
            </w:pPr>
          </w:p>
        </w:tc>
        <w:tc>
          <w:tcPr>
            <w:tcW w:w="310" w:type="dxa"/>
            <w:tcBorders>
              <w:top w:val="nil"/>
              <w:left w:val="nil"/>
              <w:bottom w:val="nil"/>
              <w:right w:val="nil"/>
            </w:tcBorders>
          </w:tcPr>
          <w:p w:rsidR="006E7D59" w:rsidRPr="003B4666" w:rsidRDefault="009D0CB2" w:rsidP="001D5C80">
            <w:pPr>
              <w:spacing w:after="0"/>
              <w:rPr>
                <w:sz w:val="16"/>
                <w:szCs w:val="16"/>
              </w:rPr>
            </w:pPr>
          </w:p>
        </w:tc>
        <w:tc>
          <w:tcPr>
            <w:tcW w:w="13025" w:type="dxa"/>
            <w:gridSpan w:val="7"/>
            <w:tcBorders>
              <w:top w:val="nil"/>
              <w:left w:val="nil"/>
              <w:bottom w:val="nil"/>
              <w:right w:val="nil"/>
            </w:tcBorders>
            <w:noWrap/>
          </w:tcPr>
          <w:p w:rsidR="006E7D59" w:rsidRPr="003B4666" w:rsidRDefault="009D0CB2" w:rsidP="001D5C80">
            <w:pPr>
              <w:spacing w:after="0"/>
              <w:rPr>
                <w:sz w:val="16"/>
                <w:szCs w:val="16"/>
              </w:rPr>
            </w:pPr>
          </w:p>
        </w:tc>
      </w:tr>
    </w:tbl>
    <w:p w:rsidR="006E7D59" w:rsidRDefault="009D0CB2" w:rsidP="001D5C80">
      <w:pPr>
        <w:rPr>
          <w:rFonts w:cs="Tahoma"/>
          <w:color w:val="000000"/>
        </w:rPr>
      </w:pPr>
    </w:p>
    <w:p w:rsidR="006E7D59" w:rsidRDefault="009D0CB2" w:rsidP="001D5C80">
      <w:pPr>
        <w:pStyle w:val="Heading2"/>
        <w:sectPr w:rsidR="006E7D59"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9D0CB2" w:rsidP="001D5C80">
      <w:pPr>
        <w:pStyle w:val="Heading2"/>
        <w:pageBreakBefore/>
        <w:spacing w:line="240" w:lineRule="auto"/>
        <w:rPr>
          <w:rFonts w:ascii="Times New Roman" w:hAnsi="Times New Roman"/>
          <w:sz w:val="24"/>
          <w:szCs w:val="24"/>
        </w:rPr>
      </w:pPr>
      <w:bookmarkStart w:id="4"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4"/>
    </w:p>
    <w:p w:rsidR="006E7D59" w:rsidRPr="005336EA" w:rsidRDefault="009D0CB2" w:rsidP="001D5C80">
      <w:pPr>
        <w:pStyle w:val="Heading4"/>
        <w:spacing w:line="240" w:lineRule="auto"/>
        <w:rPr>
          <w:rFonts w:ascii="Times New Roman" w:hAnsi="Times New Roman"/>
          <w:sz w:val="24"/>
          <w:szCs w:val="24"/>
        </w:rPr>
      </w:pPr>
      <w:bookmarkStart w:id="5"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5"/>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 and each Transm</w:t>
      </w:r>
      <w:r w:rsidRPr="0056248D">
        <w:rPr>
          <w:rFonts w:ascii="Times New Roman" w:hAnsi="Times New Roman"/>
          <w:sz w:val="24"/>
          <w:szCs w:val="24"/>
        </w:rPr>
        <w:t>ission Customer shall pay, the applicable NYPA Transmission Adjustment Charge (“NTAC”) calculated in accordance with Section 14.2.2.2.2 of this Attachment for the first two (2) months of LBMP and in accordance with Section 14.2.2.2.1 of this Attachment the</w:t>
      </w:r>
      <w:r w:rsidRPr="0056248D">
        <w:rPr>
          <w:rFonts w:ascii="Times New Roman" w:hAnsi="Times New Roman"/>
          <w:sz w:val="24"/>
          <w:szCs w:val="24"/>
        </w:rPr>
        <w:t>reafter.  The NTAC shall apply to Transmission Service:</w:t>
      </w:r>
    </w:p>
    <w:p w:rsidR="006E7D59" w:rsidRPr="005336EA" w:rsidRDefault="009D0CB2"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6" w:name="_Ref265662624"/>
      <w:r>
        <w:rPr>
          <w:rFonts w:ascii="Times New Roman" w:hAnsi="Times New Roman"/>
          <w:sz w:val="24"/>
          <w:szCs w:val="24"/>
          <w:vertAlign w:val="superscript"/>
        </w:rPr>
        <w:footnoteReference w:id="1"/>
      </w:r>
      <w:bookmarkEnd w:id="6"/>
      <w:r w:rsidRPr="005336EA">
        <w:rPr>
          <w:rFonts w:ascii="Times New Roman" w:hAnsi="Times New Roman"/>
          <w:sz w:val="24"/>
          <w:szCs w:val="24"/>
        </w:rPr>
        <w:t xml:space="preserve"> or</w:t>
      </w:r>
    </w:p>
    <w:p w:rsidR="00243031" w:rsidRPr="005336EA" w:rsidRDefault="009D0CB2" w:rsidP="00243031">
      <w:pPr>
        <w:pStyle w:val="alphapara"/>
        <w:spacing w:after="0"/>
        <w:rPr>
          <w:rFonts w:ascii="Times New Roman" w:hAnsi="Times New Roman"/>
          <w:sz w:val="24"/>
          <w:szCs w:val="24"/>
        </w:rPr>
      </w:pPr>
      <w:r w:rsidRPr="005336EA">
        <w:rPr>
          <w:rFonts w:ascii="Times New Roman" w:hAnsi="Times New Roman"/>
          <w:sz w:val="24"/>
          <w:szCs w:val="24"/>
        </w:rPr>
        <w:t>14.</w:t>
      </w:r>
      <w:r w:rsidRPr="005336EA">
        <w:rPr>
          <w:rFonts w:ascii="Times New Roman" w:hAnsi="Times New Roman"/>
          <w:sz w:val="24"/>
          <w:szCs w:val="24"/>
        </w:rPr>
        <w:t>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fldSimple w:instr=" NOTEREF _Ref265662624 \h  \* MERGEFORMAT ">
        <w:r>
          <w:t>3</w:t>
        </w:r>
      </w:fldSimple>
      <w:r w:rsidRPr="005336EA">
        <w:rPr>
          <w:rFonts w:ascii="Times New Roman" w:hAnsi="Times New Roman"/>
          <w:sz w:val="24"/>
          <w:szCs w:val="24"/>
        </w:rPr>
        <w:t xml:space="preserve"> or</w:t>
      </w:r>
    </w:p>
    <w:p w:rsidR="006E7D59" w:rsidRPr="005336EA" w:rsidRDefault="009D0CB2"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In summary</w:t>
      </w:r>
      <w:ins w:id="7" w:author="Author" w:date="2016-01-27T23:50:00Z">
        <w:r>
          <w:rPr>
            <w:rFonts w:ascii="Times New Roman" w:hAnsi="Times New Roman"/>
            <w:sz w:val="24"/>
            <w:szCs w:val="24"/>
          </w:rPr>
          <w:t>,</w:t>
        </w:r>
      </w:ins>
      <w:r w:rsidRPr="0056248D">
        <w:rPr>
          <w:rFonts w:ascii="Times New Roman" w:hAnsi="Times New Roman"/>
          <w:sz w:val="24"/>
          <w:szCs w:val="24"/>
        </w:rPr>
        <w:t xml:space="preserve"> the NTAC will be applied to all Energy Transactions, including internal New York State Loads and Wheels Through and Exports out of the NYCA at a uniform, non-discountable rate.</w:t>
      </w:r>
    </w:p>
    <w:p w:rsidR="006E7D59" w:rsidRPr="005336EA" w:rsidRDefault="009D0CB2" w:rsidP="001D5C80">
      <w:pPr>
        <w:pStyle w:val="Heading4"/>
        <w:spacing w:line="240" w:lineRule="auto"/>
        <w:rPr>
          <w:rFonts w:ascii="Times New Roman" w:hAnsi="Times New Roman"/>
          <w:sz w:val="24"/>
          <w:szCs w:val="24"/>
        </w:rPr>
      </w:pPr>
      <w:bookmarkStart w:id="8"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8"/>
    </w:p>
    <w:p w:rsidR="006E7D59" w:rsidRPr="005336EA" w:rsidRDefault="009D0CB2" w:rsidP="001D5C80">
      <w:pPr>
        <w:pStyle w:val="Heading4"/>
        <w:spacing w:line="240" w:lineRule="auto"/>
        <w:rPr>
          <w:rFonts w:ascii="Times New Roman" w:hAnsi="Times New Roman"/>
          <w:sz w:val="24"/>
          <w:szCs w:val="24"/>
        </w:rPr>
      </w:pPr>
      <w:bookmarkStart w:id="9"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9"/>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Beginning with January 2001,</w:t>
      </w:r>
      <w:r w:rsidRPr="0056248D">
        <w:rPr>
          <w:rFonts w:ascii="Times New Roman" w:hAnsi="Times New Roman"/>
          <w:sz w:val="24"/>
          <w:szCs w:val="24"/>
        </w:rPr>
        <w:t xml:space="preserve"> NYPA shall calculate the NTAC applicable to Transmission Service to serve New York State Load, Wheels Through and Exports as follows:</w:t>
      </w:r>
    </w:p>
    <w:p w:rsidR="006E7D59" w:rsidRPr="00154F9F" w:rsidRDefault="009D0CB2" w:rsidP="001D5C80">
      <w:pPr>
        <w:pStyle w:val="equationtext"/>
      </w:pPr>
      <w:r w:rsidRPr="0056248D">
        <w:t>NTAC = {(</w:t>
      </w:r>
      <w:r>
        <w:t>AT</w:t>
      </w:r>
      <w:r w:rsidRPr="0056248D">
        <w:t>RR</w:t>
      </w:r>
      <w:ins w:id="10" w:author="Author" w:date="2016-01-21T16:53:00Z">
        <w:r>
          <w:rPr>
            <w:vertAlign w:val="subscript"/>
          </w:rPr>
          <w:t>N</w:t>
        </w:r>
      </w:ins>
      <w:ins w:id="11" w:author="Author" w:date="2016-01-21T17:14:00Z">
        <w:r>
          <w:rPr>
            <w:vertAlign w:val="subscript"/>
          </w:rPr>
          <w:t>TAC</w:t>
        </w:r>
      </w:ins>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9D0CB2" w:rsidP="00FE1D66">
      <w:pPr>
        <w:pStyle w:val="equationdefinition"/>
        <w:tabs>
          <w:tab w:val="clear" w:pos="1440"/>
          <w:tab w:val="left" w:pos="1260"/>
        </w:tabs>
        <w:rPr>
          <w:rFonts w:ascii="Times New Roman" w:hAnsi="Times New Roman"/>
        </w:rPr>
      </w:pPr>
      <w:ins w:id="12" w:author="Author" w:date="2016-01-19T15:12:00Z">
        <w:r>
          <w:rPr>
            <w:rFonts w:ascii="Times New Roman" w:hAnsi="Times New Roman"/>
          </w:rPr>
          <w:t>AT</w:t>
        </w:r>
      </w:ins>
      <w:r w:rsidRPr="0056248D">
        <w:rPr>
          <w:rFonts w:ascii="Times New Roman" w:hAnsi="Times New Roman"/>
        </w:rPr>
        <w:t>RR</w:t>
      </w:r>
      <w:ins w:id="13" w:author="Author" w:date="2016-01-21T16:52:00Z">
        <w:r>
          <w:rPr>
            <w:rFonts w:ascii="Times New Roman" w:hAnsi="Times New Roman"/>
            <w:vertAlign w:val="subscript"/>
          </w:rPr>
          <w:t>N</w:t>
        </w:r>
      </w:ins>
      <w:ins w:id="14" w:author="Author" w:date="2016-01-21T17:13:00Z">
        <w:r>
          <w:rPr>
            <w:rFonts w:ascii="Times New Roman" w:hAnsi="Times New Roman"/>
            <w:vertAlign w:val="subscript"/>
          </w:rPr>
          <w:t>TAC</w:t>
        </w:r>
      </w:ins>
      <w:ins w:id="15" w:author="Author" w:date="2016-01-21T16:53:00Z">
        <w:r>
          <w:rPr>
            <w:rFonts w:ascii="Times New Roman" w:hAnsi="Times New Roman"/>
            <w:vertAlign w:val="subscript"/>
          </w:rPr>
          <w:t xml:space="preserve">  </w:t>
        </w:r>
      </w:ins>
      <w:r w:rsidRPr="0056248D">
        <w:rPr>
          <w:rFonts w:ascii="Times New Roman" w:hAnsi="Times New Roman"/>
        </w:rPr>
        <w:t>=</w:t>
      </w:r>
      <w:r w:rsidRPr="0056248D">
        <w:rPr>
          <w:rFonts w:ascii="Times New Roman" w:hAnsi="Times New Roman"/>
        </w:rPr>
        <w:tab/>
        <w:t xml:space="preserve">NYPA’s Annual </w:t>
      </w:r>
      <w:r w:rsidRPr="0056248D">
        <w:rPr>
          <w:rFonts w:ascii="Times New Roman" w:hAnsi="Times New Roman"/>
        </w:rPr>
        <w:t>Transmission Revenue Requirement</w:t>
      </w:r>
      <w:ins w:id="16" w:author="Author" w:date="2016-01-21T17:02:00Z">
        <w:r>
          <w:rPr>
            <w:rFonts w:ascii="Times New Roman" w:hAnsi="Times New Roman"/>
          </w:rPr>
          <w:t xml:space="preserve"> for </w:t>
        </w:r>
        <w:r>
          <w:rPr>
            <w:rFonts w:ascii="Times New Roman" w:hAnsi="Times New Roman"/>
          </w:rPr>
          <w:t xml:space="preserve">costs </w:t>
        </w:r>
      </w:ins>
      <w:ins w:id="17" w:author="Author" w:date="2016-01-21T17:04:00Z">
        <w:r>
          <w:rPr>
            <w:rFonts w:ascii="Times New Roman" w:hAnsi="Times New Roman"/>
          </w:rPr>
          <w:t xml:space="preserve">not recoverable through project-specific </w:t>
        </w:r>
      </w:ins>
      <w:ins w:id="18" w:author="Author" w:date="2016-01-22T14:22:00Z">
        <w:r>
          <w:rPr>
            <w:rFonts w:ascii="Times New Roman" w:hAnsi="Times New Roman"/>
          </w:rPr>
          <w:t xml:space="preserve">transmission </w:t>
        </w:r>
      </w:ins>
      <w:ins w:id="19" w:author="Author" w:date="2016-01-21T17:04:00Z">
        <w:r>
          <w:rPr>
            <w:rFonts w:ascii="Times New Roman" w:hAnsi="Times New Roman"/>
          </w:rPr>
          <w:t>revenue requirements</w:t>
        </w:r>
      </w:ins>
      <w:r w:rsidRPr="0056248D">
        <w:rPr>
          <w:rFonts w:ascii="Times New Roman" w:hAnsi="Times New Roman"/>
        </w:rPr>
        <w:t xml:space="preserve">, which includes the Scheduling, System Control and Dispatch Costs of NYPA’s control center, </w:t>
      </w:r>
      <w:del w:id="20" w:author="Author" w:date="2016-01-22T14:21:00Z">
        <w:r>
          <w:rPr>
            <w:rFonts w:ascii="Times New Roman" w:hAnsi="Times New Roman"/>
          </w:rPr>
          <w:delText xml:space="preserve">as approved by FERC </w:delText>
        </w:r>
      </w:del>
      <w:ins w:id="21" w:author="Author" w:date="2016-01-21T17:05:00Z">
        <w:r>
          <w:rPr>
            <w:rFonts w:ascii="Times New Roman" w:hAnsi="Times New Roman"/>
          </w:rPr>
          <w:t xml:space="preserve">all </w:t>
        </w:r>
      </w:ins>
      <w:r w:rsidRPr="0056248D">
        <w:rPr>
          <w:rFonts w:ascii="Times New Roman" w:hAnsi="Times New Roman"/>
        </w:rPr>
        <w:t xml:space="preserve">as </w:t>
      </w:r>
      <w:ins w:id="22" w:author="Author" w:date="2016-01-19T15:13:00Z">
        <w:r>
          <w:rPr>
            <w:rFonts w:ascii="Times New Roman" w:hAnsi="Times New Roman"/>
          </w:rPr>
          <w:t>determined in accor</w:t>
        </w:r>
        <w:r>
          <w:rPr>
            <w:rFonts w:ascii="Times New Roman" w:hAnsi="Times New Roman"/>
          </w:rPr>
          <w:t>dance with the Formula Rate Template provided in Section 14.2.</w:t>
        </w:r>
      </w:ins>
      <w:ins w:id="23" w:author="Author" w:date="2016-01-21T16:57:00Z">
        <w:r>
          <w:rPr>
            <w:rFonts w:ascii="Times New Roman" w:hAnsi="Times New Roman"/>
          </w:rPr>
          <w:t>3</w:t>
        </w:r>
      </w:ins>
      <w:ins w:id="24" w:author="Author" w:date="2016-01-19T15:13:00Z">
        <w:r>
          <w:rPr>
            <w:rFonts w:ascii="Times New Roman" w:hAnsi="Times New Roman"/>
          </w:rPr>
          <w:t>.1 of this Attachment, and as reflected on SC</w:t>
        </w:r>
      </w:ins>
      <w:ins w:id="25" w:author="Author" w:date="2016-01-21T17:06:00Z">
        <w:r>
          <w:rPr>
            <w:rFonts w:ascii="Times New Roman" w:hAnsi="Times New Roman"/>
          </w:rPr>
          <w:t xml:space="preserve">H </w:t>
        </w:r>
      </w:ins>
      <w:ins w:id="26" w:author="Author" w:date="2016-01-19T15:13:00Z">
        <w:r>
          <w:rPr>
            <w:rFonts w:ascii="Times New Roman" w:hAnsi="Times New Roman"/>
          </w:rPr>
          <w:t>-</w:t>
        </w:r>
      </w:ins>
      <w:ins w:id="27" w:author="Author" w:date="2016-01-21T17:06:00Z">
        <w:r>
          <w:rPr>
            <w:rFonts w:ascii="Times New Roman" w:hAnsi="Times New Roman"/>
          </w:rPr>
          <w:t xml:space="preserve"> </w:t>
        </w:r>
      </w:ins>
      <w:ins w:id="28" w:author="Author" w:date="2016-01-19T15:13:00Z">
        <w:r>
          <w:rPr>
            <w:rFonts w:ascii="Times New Roman" w:hAnsi="Times New Roman"/>
          </w:rPr>
          <w:t>Summary, line 11</w:t>
        </w:r>
      </w:ins>
      <w:ins w:id="29" w:author="Author" w:date="2016-01-27T23:52:00Z">
        <w:r>
          <w:rPr>
            <w:rFonts w:ascii="Times New Roman" w:hAnsi="Times New Roman"/>
          </w:rPr>
          <w:t xml:space="preserve"> of the Formula Rate Template</w:t>
        </w:r>
      </w:ins>
      <w:r>
        <w:rPr>
          <w:rFonts w:ascii="Times New Roman" w:hAnsi="Times New Roman"/>
        </w:rPr>
        <w:t>;</w:t>
      </w:r>
    </w:p>
    <w:p w:rsidR="006E7D59" w:rsidRPr="0056248D" w:rsidRDefault="009D0CB2"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 xml:space="preserve">Monthly Net Revenues from Modified Wheeling Agreements, Facility Agreements and Third Party </w:t>
      </w:r>
      <w:r w:rsidRPr="0056248D">
        <w:rPr>
          <w:rFonts w:ascii="Times New Roman" w:hAnsi="Times New Roman"/>
        </w:rPr>
        <w:t>TWAs, and Deliveries to directly connected Transmission Customers;</w:t>
      </w:r>
    </w:p>
    <w:p w:rsidR="006E7D59" w:rsidRPr="0056248D" w:rsidRDefault="009D0CB2"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del w:id="30" w:author="Author" w:date="2016-01-21T17:08:00Z">
        <w:r w:rsidRPr="0056248D">
          <w:rPr>
            <w:rFonts w:ascii="Times New Roman" w:hAnsi="Times New Roman"/>
            <w:sz w:val="24"/>
            <w:szCs w:val="24"/>
          </w:rPr>
          <w:delText>Revenue Requirement</w:delText>
        </w:r>
      </w:del>
      <w:ins w:id="31" w:author="Author" w:date="2016-01-21T17:08:00Z">
        <w:r>
          <w:rPr>
            <w:rFonts w:ascii="Times New Roman" w:hAnsi="Times New Roman"/>
            <w:sz w:val="24"/>
            <w:szCs w:val="24"/>
          </w:rPr>
          <w:t>ATRR</w:t>
        </w:r>
        <w:r>
          <w:rPr>
            <w:rFonts w:ascii="Times New Roman" w:hAnsi="Times New Roman"/>
            <w:sz w:val="24"/>
            <w:szCs w:val="24"/>
            <w:vertAlign w:val="subscript"/>
          </w:rPr>
          <w:t>N</w:t>
        </w:r>
      </w:ins>
      <w:ins w:id="32" w:author="Author" w:date="2016-01-21T17:13:00Z">
        <w:r>
          <w:rPr>
            <w:rFonts w:ascii="Times New Roman" w:hAnsi="Times New Roman"/>
            <w:sz w:val="24"/>
            <w:szCs w:val="24"/>
            <w:vertAlign w:val="subscript"/>
          </w:rPr>
          <w:t>TAC</w:t>
        </w:r>
      </w:ins>
      <w:r w:rsidRPr="0056248D">
        <w:rPr>
          <w:rFonts w:ascii="Times New Roman" w:hAnsi="Times New Roman"/>
          <w:sz w:val="24"/>
          <w:szCs w:val="24"/>
        </w:rPr>
        <w:t xml:space="preserve"> where NYPA is the Primary Owner of said TCCs.</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w:t>
      </w:r>
      <w:r w:rsidRPr="0056248D">
        <w:rPr>
          <w:rFonts w:ascii="Times New Roman" w:hAnsi="Times New Roman"/>
          <w:sz w:val="24"/>
          <w:szCs w:val="24"/>
        </w:rPr>
        <w:t>qual NYPA’s revenues from the Centralized TCC Auction allocated pursuant to Attachment M; this includes revenues from: (a) TCCs associated with Residual Transmission Capacity that are sold in the Centralized TCC Auction; and (b) the sale of Grandfathered T</w:t>
      </w:r>
      <w:r w:rsidRPr="0056248D">
        <w:rPr>
          <w:rFonts w:ascii="Times New Roman" w:hAnsi="Times New Roman"/>
          <w:sz w:val="24"/>
          <w:szCs w:val="24"/>
        </w:rPr>
        <w:t xml:space="preserve">CCs associated with ETAs, if the expenses for these ETAs are included in NYPA's </w:t>
      </w:r>
      <w:del w:id="33" w:author="Author" w:date="2016-01-21T17:09:00Z">
        <w:r w:rsidRPr="0056248D">
          <w:rPr>
            <w:rFonts w:ascii="Times New Roman" w:hAnsi="Times New Roman"/>
            <w:sz w:val="24"/>
            <w:szCs w:val="24"/>
          </w:rPr>
          <w:delText>Revenue Requirement</w:delText>
        </w:r>
      </w:del>
      <w:ins w:id="34" w:author="Author" w:date="2016-01-21T17:09:00Z">
        <w:r>
          <w:rPr>
            <w:rFonts w:ascii="Times New Roman" w:hAnsi="Times New Roman"/>
            <w:sz w:val="24"/>
            <w:szCs w:val="24"/>
          </w:rPr>
          <w:t>ATRR</w:t>
        </w:r>
        <w:r>
          <w:rPr>
            <w:rFonts w:ascii="Times New Roman" w:hAnsi="Times New Roman"/>
            <w:sz w:val="24"/>
            <w:szCs w:val="24"/>
            <w:vertAlign w:val="subscript"/>
          </w:rPr>
          <w:t>N</w:t>
        </w:r>
      </w:ins>
      <w:ins w:id="35" w:author="Author" w:date="2016-01-21T17:13:00Z">
        <w:r>
          <w:rPr>
            <w:rFonts w:ascii="Times New Roman" w:hAnsi="Times New Roman"/>
            <w:sz w:val="24"/>
            <w:szCs w:val="24"/>
            <w:vertAlign w:val="subscript"/>
          </w:rPr>
          <w:t>TAC</w:t>
        </w:r>
      </w:ins>
      <w:r w:rsidRPr="0056248D">
        <w:rPr>
          <w:rFonts w:ascii="Times New Roman" w:hAnsi="Times New Roman"/>
          <w:sz w:val="24"/>
          <w:szCs w:val="24"/>
        </w:rPr>
        <w:t>.</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 xml:space="preserve">Revenue from TCCs associated with Residual Transmission Capacity includes payments for Original Residual TCCs that the Transmission Providers sell </w:t>
      </w:r>
      <w:r w:rsidRPr="0056248D">
        <w:rPr>
          <w:rFonts w:ascii="Times New Roman" w:hAnsi="Times New Roman"/>
          <w:sz w:val="24"/>
          <w:szCs w:val="24"/>
        </w:rPr>
        <w:t>through the Centralized TCC Auction and the allocation of revenue for other TCCs sold through the Centralized TCC Auction (per the Facility Flow-Based Methodology described in Attachment N).</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shall be updated prior to the start of each month based on ac</w:t>
      </w:r>
      <w:r w:rsidRPr="0056248D">
        <w:rPr>
          <w:rFonts w:ascii="Times New Roman" w:hAnsi="Times New Roman"/>
          <w:sz w:val="24"/>
          <w:szCs w:val="24"/>
        </w:rPr>
        <w:t>tual data for the calendar month prior to the month in which the adjustment is made (i.e., January actual data will be used in February to calculate the NTAC effective in March).  SR</w:t>
      </w:r>
      <w:r w:rsidRPr="005B7928">
        <w:rPr>
          <w:rFonts w:ascii="Times New Roman" w:hAnsi="Times New Roman"/>
          <w:sz w:val="24"/>
          <w:szCs w:val="24"/>
          <w:vertAlign w:val="subscript"/>
        </w:rPr>
        <w:t>1</w:t>
      </w:r>
      <w:r w:rsidRPr="0056248D">
        <w:rPr>
          <w:rFonts w:ascii="Times New Roman" w:hAnsi="Times New Roman"/>
          <w:sz w:val="24"/>
          <w:szCs w:val="24"/>
        </w:rPr>
        <w:t xml:space="preserve"> for a month in which a Direct Sale is applicable shall equal the total n</w:t>
      </w:r>
      <w:r w:rsidRPr="0056248D">
        <w:rPr>
          <w:rFonts w:ascii="Times New Roman" w:hAnsi="Times New Roman"/>
          <w:sz w:val="24"/>
          <w:szCs w:val="24"/>
        </w:rPr>
        <w:t>ominal revenue that NYPA will receive under each applicable TCC sold in a Direct Sale divided by the duration of the TCC (in months).</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equal the Transmission Owner’s share of Net Auction Revenue for all rounds of a Centralized TCC Auction, as calculated pursuant to Attachment N, divided equally among the months covered by the Centralized TCC Auction.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adjusted after ea</w:t>
      </w:r>
      <w:r w:rsidRPr="0056248D">
        <w:rPr>
          <w:rFonts w:ascii="Times New Roman" w:hAnsi="Times New Roman"/>
          <w:sz w:val="24"/>
          <w:szCs w:val="24"/>
        </w:rPr>
        <w:t>ch Centralized TCC Auction, and the revised 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be effective at the start of each Capability Period;</w:t>
      </w:r>
    </w:p>
    <w:p w:rsidR="006E7D59" w:rsidRPr="0056248D" w:rsidRDefault="009D0CB2"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w:t>
      </w:r>
      <w:r w:rsidRPr="0056248D">
        <w:rPr>
          <w:rFonts w:ascii="Times New Roman" w:hAnsi="Times New Roman"/>
        </w:rPr>
        <w:t>ments or Rents included in the CRN term;</w:t>
      </w:r>
    </w:p>
    <w:p w:rsidR="006E7D59" w:rsidRDefault="009D0CB2"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w:t>
      </w:r>
      <w:r w:rsidRPr="0056248D">
        <w:rPr>
          <w:rFonts w:ascii="Times New Roman" w:hAnsi="Times New Roman"/>
        </w:rPr>
        <w:t>e Initial Cost.</w:t>
      </w:r>
    </w:p>
    <w:p w:rsidR="006E7D59" w:rsidRDefault="009D0CB2"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ins w:id="36" w:author="Author" w:date="2016-01-19T15:13:00Z">
        <w:r>
          <w:rPr>
            <w:rFonts w:ascii="Times New Roman" w:hAnsi="Times New Roman"/>
          </w:rPr>
          <w:t>AT</w:t>
        </w:r>
      </w:ins>
      <w:r w:rsidRPr="0056248D">
        <w:rPr>
          <w:rFonts w:ascii="Times New Roman" w:hAnsi="Times New Roman"/>
        </w:rPr>
        <w:t>RR</w:t>
      </w:r>
      <w:ins w:id="37" w:author="Author" w:date="2016-01-21T17:14:00Z">
        <w:r>
          <w:rPr>
            <w:rFonts w:ascii="Times New Roman" w:hAnsi="Times New Roman"/>
            <w:vertAlign w:val="subscript"/>
          </w:rPr>
          <w:t>NTAC</w:t>
        </w:r>
      </w:ins>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w:t>
      </w:r>
      <w:r w:rsidRPr="0056248D">
        <w:rPr>
          <w:rFonts w:ascii="Times New Roman" w:hAnsi="Times New Roman"/>
        </w:rPr>
        <w:t xml:space="preserve">t (“Initial Cost”) of NYPA’s current OATT system rate of $2.23 per kilowatt per month and the 600 MW of TCCs (or the amount of TCCs reduced by Paragraph C below). In the event NYPA sells these TCCs (or any part thereof), all revenues from these sales will </w:t>
      </w:r>
      <w:r w:rsidRPr="0056248D">
        <w:rPr>
          <w:rFonts w:ascii="Times New Roman" w:hAnsi="Times New Roman"/>
        </w:rPr>
        <w:t>offset the NTAC and the Initial Cost will be concomitantly reduced to reflect the net amount of Niagara/St. Lawrence OATT Reservations, if any, retained by NYPA for the SENY Load. The parties hereby agree that the revenue offset to NTAC will be the greater</w:t>
      </w:r>
      <w:r w:rsidRPr="0056248D">
        <w:rPr>
          <w:rFonts w:ascii="Times New Roman" w:hAnsi="Times New Roman"/>
        </w:rPr>
        <w:t xml:space="preserve"> of the actual sale price obtained by NYPA for the TCCs sold or that computed at the applicable system rate in accordance with Paragraph B below; </w:t>
      </w:r>
    </w:p>
    <w:p w:rsidR="006E7D59" w:rsidRPr="0056248D" w:rsidRDefault="009D0CB2" w:rsidP="001D5C80">
      <w:pPr>
        <w:pStyle w:val="equationdefinition"/>
        <w:rPr>
          <w:rFonts w:ascii="Times New Roman" w:hAnsi="Times New Roman"/>
        </w:rPr>
      </w:pPr>
      <w:r>
        <w:rPr>
          <w:rFonts w:ascii="Times New Roman" w:hAnsi="Times New Roman"/>
        </w:rPr>
        <w:tab/>
      </w:r>
      <w:ins w:id="38" w:author="Author" w:date="2016-01-27T23:53:00Z">
        <w:r>
          <w:rPr>
            <w:rFonts w:ascii="Times New Roman" w:hAnsi="Times New Roman"/>
          </w:rPr>
          <w:tab/>
        </w:r>
      </w:ins>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ins w:id="39" w:author="Author" w:date="2016-01-19T15:15:00Z">
        <w:r>
          <w:rPr>
            <w:rFonts w:ascii="Times New Roman" w:hAnsi="Times New Roman"/>
          </w:rPr>
          <w:t>AT</w:t>
        </w:r>
      </w:ins>
      <w:r w:rsidRPr="0056248D">
        <w:rPr>
          <w:rFonts w:ascii="Times New Roman" w:hAnsi="Times New Roman"/>
        </w:rPr>
        <w:t>RR</w:t>
      </w:r>
      <w:ins w:id="40" w:author="Author" w:date="2016-01-21T17:10:00Z">
        <w:r>
          <w:rPr>
            <w:rFonts w:ascii="Times New Roman" w:hAnsi="Times New Roman"/>
            <w:vertAlign w:val="subscript"/>
          </w:rPr>
          <w:t>N</w:t>
        </w:r>
      </w:ins>
      <w:ins w:id="41" w:author="Author" w:date="2016-01-21T17:12:00Z">
        <w:r>
          <w:rPr>
            <w:rFonts w:ascii="Times New Roman" w:hAnsi="Times New Roman"/>
            <w:vertAlign w:val="subscript"/>
          </w:rPr>
          <w:t>TAC</w:t>
        </w:r>
      </w:ins>
      <w:r w:rsidRPr="0056248D">
        <w:rPr>
          <w:rFonts w:ascii="Times New Roman" w:hAnsi="Times New Roman"/>
        </w:rPr>
        <w:t xml:space="preserve"> for NYPA </w:t>
      </w:r>
      <w:r w:rsidRPr="00FE1D66">
        <w:rPr>
          <w:rFonts w:ascii="Times New Roman" w:hAnsi="Times New Roman"/>
        </w:rPr>
        <w:t>transmissi</w:t>
      </w:r>
      <w:r w:rsidRPr="00FE1D66">
        <w:rPr>
          <w:rFonts w:ascii="Times New Roman" w:hAnsi="Times New Roman"/>
        </w:rPr>
        <w:t>on</w:t>
      </w:r>
      <w:r w:rsidRPr="0056248D">
        <w:rPr>
          <w:rFonts w:ascii="Times New Roman" w:hAnsi="Times New Roman"/>
        </w:rPr>
        <w:t xml:space="preserve"> initially accepted by FERC (“Base Period </w:t>
      </w:r>
      <w:ins w:id="42" w:author="Author" w:date="2016-01-19T15:15:00Z">
        <w:r>
          <w:rPr>
            <w:rFonts w:ascii="Times New Roman" w:hAnsi="Times New Roman"/>
          </w:rPr>
          <w:t>AT</w:t>
        </w:r>
      </w:ins>
      <w:r w:rsidRPr="0056248D">
        <w:rPr>
          <w:rFonts w:ascii="Times New Roman" w:hAnsi="Times New Roman"/>
        </w:rPr>
        <w:t>RR</w:t>
      </w:r>
      <w:ins w:id="43" w:author="Author" w:date="2016-01-21T17:10:00Z">
        <w:r>
          <w:rPr>
            <w:rFonts w:ascii="Times New Roman" w:hAnsi="Times New Roman"/>
            <w:vertAlign w:val="subscript"/>
          </w:rPr>
          <w:t>N</w:t>
        </w:r>
      </w:ins>
      <w:ins w:id="44" w:author="Author" w:date="2016-01-21T17:12:00Z">
        <w:r>
          <w:rPr>
            <w:rFonts w:ascii="Times New Roman" w:hAnsi="Times New Roman"/>
            <w:vertAlign w:val="subscript"/>
          </w:rPr>
          <w:t>TAC</w:t>
        </w:r>
      </w:ins>
      <w:r w:rsidRPr="0056248D">
        <w:rPr>
          <w:rFonts w:ascii="Times New Roman" w:hAnsi="Times New Roman"/>
        </w:rPr>
        <w:t xml:space="preserve">”) for the purposes of computing the Initial Cost.  Whenever an amendment to the </w:t>
      </w:r>
      <w:ins w:id="45" w:author="Author" w:date="2016-01-19T15:15:00Z">
        <w:r>
          <w:rPr>
            <w:rFonts w:ascii="Times New Roman" w:hAnsi="Times New Roman"/>
          </w:rPr>
          <w:t>AT</w:t>
        </w:r>
      </w:ins>
      <w:r w:rsidRPr="0056248D">
        <w:rPr>
          <w:rFonts w:ascii="Times New Roman" w:hAnsi="Times New Roman"/>
        </w:rPr>
        <w:t>RR</w:t>
      </w:r>
      <w:ins w:id="46" w:author="Author" w:date="2016-01-21T17:11:00Z">
        <w:r>
          <w:rPr>
            <w:rFonts w:ascii="Times New Roman" w:hAnsi="Times New Roman"/>
            <w:vertAlign w:val="subscript"/>
          </w:rPr>
          <w:t>N</w:t>
        </w:r>
      </w:ins>
      <w:ins w:id="47" w:author="Author" w:date="2016-01-21T17:13:00Z">
        <w:r>
          <w:rPr>
            <w:rFonts w:ascii="Times New Roman" w:hAnsi="Times New Roman"/>
            <w:vertAlign w:val="subscript"/>
          </w:rPr>
          <w:t>TAC</w:t>
        </w:r>
      </w:ins>
      <w:r w:rsidRPr="0056248D">
        <w:rPr>
          <w:rFonts w:ascii="Times New Roman" w:hAnsi="Times New Roman"/>
        </w:rPr>
        <w:t xml:space="preserve"> is accepted by FERC </w:t>
      </w:r>
      <w:del w:id="48" w:author="Author" w:date="2016-01-19T15:16:00Z">
        <w:r w:rsidRPr="0056248D">
          <w:rPr>
            <w:rFonts w:ascii="Times New Roman" w:hAnsi="Times New Roman"/>
          </w:rPr>
          <w:delText>(“Amended RR”)</w:delText>
        </w:r>
      </w:del>
      <w:del w:id="49" w:author="Author" w:date="2016-01-27T23:54:00Z">
        <w:r w:rsidRPr="0056248D">
          <w:rPr>
            <w:rFonts w:ascii="Times New Roman" w:hAnsi="Times New Roman"/>
          </w:rPr>
          <w:delText>,</w:delText>
        </w:r>
      </w:del>
      <w:r w:rsidRPr="0056248D">
        <w:rPr>
          <w:rFonts w:ascii="Times New Roman" w:hAnsi="Times New Roman"/>
        </w:rPr>
        <w:t xml:space="preserve"> </w:t>
      </w:r>
      <w:ins w:id="50" w:author="Author" w:date="2016-01-19T15:16:00Z">
        <w:r>
          <w:rPr>
            <w:rFonts w:ascii="Times New Roman" w:hAnsi="Times New Roman"/>
          </w:rPr>
          <w:t>or the ATRR</w:t>
        </w:r>
      </w:ins>
      <w:ins w:id="51" w:author="Author" w:date="2016-01-21T17:11:00Z">
        <w:r>
          <w:rPr>
            <w:rFonts w:ascii="Times New Roman" w:hAnsi="Times New Roman"/>
            <w:vertAlign w:val="subscript"/>
          </w:rPr>
          <w:t>N</w:t>
        </w:r>
      </w:ins>
      <w:ins w:id="52" w:author="Author" w:date="2016-01-21T17:13:00Z">
        <w:r>
          <w:rPr>
            <w:rFonts w:ascii="Times New Roman" w:hAnsi="Times New Roman"/>
            <w:vertAlign w:val="subscript"/>
          </w:rPr>
          <w:t>TAC</w:t>
        </w:r>
      </w:ins>
      <w:ins w:id="53" w:author="Author" w:date="2016-01-19T15:16:00Z">
        <w:r>
          <w:rPr>
            <w:rFonts w:ascii="Times New Roman" w:hAnsi="Times New Roman"/>
          </w:rPr>
          <w:t xml:space="preserve"> is updated pursuant to the procedures set forth in Section 14.2.</w:t>
        </w:r>
      </w:ins>
      <w:ins w:id="54" w:author="Author" w:date="2016-01-21T17:12:00Z">
        <w:r>
          <w:rPr>
            <w:rFonts w:ascii="Times New Roman" w:hAnsi="Times New Roman"/>
          </w:rPr>
          <w:t>3</w:t>
        </w:r>
      </w:ins>
      <w:ins w:id="55" w:author="Author" w:date="2016-01-19T15:16:00Z">
        <w:r>
          <w:rPr>
            <w:rFonts w:ascii="Times New Roman" w:hAnsi="Times New Roman"/>
          </w:rPr>
          <w:t xml:space="preserve">.2 of this Attachment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ins>
      <w:ins w:id="56" w:author="Author" w:date="2016-01-21T17:12:00Z">
        <w:r>
          <w:rPr>
            <w:rFonts w:ascii="Times New Roman" w:hAnsi="Times New Roman"/>
            <w:vertAlign w:val="subscript"/>
          </w:rPr>
          <w:t>N</w:t>
        </w:r>
      </w:ins>
      <w:ins w:id="57" w:author="Author" w:date="2016-01-21T17:15:00Z">
        <w:r>
          <w:rPr>
            <w:rFonts w:ascii="Times New Roman" w:hAnsi="Times New Roman"/>
            <w:vertAlign w:val="subscript"/>
          </w:rPr>
          <w:t>TAC</w:t>
        </w:r>
      </w:ins>
      <w:ins w:id="58" w:author="Author" w:date="2016-01-19T15:16:00Z">
        <w:r w:rsidRPr="0056248D">
          <w:rPr>
            <w:rFonts w:ascii="Times New Roman" w:hAnsi="Times New Roman"/>
          </w:rPr>
          <w:t xml:space="preserve">”), </w:t>
        </w:r>
      </w:ins>
      <w:r w:rsidRPr="0056248D">
        <w:rPr>
          <w:rFonts w:ascii="Times New Roman" w:hAnsi="Times New Roman"/>
        </w:rPr>
        <w:t xml:space="preserve">the system rate for the purpose of computing the Initial Cost will be increased (or decreased) by the ratio of the Amended </w:t>
      </w:r>
      <w:ins w:id="59" w:author="Author" w:date="2016-01-19T15:16:00Z">
        <w:r>
          <w:rPr>
            <w:rFonts w:ascii="Times New Roman" w:hAnsi="Times New Roman"/>
          </w:rPr>
          <w:t>AT</w:t>
        </w:r>
      </w:ins>
      <w:r w:rsidRPr="0056248D">
        <w:rPr>
          <w:rFonts w:ascii="Times New Roman" w:hAnsi="Times New Roman"/>
        </w:rPr>
        <w:t>RR</w:t>
      </w:r>
      <w:ins w:id="60" w:author="Author" w:date="2016-01-21T17:15:00Z">
        <w:r>
          <w:rPr>
            <w:rFonts w:ascii="Times New Roman" w:hAnsi="Times New Roman"/>
            <w:vertAlign w:val="subscript"/>
          </w:rPr>
          <w:t>NTAC</w:t>
        </w:r>
      </w:ins>
      <w:r w:rsidRPr="0056248D">
        <w:rPr>
          <w:rFonts w:ascii="Times New Roman" w:hAnsi="Times New Roman"/>
        </w:rPr>
        <w:t xml:space="preserve"> to the Base Pe</w:t>
      </w:r>
      <w:r w:rsidRPr="0056248D">
        <w:rPr>
          <w:rFonts w:ascii="Times New Roman" w:hAnsi="Times New Roman"/>
        </w:rPr>
        <w:t xml:space="preserve">riod </w:t>
      </w:r>
      <w:ins w:id="61" w:author="Author" w:date="2016-01-19T15:16:00Z">
        <w:r>
          <w:rPr>
            <w:rFonts w:ascii="Times New Roman" w:hAnsi="Times New Roman"/>
          </w:rPr>
          <w:t>AT</w:t>
        </w:r>
      </w:ins>
      <w:r w:rsidRPr="0056248D">
        <w:rPr>
          <w:rFonts w:ascii="Times New Roman" w:hAnsi="Times New Roman"/>
        </w:rPr>
        <w:t>RR</w:t>
      </w:r>
      <w:ins w:id="62" w:author="Author" w:date="2016-01-21T17:15:00Z">
        <w:r>
          <w:rPr>
            <w:rFonts w:ascii="Times New Roman" w:hAnsi="Times New Roman"/>
            <w:vertAlign w:val="subscript"/>
          </w:rPr>
          <w:t>NTAC</w:t>
        </w:r>
      </w:ins>
      <w:r w:rsidRPr="0056248D">
        <w:rPr>
          <w:rFonts w:ascii="Times New Roman" w:hAnsi="Times New Roman"/>
        </w:rPr>
        <w:t xml:space="preserve"> and the effect of Paragraph A on NTAC will be amended accordingly.  </w:t>
      </w:r>
    </w:p>
    <w:p w:rsidR="006E7D59" w:rsidRPr="0056248D" w:rsidRDefault="009D0CB2" w:rsidP="001D5C80">
      <w:pPr>
        <w:pStyle w:val="equationdefinition"/>
        <w:rPr>
          <w:rFonts w:ascii="Times New Roman" w:hAnsi="Times New Roman"/>
        </w:rPr>
      </w:pPr>
      <w:r>
        <w:rPr>
          <w:rFonts w:ascii="Times New Roman" w:hAnsi="Times New Roman"/>
        </w:rPr>
        <w:tab/>
      </w:r>
      <w:ins w:id="63" w:author="Author" w:date="2016-01-27T23:53:00Z">
        <w:r>
          <w:rPr>
            <w:rFonts w:ascii="Times New Roman" w:hAnsi="Times New Roman"/>
          </w:rPr>
          <w:tab/>
        </w:r>
      </w:ins>
      <w:r w:rsidRPr="0056248D">
        <w:rPr>
          <w:rFonts w:ascii="Times New Roman" w:hAnsi="Times New Roman"/>
        </w:rPr>
        <w:t>C.</w:t>
      </w:r>
      <w:del w:id="64" w:author="Author" w:date="2016-01-27T23:53:00Z">
        <w:r w:rsidRPr="0056248D">
          <w:rPr>
            <w:rFonts w:ascii="Times New Roman" w:hAnsi="Times New Roman"/>
          </w:rPr>
          <w:delText xml:space="preserve">  </w:delText>
        </w:r>
      </w:del>
      <w:r w:rsidRPr="0056248D">
        <w:rPr>
          <w:rFonts w:ascii="Times New Roman" w:hAnsi="Times New Roman"/>
        </w:rPr>
        <w:tab/>
      </w:r>
      <w:r w:rsidRPr="0056248D">
        <w:rPr>
          <w:rFonts w:ascii="Times New Roman" w:hAnsi="Times New Roman"/>
        </w:rPr>
        <w:t>If prior to the Centralized TCC Auction all Grandfathered Transmission Service including NYPA's 600 MW Niagara/St. Lawrence OATT reservations held on behalf of its SENY governmental customers are found not to be feasible, then such OATT reservations will b</w:t>
      </w:r>
      <w:r w:rsidRPr="0056248D">
        <w:rPr>
          <w:rFonts w:ascii="Times New Roman" w:hAnsi="Times New Roman"/>
        </w:rPr>
        <w:t>e reduced until feasibility is assured.  A  reduction, subject to a 200 MW cap on the total reduction as described in Attachment M, will be applied to the NYPA Niagara/St. Lawrence OATT reservations held on behalf of its SENY governmental customers.</w:t>
      </w:r>
    </w:p>
    <w:p w:rsidR="006E7D59" w:rsidRPr="0056248D" w:rsidRDefault="009D0CB2"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w:t>
      </w:r>
      <w:r w:rsidRPr="0056248D">
        <w:rPr>
          <w:rFonts w:ascii="Times New Roman" w:hAnsi="Times New Roman"/>
        </w:rPr>
        <w:t>YPA’s revenues from external sales (Wheels Through and Exports) not associated with Existing Transmission Agreements in Attachment L, Tables 1 and 2 and Wheeling revenues from OATT reservations extending beyond the start-up of the ISO;</w:t>
      </w:r>
    </w:p>
    <w:p w:rsidR="006E7D59" w:rsidRPr="0056248D" w:rsidRDefault="009D0CB2"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 xml:space="preserve">NYPA Reserved1 </w:t>
      </w:r>
      <w:r w:rsidRPr="0056248D">
        <w:rPr>
          <w:rFonts w:ascii="Times New Roman" w:hAnsi="Times New Roman"/>
        </w:rPr>
        <w:t>+ NYPA Reserved2</w:t>
      </w:r>
    </w:p>
    <w:p w:rsidR="00C4483A" w:rsidRDefault="009D0CB2" w:rsidP="001D5C80">
      <w:pPr>
        <w:pStyle w:val="Bodypara"/>
        <w:spacing w:after="0"/>
        <w:rPr>
          <w:ins w:id="65" w:author="Author" w:date="2016-01-27T23:54:00Z"/>
          <w:rFonts w:ascii="Times New Roman" w:hAnsi="Times New Roman"/>
          <w:sz w:val="24"/>
          <w:szCs w:val="24"/>
        </w:rPr>
      </w:pPr>
      <w:r w:rsidRPr="0056248D">
        <w:rPr>
          <w:rFonts w:ascii="Times New Roman" w:hAnsi="Times New Roman"/>
          <w:sz w:val="24"/>
          <w:szCs w:val="24"/>
        </w:rPr>
        <w:t xml:space="preserve">NYPA Reserved1 will equal NYPA’s Congestion payments for a month received pursuant to Section 20.2.3 of Attachment N of this Tariff for NYPA’s RCRR TCCs.  </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 TCCs in</w:t>
      </w:r>
      <w:r w:rsidRPr="0056248D">
        <w:rPr>
          <w:rFonts w:ascii="Times New Roman" w:hAnsi="Times New Roman"/>
          <w:sz w:val="24"/>
          <w:szCs w:val="24"/>
        </w:rPr>
        <w:t xml:space="preserve"> a month, with the value for each RCRR TCC sold divided equally over the months remaining until the expiration of that RCRR TCC.</w:t>
      </w:r>
    </w:p>
    <w:p w:rsidR="006E7D59" w:rsidRPr="0056248D" w:rsidRDefault="009D0CB2"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The amount of actual NYPA transmission revenues minus NYPA’s monthly revenue requirement.</w:t>
      </w:r>
    </w:p>
    <w:p w:rsidR="006E7D59" w:rsidRPr="0056248D" w:rsidRDefault="009D0CB2"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 xml:space="preserve">Annual Billing Units are </w:t>
      </w:r>
      <w:r w:rsidRPr="0056248D">
        <w:rPr>
          <w:rFonts w:ascii="Times New Roman" w:hAnsi="Times New Roman"/>
        </w:rPr>
        <w:t>New York State Loads and Loads associated with Wheels Through and Exports in megawatt-hours (“MWh”).</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ins w:id="66" w:author="Author" w:date="2016-01-19T15:17:00Z">
        <w:r>
          <w:rPr>
            <w:rFonts w:ascii="Times New Roman" w:hAnsi="Times New Roman"/>
            <w:sz w:val="24"/>
            <w:szCs w:val="24"/>
          </w:rPr>
          <w:t>AT</w:t>
        </w:r>
      </w:ins>
      <w:r w:rsidRPr="0056248D">
        <w:rPr>
          <w:rFonts w:ascii="Times New Roman" w:hAnsi="Times New Roman"/>
          <w:sz w:val="24"/>
          <w:szCs w:val="24"/>
        </w:rPr>
        <w:t>RR</w:t>
      </w:r>
      <w:ins w:id="67" w:author="Author" w:date="2016-01-21T17:15:00Z">
        <w:r>
          <w:rPr>
            <w:rFonts w:ascii="Times New Roman" w:hAnsi="Times New Roman"/>
            <w:vertAlign w:val="subscript"/>
          </w:rPr>
          <w:t>NTAC</w:t>
        </w:r>
      </w:ins>
      <w:r w:rsidRPr="0056248D">
        <w:rPr>
          <w:rFonts w:ascii="Times New Roman" w:hAnsi="Times New Roman"/>
          <w:sz w:val="24"/>
          <w:szCs w:val="24"/>
        </w:rPr>
        <w:t xml:space="preserve"> and SR will not include expenses for NYPA’s purchase of TCCs or revenues from the sale of such purchased TCCs or from the collection of Conges</w:t>
      </w:r>
      <w:r w:rsidRPr="0056248D">
        <w:rPr>
          <w:rFonts w:ascii="Times New Roman" w:hAnsi="Times New Roman"/>
          <w:sz w:val="24"/>
          <w:szCs w:val="24"/>
        </w:rPr>
        <w:t xml:space="preserve">tion Rents for such TCCs. </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The ECR, EA, CRN, WR, NR, and NT shall be updated prior to the start of each month based on actual data for the calendar month prior to the month in which the adjustment is made (i.e., January actual data will be used in February</w:t>
      </w:r>
      <w:r w:rsidRPr="0056248D">
        <w:rPr>
          <w:rFonts w:ascii="Times New Roman" w:hAnsi="Times New Roman"/>
          <w:sz w:val="24"/>
          <w:szCs w:val="24"/>
        </w:rPr>
        <w:t xml:space="preserve"> to calculate the NTAC effective in March).  </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shall be applied to scheduled Energy quantities.  T</w:t>
      </w:r>
      <w:r w:rsidRPr="0056248D">
        <w:rPr>
          <w:rFonts w:ascii="Times New Roman" w:hAnsi="Times New Roman"/>
          <w:sz w:val="24"/>
          <w:szCs w:val="24"/>
        </w:rPr>
        <w:t>he NTAC shall not apply to scheduled quantities that are Curtailed by the ISO.</w:t>
      </w:r>
    </w:p>
    <w:p w:rsidR="006E7D59" w:rsidRPr="005336EA" w:rsidRDefault="009D0CB2" w:rsidP="001D5C80">
      <w:pPr>
        <w:pStyle w:val="Heading4"/>
        <w:spacing w:line="240" w:lineRule="auto"/>
        <w:rPr>
          <w:rFonts w:ascii="Times New Roman" w:hAnsi="Times New Roman"/>
          <w:sz w:val="24"/>
          <w:szCs w:val="24"/>
        </w:rPr>
      </w:pPr>
      <w:bookmarkStart w:id="68" w:name="_Toc263255426"/>
      <w:r w:rsidRPr="005336EA">
        <w:rPr>
          <w:rFonts w:ascii="Times New Roman" w:hAnsi="Times New Roman"/>
          <w:sz w:val="24"/>
          <w:szCs w:val="24"/>
        </w:rPr>
        <w:t>14.2.2.2.2</w:t>
      </w:r>
      <w:r w:rsidRPr="005336EA">
        <w:rPr>
          <w:rFonts w:ascii="Times New Roman" w:hAnsi="Times New Roman"/>
          <w:sz w:val="24"/>
          <w:szCs w:val="24"/>
        </w:rPr>
        <w:tab/>
        <w:t>Implementation of NTAC</w:t>
      </w:r>
      <w:bookmarkEnd w:id="68"/>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At the start of LBMP implementation certain variables of the NTAC equation will not be available.  For the first and second months of LBMP impl</w:t>
      </w:r>
      <w:r w:rsidRPr="0056248D">
        <w:rPr>
          <w:rFonts w:ascii="Times New Roman" w:hAnsi="Times New Roman"/>
          <w:sz w:val="24"/>
          <w:szCs w:val="24"/>
        </w:rPr>
        <w:t>ementation, the only terms in the NTAC equation that will be known by NYPA are its historical Annual Transmission Revenue Requirement (</w:t>
      </w:r>
      <w:ins w:id="69" w:author="Author" w:date="2016-01-19T15:17:00Z">
        <w:r>
          <w:rPr>
            <w:rFonts w:ascii="Times New Roman" w:hAnsi="Times New Roman"/>
            <w:sz w:val="24"/>
            <w:szCs w:val="24"/>
          </w:rPr>
          <w:t>AT</w:t>
        </w:r>
      </w:ins>
      <w:r w:rsidRPr="0056248D">
        <w:rPr>
          <w:rFonts w:ascii="Times New Roman" w:hAnsi="Times New Roman"/>
          <w:sz w:val="24"/>
          <w:szCs w:val="24"/>
        </w:rPr>
        <w:t>RR</w:t>
      </w:r>
      <w:ins w:id="70" w:author="Author" w:date="2016-01-21T17:16:00Z">
        <w:r>
          <w:rPr>
            <w:rFonts w:ascii="Times New Roman" w:hAnsi="Times New Roman"/>
            <w:vertAlign w:val="subscript"/>
          </w:rPr>
          <w:t>NTAC</w:t>
        </w:r>
      </w:ins>
      <w:r w:rsidRPr="0056248D">
        <w:rPr>
          <w:rFonts w:ascii="Times New Roman" w:hAnsi="Times New Roman"/>
          <w:sz w:val="24"/>
          <w:szCs w:val="24"/>
        </w:rPr>
        <w:t>) and the historical Billing Units (BU), which have been approved by or filed with FERC.  For these two months NY</w:t>
      </w:r>
      <w:r w:rsidRPr="0056248D">
        <w:rPr>
          <w:rFonts w:ascii="Times New Roman" w:hAnsi="Times New Roman"/>
          <w:sz w:val="24"/>
          <w:szCs w:val="24"/>
        </w:rPr>
        <w:t>PA shall calculate the NTAC using the following equation:</w:t>
      </w:r>
    </w:p>
    <w:p w:rsidR="006E7D59" w:rsidRDefault="009D0CB2" w:rsidP="001D5C80">
      <w:pPr>
        <w:pStyle w:val="equationtext"/>
      </w:pPr>
      <w:r w:rsidRPr="0056248D">
        <w:t>NTAC = {(</w:t>
      </w:r>
      <w:ins w:id="71" w:author="Author" w:date="2016-01-19T15:17:00Z">
        <w:r>
          <w:t>AT</w:t>
        </w:r>
      </w:ins>
      <w:r w:rsidRPr="0056248D">
        <w:t>RR</w:t>
      </w:r>
      <w:ins w:id="72" w:author="Author" w:date="2016-01-21T17:16:00Z">
        <w:r>
          <w:rPr>
            <w:vertAlign w:val="subscript"/>
          </w:rPr>
          <w:t>NTAC</w:t>
        </w:r>
      </w:ins>
      <w:r w:rsidRPr="0056248D">
        <w:rPr>
          <w:rFonts w:ascii="Symbol" w:hAnsi="Symbol"/>
        </w:rPr>
        <w:sym w:font="Symbol" w:char="F0B8"/>
      </w:r>
      <w:r w:rsidRPr="0056248D">
        <w:t>12) - (EA) - (IR</w:t>
      </w:r>
      <w:r w:rsidRPr="0056248D">
        <w:rPr>
          <w:rFonts w:ascii="Symbol" w:hAnsi="Symbol"/>
        </w:rPr>
        <w:sym w:font="Symbol" w:char="F0B8"/>
      </w:r>
      <w:r w:rsidRPr="0056248D">
        <w:t>12)}/(BU</w:t>
      </w:r>
      <w:r w:rsidRPr="0056248D">
        <w:rPr>
          <w:rFonts w:ascii="Symbol" w:hAnsi="Symbol"/>
        </w:rPr>
        <w:sym w:font="Symbol" w:char="F0B8"/>
      </w:r>
      <w:r w:rsidRPr="0056248D">
        <w:t>12)</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shall not be available until after the first Centralized TCC Auction.  For the third month of LBMP implementation until the second month of the Capability Period corresponding to the first Centralized TCC Auction, NYPA shall recalculate the NTAC using the</w:t>
      </w:r>
      <w:r w:rsidRPr="0056248D">
        <w:rPr>
          <w:rFonts w:ascii="Times New Roman" w:hAnsi="Times New Roman"/>
          <w:sz w:val="24"/>
          <w:szCs w:val="24"/>
        </w:rPr>
        <w:t xml:space="preserve"> following equation:</w:t>
      </w:r>
    </w:p>
    <w:p w:rsidR="006E7D59" w:rsidRPr="0056248D" w:rsidRDefault="009D0CB2" w:rsidP="001D5C80">
      <w:pPr>
        <w:pStyle w:val="equationtext"/>
      </w:pPr>
      <w:r w:rsidRPr="0056248D">
        <w:t>NTAC = {(</w:t>
      </w:r>
      <w:ins w:id="73" w:author="Author" w:date="2016-01-19T15:17:00Z">
        <w:r>
          <w:t>AT</w:t>
        </w:r>
      </w:ins>
      <w:r w:rsidRPr="0056248D">
        <w:t>RR</w:t>
      </w:r>
      <w:ins w:id="74" w:author="Author" w:date="2016-01-21T17:16:00Z">
        <w:r>
          <w:rPr>
            <w:vertAlign w:val="subscript"/>
          </w:rPr>
          <w:t>NTAC</w:t>
        </w:r>
      </w:ins>
      <w:r w:rsidRPr="0056248D">
        <w:rPr>
          <w:rFonts w:ascii="Symbol" w:hAnsi="Symbol"/>
        </w:rPr>
        <w:sym w:font="Symbol" w:char="F0B8"/>
      </w:r>
      <w:r w:rsidRPr="0056248D">
        <w:t>12) - (EA) - (IR</w:t>
      </w:r>
      <w:r w:rsidRPr="0056248D">
        <w:rPr>
          <w:rFonts w:ascii="Symbol" w:hAnsi="Symbol"/>
        </w:rPr>
        <w:sym w:font="Symbol" w:char="F0B8"/>
      </w:r>
      <w:r w:rsidRPr="0056248D">
        <w:t>12) - WR - CRN - SR</w:t>
      </w:r>
      <w:r w:rsidRPr="005B7928">
        <w:rPr>
          <w:vertAlign w:val="subscript"/>
        </w:rPr>
        <w:t>1</w:t>
      </w:r>
      <w:r w:rsidRPr="0056248D">
        <w:t xml:space="preserve"> - ECR}/(BU</w:t>
      </w:r>
      <w:r w:rsidRPr="0056248D">
        <w:rPr>
          <w:rFonts w:ascii="Symbol" w:hAnsi="Symbol"/>
        </w:rPr>
        <w:sym w:font="Symbol" w:char="F0B8"/>
      </w:r>
      <w:r w:rsidRPr="0056248D">
        <w:t>12)</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Prior to and during implementation of LBMP those current NYPA transmission customers wishing to terminate their Third Party TWAs shall notify the ISO.  The ISO shal</w:t>
      </w:r>
      <w:r w:rsidRPr="0056248D">
        <w:rPr>
          <w:rFonts w:ascii="Times New Roman" w:hAnsi="Times New Roman"/>
          <w:sz w:val="24"/>
          <w:szCs w:val="24"/>
        </w:rPr>
        <w:t>l duly inform NYPA of such conversion so that NYPA can calculate revenues (EA) to be derived from Existing Transmission Wheeling Agreements.</w:t>
      </w:r>
    </w:p>
    <w:p w:rsidR="006E7D59" w:rsidRPr="005336EA" w:rsidRDefault="009D0CB2"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9D0CB2" w:rsidP="001D5C80">
      <w:pPr>
        <w:pStyle w:val="Bodypara"/>
        <w:rPr>
          <w:rFonts w:ascii="Times New Roman" w:hAnsi="Times New Roman"/>
          <w:sz w:val="24"/>
          <w:szCs w:val="24"/>
        </w:rPr>
      </w:pPr>
      <w:r w:rsidRPr="0056248D">
        <w:rPr>
          <w:rFonts w:ascii="Times New Roman" w:hAnsi="Times New Roman"/>
          <w:sz w:val="24"/>
          <w:szCs w:val="24"/>
        </w:rPr>
        <w:t>NYPA’s recovery pursuant to NTAC initially is limited to expenses and return associated with its transm</w:t>
      </w:r>
      <w:r w:rsidRPr="0056248D">
        <w:rPr>
          <w:rFonts w:ascii="Times New Roman" w:hAnsi="Times New Roman"/>
          <w:sz w:val="24"/>
          <w:szCs w:val="24"/>
        </w:rPr>
        <w:t xml:space="preserve">ission system as that system exists at the time of FERC approval of the NTAC (“base period revenue requirement”).  Additions to its system may be included in the computation of NTAC only if:  a) upgrades or expansions do not exceed $5 million on an annual </w:t>
      </w:r>
      <w:r w:rsidRPr="0056248D">
        <w:rPr>
          <w:rFonts w:ascii="Times New Roman" w:hAnsi="Times New Roman"/>
          <w:sz w:val="24"/>
          <w:szCs w:val="24"/>
        </w:rPr>
        <w:t xml:space="preserve">basis; or b) such upgrades or expansions have been unanimously approved by the Transmission Owners. </w:t>
      </w:r>
      <w:ins w:id="75" w:author="Author" w:date="2016-01-27T23:56:00Z">
        <w:r>
          <w:rPr>
            <w:rFonts w:ascii="Times New Roman" w:hAnsi="Times New Roman"/>
            <w:sz w:val="24"/>
            <w:szCs w:val="24"/>
          </w:rPr>
          <w:t xml:space="preserve"> </w:t>
        </w:r>
      </w:ins>
      <w:r w:rsidRPr="0056248D">
        <w:rPr>
          <w:rFonts w:ascii="Times New Roman" w:hAnsi="Times New Roman"/>
          <w:sz w:val="24"/>
          <w:szCs w:val="24"/>
        </w:rPr>
        <w:t>Notwithstanding the above, NYPA may invest in transmission facilities in excess of $5 million annually without unanimous Transmission Owners’ authorization</w:t>
      </w:r>
      <w:r w:rsidRPr="0056248D">
        <w:rPr>
          <w:rFonts w:ascii="Times New Roman" w:hAnsi="Times New Roman"/>
          <w:sz w:val="24"/>
          <w:szCs w:val="24"/>
        </w:rPr>
        <w:t xml:space="preserve"> outside the NTAC recovery mechanism.  In that case, NYPA cannot recover any expenses or return associated with such additions under NTAC and any TCC or other revenues associated with such additions will not be considered NYPA transmission revenue for purp</w:t>
      </w:r>
      <w:r w:rsidRPr="0056248D">
        <w:rPr>
          <w:rFonts w:ascii="Times New Roman" w:hAnsi="Times New Roman"/>
          <w:sz w:val="24"/>
          <w:szCs w:val="24"/>
        </w:rPr>
        <w:t>oses of developing the NTAC nor be used as a credit in the allocation of NTAC to transmission system users.</w:t>
      </w:r>
    </w:p>
    <w:p w:rsidR="006E7D59" w:rsidRPr="005336EA" w:rsidRDefault="009D0CB2" w:rsidP="001D5C80">
      <w:pPr>
        <w:pStyle w:val="Heading4"/>
        <w:spacing w:line="240" w:lineRule="auto"/>
        <w:rPr>
          <w:rFonts w:ascii="Times New Roman" w:hAnsi="Times New Roman"/>
          <w:sz w:val="24"/>
          <w:szCs w:val="24"/>
        </w:rPr>
      </w:pPr>
      <w:bookmarkStart w:id="76"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76"/>
    </w:p>
    <w:p w:rsidR="006E7D59" w:rsidRPr="0056248D" w:rsidRDefault="009D0CB2"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formula on a monthly or Capability P</w:t>
      </w:r>
      <w:r w:rsidRPr="0056248D">
        <w:rPr>
          <w:rFonts w:ascii="Times New Roman" w:hAnsi="Times New Roman"/>
          <w:sz w:val="24"/>
          <w:szCs w:val="24"/>
        </w:rPr>
        <w:t xml:space="preserve">eriod basis.  NYPA may update the NTAC calculation to change the </w:t>
      </w:r>
      <w:ins w:id="77" w:author="Author" w:date="2016-01-19T15:19:00Z">
        <w:r>
          <w:rPr>
            <w:rFonts w:ascii="Times New Roman" w:hAnsi="Times New Roman"/>
            <w:sz w:val="24"/>
            <w:szCs w:val="24"/>
          </w:rPr>
          <w:t>AT</w:t>
        </w:r>
      </w:ins>
      <w:r w:rsidRPr="0056248D">
        <w:rPr>
          <w:rFonts w:ascii="Times New Roman" w:hAnsi="Times New Roman"/>
          <w:sz w:val="24"/>
          <w:szCs w:val="24"/>
        </w:rPr>
        <w:t>RR</w:t>
      </w:r>
      <w:ins w:id="78" w:author="Author" w:date="2016-01-21T17:17:00Z">
        <w:r>
          <w:rPr>
            <w:rFonts w:ascii="Times New Roman" w:hAnsi="Times New Roman"/>
            <w:vertAlign w:val="subscript"/>
          </w:rPr>
          <w:t>NTAC</w:t>
        </w:r>
      </w:ins>
      <w:r w:rsidRPr="0056248D">
        <w:rPr>
          <w:rFonts w:ascii="Times New Roman" w:hAnsi="Times New Roman"/>
          <w:sz w:val="24"/>
          <w:szCs w:val="24"/>
        </w:rPr>
        <w:t>, initially approved by FERC, and such updates shall be submitted to FERC</w:t>
      </w:r>
      <w:ins w:id="79" w:author="Author" w:date="2016-01-19T15:19:00Z">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ins>
      <w:ins w:id="80" w:author="Author" w:date="2016-01-21T17:17:00Z">
        <w:r>
          <w:rPr>
            <w:rFonts w:ascii="Times New Roman" w:hAnsi="Times New Roman"/>
            <w:sz w:val="24"/>
            <w:szCs w:val="24"/>
          </w:rPr>
          <w:t>3</w:t>
        </w:r>
      </w:ins>
      <w:ins w:id="81" w:author="Author" w:date="2016-01-19T15:19:00Z">
        <w:r>
          <w:rPr>
            <w:rFonts w:ascii="Times New Roman" w:hAnsi="Times New Roman"/>
            <w:sz w:val="24"/>
            <w:szCs w:val="24"/>
          </w:rPr>
          <w:t>.2.6 of this Attachment</w:t>
        </w:r>
      </w:ins>
      <w:r w:rsidRPr="0056248D">
        <w:rPr>
          <w:rFonts w:ascii="Times New Roman" w:hAnsi="Times New Roman"/>
          <w:sz w:val="24"/>
          <w:szCs w:val="24"/>
        </w:rPr>
        <w:t xml:space="preserve">.  An integral part of the agreement between the other Transmission Owners and NYPA is NYPA’s consent to the submission of its </w:t>
      </w:r>
      <w:ins w:id="82" w:author="Author" w:date="2016-01-19T15:20:00Z">
        <w:r>
          <w:rPr>
            <w:rFonts w:ascii="Times New Roman" w:hAnsi="Times New Roman"/>
            <w:sz w:val="24"/>
            <w:szCs w:val="24"/>
          </w:rPr>
          <w:t>AT</w:t>
        </w:r>
      </w:ins>
      <w:r w:rsidRPr="0056248D">
        <w:rPr>
          <w:rFonts w:ascii="Times New Roman" w:hAnsi="Times New Roman"/>
          <w:sz w:val="24"/>
          <w:szCs w:val="24"/>
        </w:rPr>
        <w:t>RR</w:t>
      </w:r>
      <w:ins w:id="83" w:author="Author" w:date="2016-01-21T17:20:00Z">
        <w:r>
          <w:rPr>
            <w:rFonts w:ascii="Times New Roman" w:hAnsi="Times New Roman"/>
            <w:vertAlign w:val="subscript"/>
          </w:rPr>
          <w:t>NTAC</w:t>
        </w:r>
      </w:ins>
      <w:r w:rsidRPr="0056248D">
        <w:rPr>
          <w:rFonts w:ascii="Times New Roman" w:hAnsi="Times New Roman"/>
          <w:sz w:val="24"/>
          <w:szCs w:val="24"/>
        </w:rPr>
        <w:t xml:space="preserve"> for FERC review and approval on the same basis and subject to the same standards as the Revenue Requirements of the Inve</w:t>
      </w:r>
      <w:r w:rsidRPr="0056248D">
        <w:rPr>
          <w:rFonts w:ascii="Times New Roman" w:hAnsi="Times New Roman"/>
          <w:sz w:val="24"/>
          <w:szCs w:val="24"/>
        </w:rPr>
        <w:t xml:space="preserve">stor-Owned Transmission Owners. </w:t>
      </w:r>
      <w:ins w:id="84" w:author="Author" w:date="2016-01-27T23:57:00Z">
        <w:r>
          <w:rPr>
            <w:rFonts w:ascii="Times New Roman" w:hAnsi="Times New Roman"/>
            <w:sz w:val="24"/>
            <w:szCs w:val="24"/>
          </w:rPr>
          <w:t xml:space="preserve"> </w:t>
        </w:r>
      </w:ins>
      <w:r w:rsidRPr="0056248D">
        <w:rPr>
          <w:rFonts w:ascii="Times New Roman" w:hAnsi="Times New Roman"/>
          <w:sz w:val="24"/>
          <w:szCs w:val="24"/>
        </w:rPr>
        <w:t>Each January, beginning with January 2001, the ISO shall inform NYPA of the prior year’s actual New York internal Load requirements and the actual Wheels Through and Exports and shall post this information on the OASIS.  NY</w:t>
      </w:r>
      <w:r w:rsidRPr="0056248D">
        <w:rPr>
          <w:rFonts w:ascii="Times New Roman" w:hAnsi="Times New Roman"/>
          <w:sz w:val="24"/>
          <w:szCs w:val="24"/>
        </w:rPr>
        <w:t xml:space="preserve">PA shall change the BU component of the NTAC formula to reflect the prior calendar year’s information, with such change to take effect beginning with the March NTAC of the current year.  NYPA will calculate the monthly NTAC and provide this information to </w:t>
      </w:r>
      <w:r w:rsidRPr="0056248D">
        <w:rPr>
          <w:rFonts w:ascii="Times New Roman" w:hAnsi="Times New Roman"/>
          <w:sz w:val="24"/>
          <w:szCs w:val="24"/>
        </w:rPr>
        <w:t>the ISO by no later than the fourteenth day of each month, for posting on the OASIS to become effective on the first day of the next calendar month.  Beginning with LBMP implementation, the monthly NTAC shall be posted on the OASIS by the ISO no later than</w:t>
      </w:r>
      <w:r w:rsidRPr="0056248D">
        <w:rPr>
          <w:rFonts w:ascii="Times New Roman" w:hAnsi="Times New Roman"/>
          <w:sz w:val="24"/>
          <w:szCs w:val="24"/>
        </w:rPr>
        <w:t xml:space="preserve"> the fifteenth day of each month or as soon thereafter as is reasonably possible but in no event later than the 20th of the month to become effective on the first day of the next calendar month.</w:t>
      </w:r>
    </w:p>
    <w:p w:rsidR="006E7D59" w:rsidRPr="005336EA" w:rsidRDefault="009D0CB2" w:rsidP="001D5C80">
      <w:pPr>
        <w:pStyle w:val="Heading4"/>
        <w:spacing w:line="240" w:lineRule="auto"/>
        <w:rPr>
          <w:rFonts w:ascii="Times New Roman" w:hAnsi="Times New Roman"/>
          <w:sz w:val="24"/>
          <w:szCs w:val="24"/>
        </w:rPr>
      </w:pPr>
      <w:bookmarkStart w:id="85"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85"/>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del w:id="86" w:author="Author" w:date="2016-01-21T17:23:00Z">
        <w:r w:rsidRPr="0056248D">
          <w:rPr>
            <w:rFonts w:ascii="Times New Roman" w:hAnsi="Times New Roman"/>
            <w:sz w:val="24"/>
            <w:szCs w:val="24"/>
          </w:rPr>
          <w:delText>Annual Transmiss</w:delText>
        </w:r>
        <w:r w:rsidRPr="0056248D">
          <w:rPr>
            <w:rFonts w:ascii="Times New Roman" w:hAnsi="Times New Roman"/>
            <w:sz w:val="24"/>
            <w:szCs w:val="24"/>
          </w:rPr>
          <w:delText>ion Revenue Requirement (</w:delText>
        </w:r>
      </w:del>
      <w:ins w:id="87" w:author="Author" w:date="2016-01-19T15:20:00Z">
        <w:r>
          <w:rPr>
            <w:rFonts w:ascii="Times New Roman" w:hAnsi="Times New Roman"/>
            <w:sz w:val="24"/>
            <w:szCs w:val="24"/>
          </w:rPr>
          <w:t>AT</w:t>
        </w:r>
      </w:ins>
      <w:r w:rsidRPr="0056248D">
        <w:rPr>
          <w:rFonts w:ascii="Times New Roman" w:hAnsi="Times New Roman"/>
          <w:sz w:val="24"/>
          <w:szCs w:val="24"/>
        </w:rPr>
        <w:t>RR</w:t>
      </w:r>
      <w:ins w:id="88" w:author="Author" w:date="2016-01-21T17:21:00Z">
        <w:r>
          <w:rPr>
            <w:rFonts w:ascii="Times New Roman" w:hAnsi="Times New Roman"/>
            <w:vertAlign w:val="subscript"/>
          </w:rPr>
          <w:t>NTAC</w:t>
        </w:r>
      </w:ins>
      <w:del w:id="89" w:author="Author" w:date="2016-01-21T17:23:00Z">
        <w:r w:rsidRPr="0056248D">
          <w:rPr>
            <w:rFonts w:ascii="Times New Roman" w:hAnsi="Times New Roman"/>
            <w:sz w:val="24"/>
            <w:szCs w:val="24"/>
          </w:rPr>
          <w:delText>),</w:delText>
        </w:r>
      </w:del>
      <w:r w:rsidRPr="0056248D">
        <w:rPr>
          <w:rFonts w:ascii="Times New Roman" w:hAnsi="Times New Roman"/>
          <w:sz w:val="24"/>
          <w:szCs w:val="24"/>
        </w:rPr>
        <w:t xml:space="preserve"> for facilities owned as of January 31, 1997, and Annual Billing Units (BU) of the NTAC are:</w:t>
      </w:r>
    </w:p>
    <w:p w:rsidR="006E7D59" w:rsidRPr="0056248D" w:rsidRDefault="009D0CB2" w:rsidP="001D5C80">
      <w:pPr>
        <w:pStyle w:val="equationtext"/>
      </w:pPr>
      <w:ins w:id="90" w:author="Author" w:date="2016-01-19T15:20:00Z">
        <w:r>
          <w:t>AT</w:t>
        </w:r>
      </w:ins>
      <w:r w:rsidRPr="0056248D">
        <w:t>RR</w:t>
      </w:r>
      <w:ins w:id="91" w:author="Author" w:date="2016-01-21T17:21:00Z">
        <w:r>
          <w:rPr>
            <w:vertAlign w:val="subscript"/>
          </w:rPr>
          <w:t>NTAC</w:t>
        </w:r>
      </w:ins>
      <w:r w:rsidRPr="0056248D">
        <w:t xml:space="preserve"> = $165,449,297</w:t>
      </w:r>
    </w:p>
    <w:p w:rsidR="006E7D59" w:rsidRPr="0056248D" w:rsidRDefault="009D0CB2" w:rsidP="001D5C80">
      <w:pPr>
        <w:pStyle w:val="equationtext"/>
      </w:pPr>
      <w:r w:rsidRPr="0056248D">
        <w:t>BU = 133,386,541MWh</w:t>
      </w:r>
    </w:p>
    <w:p w:rsidR="006E7D59" w:rsidRPr="0056248D" w:rsidRDefault="009D0CB2" w:rsidP="001D5C80">
      <w:pPr>
        <w:pStyle w:val="Bodypara"/>
        <w:spacing w:after="0"/>
        <w:rPr>
          <w:rFonts w:ascii="Times New Roman" w:hAnsi="Times New Roman"/>
          <w:sz w:val="24"/>
          <w:szCs w:val="24"/>
        </w:rPr>
      </w:pPr>
      <w:r w:rsidRPr="0056248D">
        <w:rPr>
          <w:rFonts w:ascii="Times New Roman" w:hAnsi="Times New Roman"/>
          <w:sz w:val="24"/>
          <w:szCs w:val="24"/>
        </w:rPr>
        <w:t xml:space="preserve">NYPA’s </w:t>
      </w:r>
      <w:ins w:id="92" w:author="Author" w:date="2016-01-21T17:24:00Z">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ins>
      <w:del w:id="93" w:author="Author" w:date="2016-01-21T17:24:00Z">
        <w:r w:rsidRPr="0056248D">
          <w:rPr>
            <w:rFonts w:ascii="Times New Roman" w:hAnsi="Times New Roman"/>
            <w:sz w:val="24"/>
            <w:szCs w:val="24"/>
          </w:rPr>
          <w:delText xml:space="preserve">Annual Transmission Revenue Requirement </w:delText>
        </w:r>
      </w:del>
      <w:r w:rsidRPr="0056248D">
        <w:rPr>
          <w:rFonts w:ascii="Times New Roman" w:hAnsi="Times New Roman"/>
          <w:sz w:val="24"/>
          <w:szCs w:val="24"/>
        </w:rPr>
        <w:t xml:space="preserve">is subject to </w:t>
      </w:r>
      <w:ins w:id="94" w:author="Author" w:date="2016-01-19T15:30:00Z">
        <w:r>
          <w:rPr>
            <w:rFonts w:ascii="Times New Roman" w:hAnsi="Times New Roman"/>
            <w:sz w:val="24"/>
            <w:szCs w:val="24"/>
          </w:rPr>
          <w:t xml:space="preserve">FERC review </w:t>
        </w:r>
        <w:r>
          <w:rPr>
            <w:rFonts w:ascii="Times New Roman" w:hAnsi="Times New Roman"/>
            <w:sz w:val="24"/>
            <w:szCs w:val="24"/>
          </w:rPr>
          <w:t>because it is collected through the ISO’s jurisdictional rates, and will be filed</w:t>
        </w:r>
      </w:ins>
      <w:ins w:id="95" w:author="Author" w:date="2016-01-21T17:27:00Z">
        <w:r>
          <w:rPr>
            <w:rFonts w:ascii="Times New Roman" w:hAnsi="Times New Roman"/>
            <w:sz w:val="24"/>
            <w:szCs w:val="24"/>
          </w:rPr>
          <w:t>, together with any project-specific revenue requirements,</w:t>
        </w:r>
      </w:ins>
      <w:ins w:id="96" w:author="Author" w:date="2016-01-19T15:30:00Z">
        <w:r>
          <w:rPr>
            <w:rFonts w:ascii="Times New Roman" w:hAnsi="Times New Roman"/>
            <w:sz w:val="24"/>
            <w:szCs w:val="24"/>
          </w:rPr>
          <w:t xml:space="preserve"> with the</w:t>
        </w:r>
        <w:r w:rsidRPr="0056248D">
          <w:rPr>
            <w:rFonts w:ascii="Times New Roman" w:hAnsi="Times New Roman"/>
            <w:sz w:val="24"/>
            <w:szCs w:val="24"/>
          </w:rPr>
          <w:t xml:space="preserve"> </w:t>
        </w:r>
      </w:ins>
      <w:r w:rsidRPr="0056248D">
        <w:rPr>
          <w:rFonts w:ascii="Times New Roman" w:hAnsi="Times New Roman"/>
          <w:sz w:val="24"/>
          <w:szCs w:val="24"/>
        </w:rPr>
        <w:t xml:space="preserve">Commission </w:t>
      </w:r>
      <w:del w:id="97" w:author="Author" w:date="2016-01-19T15:30:00Z">
        <w:r w:rsidRPr="0056248D">
          <w:rPr>
            <w:rFonts w:ascii="Times New Roman" w:hAnsi="Times New Roman"/>
            <w:sz w:val="24"/>
            <w:szCs w:val="24"/>
          </w:rPr>
          <w:delText xml:space="preserve">approval in accordance </w:delText>
        </w:r>
      </w:del>
      <w:ins w:id="98" w:author="Author" w:date="2016-01-19T15:30:00Z">
        <w:r>
          <w:rPr>
            <w:rFonts w:ascii="Times New Roman" w:hAnsi="Times New Roman"/>
            <w:sz w:val="24"/>
            <w:szCs w:val="24"/>
          </w:rPr>
          <w:t xml:space="preserve">each year for informational purposes pursuant to </w:t>
        </w:r>
      </w:ins>
      <w:del w:id="99" w:author="Author" w:date="2016-01-19T15:30:00Z">
        <w:r w:rsidRPr="0056248D">
          <w:rPr>
            <w:rFonts w:ascii="Times New Roman" w:hAnsi="Times New Roman"/>
            <w:sz w:val="24"/>
            <w:szCs w:val="24"/>
          </w:rPr>
          <w:delText xml:space="preserve">with </w:delText>
        </w:r>
      </w:del>
      <w:r w:rsidRPr="0056248D">
        <w:rPr>
          <w:rFonts w:ascii="Times New Roman" w:hAnsi="Times New Roman"/>
          <w:sz w:val="24"/>
          <w:szCs w:val="24"/>
        </w:rPr>
        <w:t>Section 14.2.</w:t>
      </w:r>
      <w:del w:id="100" w:author="Author" w:date="2016-01-21T17:25:00Z">
        <w:r w:rsidRPr="0056248D">
          <w:rPr>
            <w:rFonts w:ascii="Times New Roman" w:hAnsi="Times New Roman"/>
            <w:sz w:val="24"/>
            <w:szCs w:val="24"/>
          </w:rPr>
          <w:delText>2</w:delText>
        </w:r>
      </w:del>
      <w:ins w:id="101" w:author="Author" w:date="2016-01-21T17:25:00Z">
        <w:r>
          <w:rPr>
            <w:rFonts w:ascii="Times New Roman" w:hAnsi="Times New Roman"/>
            <w:sz w:val="24"/>
            <w:szCs w:val="24"/>
          </w:rPr>
          <w:t>3</w:t>
        </w:r>
      </w:ins>
      <w:del w:id="102" w:author="Author" w:date="2016-01-21T17:28:00Z">
        <w:r w:rsidRPr="0056248D">
          <w:rPr>
            <w:rFonts w:ascii="Times New Roman" w:hAnsi="Times New Roman"/>
            <w:sz w:val="24"/>
            <w:szCs w:val="24"/>
          </w:rPr>
          <w:delText>.</w:delText>
        </w:r>
      </w:del>
      <w:del w:id="103" w:author="Author" w:date="2016-01-19T15:30:00Z">
        <w:r w:rsidRPr="0056248D">
          <w:rPr>
            <w:rFonts w:ascii="Times New Roman" w:hAnsi="Times New Roman"/>
            <w:sz w:val="24"/>
            <w:szCs w:val="24"/>
          </w:rPr>
          <w:delText>2</w:delText>
        </w:r>
      </w:del>
      <w:r w:rsidRPr="0056248D">
        <w:rPr>
          <w:rFonts w:ascii="Times New Roman" w:hAnsi="Times New Roman"/>
          <w:sz w:val="24"/>
          <w:szCs w:val="24"/>
        </w:rPr>
        <w:t>.</w:t>
      </w:r>
      <w:del w:id="104" w:author="Author" w:date="2016-01-19T15:30:00Z">
        <w:r w:rsidRPr="0056248D">
          <w:rPr>
            <w:rFonts w:ascii="Times New Roman" w:hAnsi="Times New Roman"/>
            <w:sz w:val="24"/>
            <w:szCs w:val="24"/>
          </w:rPr>
          <w:delText>3</w:delText>
        </w:r>
      </w:del>
      <w:ins w:id="105" w:author="Author" w:date="2016-01-19T15:30:00Z">
        <w:r>
          <w:rPr>
            <w:rFonts w:ascii="Times New Roman" w:hAnsi="Times New Roman"/>
            <w:sz w:val="24"/>
            <w:szCs w:val="24"/>
          </w:rPr>
          <w:t>2.6</w:t>
        </w:r>
      </w:ins>
      <w:r w:rsidRPr="0056248D">
        <w:rPr>
          <w:rFonts w:ascii="Times New Roman" w:hAnsi="Times New Roman"/>
          <w:sz w:val="24"/>
          <w:szCs w:val="24"/>
        </w:rPr>
        <w:t xml:space="preserve"> of this Attachment.</w:t>
      </w:r>
    </w:p>
    <w:p w:rsidR="006E7D59" w:rsidRPr="005336EA" w:rsidRDefault="009D0CB2" w:rsidP="001D5C80">
      <w:pPr>
        <w:pStyle w:val="Heading4"/>
        <w:spacing w:line="240" w:lineRule="auto"/>
        <w:rPr>
          <w:rFonts w:ascii="Times New Roman" w:hAnsi="Times New Roman"/>
          <w:sz w:val="24"/>
          <w:szCs w:val="24"/>
        </w:rPr>
      </w:pPr>
      <w:del w:id="106" w:author="Author" w:date="2016-01-21T17:29:00Z">
        <w:r w:rsidRPr="005336EA">
          <w:rPr>
            <w:rFonts w:ascii="Times New Roman" w:hAnsi="Times New Roman"/>
            <w:sz w:val="24"/>
            <w:szCs w:val="24"/>
          </w:rPr>
          <w:delText>14.2.2.4.1</w:delText>
        </w:r>
      </w:del>
      <w:r w:rsidRPr="005336EA">
        <w:rPr>
          <w:rFonts w:ascii="Times New Roman" w:hAnsi="Times New Roman"/>
          <w:sz w:val="24"/>
          <w:szCs w:val="24"/>
        </w:rPr>
        <w:tab/>
      </w:r>
      <w:del w:id="107" w:author="Author" w:date="2016-01-19T15:31:00Z">
        <w:r w:rsidRPr="005336EA">
          <w:rPr>
            <w:rFonts w:ascii="Times New Roman" w:hAnsi="Times New Roman"/>
            <w:sz w:val="24"/>
            <w:szCs w:val="24"/>
          </w:rPr>
          <w:delText>Amended RR</w:delText>
        </w:r>
      </w:del>
    </w:p>
    <w:p w:rsidR="006E7D59" w:rsidRPr="0056248D" w:rsidRDefault="009D0CB2" w:rsidP="001D5C80">
      <w:pPr>
        <w:pStyle w:val="Bodypara"/>
        <w:spacing w:after="0"/>
        <w:rPr>
          <w:del w:id="108" w:author="Author" w:date="2016-01-19T15:40:00Z"/>
          <w:rFonts w:ascii="Times New Roman" w:hAnsi="Times New Roman"/>
          <w:sz w:val="24"/>
          <w:szCs w:val="24"/>
        </w:rPr>
      </w:pPr>
      <w:del w:id="109" w:author="Author" w:date="2016-01-19T15:40:00Z">
        <w:r w:rsidRPr="0056248D">
          <w:rPr>
            <w:rFonts w:ascii="Times New Roman" w:hAnsi="Times New Roman"/>
            <w:sz w:val="24"/>
            <w:szCs w:val="24"/>
          </w:rPr>
          <w:delText>NYPA’s Amended Annual Transmission Revenue Requirement (Amended RR), effective August 1, 2012, is:</w:delText>
        </w:r>
      </w:del>
    </w:p>
    <w:p w:rsidR="006E7D59" w:rsidRDefault="009D0CB2" w:rsidP="001D5C80">
      <w:pPr>
        <w:pStyle w:val="equationtext"/>
        <w:rPr>
          <w:del w:id="110" w:author="Author" w:date="2016-01-19T15:40:00Z"/>
          <w:rFonts w:ascii="Times New Roman" w:hAnsi="Times New Roman"/>
        </w:rPr>
      </w:pPr>
      <w:del w:id="111" w:author="Author" w:date="2016-01-19T15:40:00Z">
        <w:r w:rsidRPr="00200F0E">
          <w:rPr>
            <w:rFonts w:ascii="Times New Roman" w:hAnsi="Times New Roman"/>
          </w:rPr>
          <w:delText>Amended RR = $175,500,000</w:delText>
        </w:r>
      </w:del>
    </w:p>
    <w:p w:rsidR="005F3778" w:rsidRPr="007A03F8" w:rsidRDefault="009D0CB2" w:rsidP="002D0370">
      <w:pPr>
        <w:pStyle w:val="equationtext"/>
        <w:spacing w:after="0"/>
        <w:ind w:left="0" w:firstLine="0"/>
        <w:jc w:val="both"/>
        <w:rPr>
          <w:del w:id="112" w:author="Author" w:date="2016-01-22T14:11:00Z"/>
        </w:rPr>
      </w:pPr>
      <w:bookmarkStart w:id="113" w:name="doc6344"/>
      <w:bookmarkStart w:id="114" w:name="doc6345"/>
      <w:bookmarkStart w:id="115" w:name="doc6346"/>
      <w:bookmarkStart w:id="116" w:name="doc6366"/>
      <w:bookmarkEnd w:id="113"/>
      <w:bookmarkEnd w:id="114"/>
      <w:bookmarkEnd w:id="115"/>
      <w:bookmarkEnd w:id="116"/>
    </w:p>
    <w:p w:rsidR="006E7D59" w:rsidRPr="005336EA" w:rsidRDefault="009D0CB2" w:rsidP="001D5C80">
      <w:pPr>
        <w:pStyle w:val="Heading4"/>
        <w:spacing w:line="240" w:lineRule="auto"/>
        <w:rPr>
          <w:rFonts w:ascii="Times New Roman" w:hAnsi="Times New Roman"/>
          <w:sz w:val="24"/>
          <w:szCs w:val="24"/>
        </w:rPr>
      </w:pPr>
      <w:bookmarkStart w:id="117" w:name="_Toc263255429"/>
      <w:r w:rsidRPr="005336EA">
        <w:rPr>
          <w:rFonts w:ascii="Times New Roman" w:hAnsi="Times New Roman"/>
          <w:sz w:val="24"/>
          <w:szCs w:val="24"/>
        </w:rPr>
        <w:t>14.2.2.5</w:t>
      </w:r>
      <w:r w:rsidRPr="005336EA">
        <w:rPr>
          <w:rFonts w:ascii="Times New Roman" w:hAnsi="Times New Roman"/>
          <w:sz w:val="24"/>
          <w:szCs w:val="24"/>
        </w:rPr>
        <w:tab/>
        <w:t>Billing</w:t>
      </w:r>
      <w:bookmarkEnd w:id="117"/>
    </w:p>
    <w:p w:rsidR="0081565D" w:rsidRDefault="009D0CB2"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Transactions to supply</w:t>
      </w:r>
      <w:r w:rsidRPr="0056248D">
        <w:rPr>
          <w:rFonts w:ascii="Times New Roman" w:hAnsi="Times New Roman"/>
          <w:sz w:val="24"/>
          <w:szCs w:val="24"/>
        </w:rPr>
        <w:t xml:space="preserve"> Load in the NYCA during the Billing Period, and hourly Energy schedules for the Billing Period for all Wheels Through and Exports.  </w:t>
      </w:r>
    </w:p>
    <w:p w:rsidR="00F90BBF" w:rsidRDefault="009D0CB2" w:rsidP="00F90BBF">
      <w:pPr>
        <w:pStyle w:val="Bodypara"/>
        <w:spacing w:after="0"/>
        <w:ind w:firstLine="0"/>
        <w:rPr>
          <w:rFonts w:ascii="Times New Roman" w:hAnsi="Times New Roman"/>
          <w:sz w:val="24"/>
          <w:szCs w:val="24"/>
        </w:rPr>
      </w:pPr>
    </w:p>
    <w:p w:rsidR="0081565D" w:rsidRPr="0056248D" w:rsidRDefault="009D0CB2" w:rsidP="00F50018">
      <w:pPr>
        <w:pStyle w:val="Bodypara"/>
        <w:spacing w:after="0"/>
        <w:ind w:firstLine="0"/>
        <w:rPr>
          <w:rFonts w:ascii="Times New Roman" w:hAnsi="Times New Roman"/>
          <w:sz w:val="24"/>
          <w:szCs w:val="24"/>
        </w:rPr>
      </w:pPr>
      <w:bookmarkStart w:id="118" w:name="_GoBack"/>
      <w:bookmarkEnd w:id="118"/>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C95" w:rsidRDefault="00BA5C95" w:rsidP="00BA5C95">
      <w:pPr>
        <w:spacing w:after="0" w:line="240" w:lineRule="auto"/>
      </w:pPr>
      <w:r>
        <w:separator/>
      </w:r>
    </w:p>
  </w:endnote>
  <w:endnote w:type="continuationSeparator" w:id="0">
    <w:p w:rsidR="00BA5C95" w:rsidRDefault="00BA5C95" w:rsidP="00BA5C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BA5C95">
      <w:rPr>
        <w:rFonts w:ascii="Arial" w:eastAsia="Arial" w:hAnsi="Arial" w:cs="Arial"/>
        <w:color w:val="000000"/>
        <w:sz w:val="16"/>
      </w:rPr>
      <w:fldChar w:fldCharType="begin"/>
    </w:r>
    <w:r>
      <w:rPr>
        <w:rFonts w:ascii="Arial" w:eastAsia="Arial" w:hAnsi="Arial" w:cs="Arial"/>
        <w:color w:val="000000"/>
        <w:sz w:val="16"/>
      </w:rPr>
      <w:instrText>PAGE</w:instrText>
    </w:r>
    <w:r w:rsidR="00BA5C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BA5C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A5C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BA5C95">
      <w:rPr>
        <w:rFonts w:ascii="Arial" w:eastAsia="Arial" w:hAnsi="Arial" w:cs="Arial"/>
        <w:color w:val="000000"/>
        <w:sz w:val="16"/>
      </w:rPr>
      <w:fldChar w:fldCharType="begin"/>
    </w:r>
    <w:r>
      <w:rPr>
        <w:rFonts w:ascii="Arial" w:eastAsia="Arial" w:hAnsi="Arial" w:cs="Arial"/>
        <w:color w:val="000000"/>
        <w:sz w:val="16"/>
      </w:rPr>
      <w:instrText>PAGE</w:instrText>
    </w:r>
    <w:r w:rsidR="00BA5C9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BA5C95">
      <w:rPr>
        <w:rFonts w:ascii="Arial" w:eastAsia="Arial" w:hAnsi="Arial" w:cs="Arial"/>
        <w:color w:val="000000"/>
        <w:sz w:val="16"/>
      </w:rPr>
      <w:fldChar w:fldCharType="begin"/>
    </w:r>
    <w:r>
      <w:rPr>
        <w:rFonts w:ascii="Arial" w:eastAsia="Arial" w:hAnsi="Arial" w:cs="Arial"/>
        <w:color w:val="000000"/>
        <w:sz w:val="16"/>
      </w:rPr>
      <w:instrText>PAGE</w:instrText>
    </w:r>
    <w:r w:rsidR="00BA5C9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BA5C95">
      <w:rPr>
        <w:rFonts w:ascii="Arial" w:eastAsia="Arial" w:hAnsi="Arial" w:cs="Arial"/>
        <w:color w:val="000000"/>
        <w:sz w:val="16"/>
      </w:rPr>
      <w:fldChar w:fldCharType="begin"/>
    </w:r>
    <w:r>
      <w:rPr>
        <w:rFonts w:ascii="Arial" w:eastAsia="Arial" w:hAnsi="Arial" w:cs="Arial"/>
        <w:color w:val="000000"/>
        <w:sz w:val="16"/>
      </w:rPr>
      <w:instrText>PAGE</w:instrText>
    </w:r>
    <w:r w:rsidR="00BA5C9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4/1/2016 - Docket #: ER16-835-000 - Page </w:t>
    </w:r>
    <w:r w:rsidR="00BA5C95">
      <w:rPr>
        <w:rFonts w:ascii="Arial" w:eastAsia="Arial" w:hAnsi="Arial" w:cs="Arial"/>
        <w:color w:val="000000"/>
        <w:sz w:val="16"/>
      </w:rPr>
      <w:fldChar w:fldCharType="begin"/>
    </w:r>
    <w:r>
      <w:rPr>
        <w:rFonts w:ascii="Arial" w:eastAsia="Arial" w:hAnsi="Arial" w:cs="Arial"/>
        <w:color w:val="000000"/>
        <w:sz w:val="16"/>
      </w:rPr>
      <w:instrText>PAGE</w:instrText>
    </w:r>
    <w:r w:rsidR="00BA5C9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jc w:val="right"/>
      <w:rPr>
        <w:rFonts w:ascii="Arial" w:eastAsia="Arial" w:hAnsi="Arial" w:cs="Arial"/>
        <w:color w:val="000000"/>
        <w:sz w:val="16"/>
      </w:rPr>
    </w:pPr>
    <w:r>
      <w:rPr>
        <w:rFonts w:ascii="Arial" w:eastAsia="Arial" w:hAnsi="Arial" w:cs="Arial"/>
        <w:color w:val="000000"/>
        <w:sz w:val="16"/>
      </w:rPr>
      <w:t>Effective Date: 4/1/</w:t>
    </w:r>
    <w:r>
      <w:rPr>
        <w:rFonts w:ascii="Arial" w:eastAsia="Arial" w:hAnsi="Arial" w:cs="Arial"/>
        <w:color w:val="000000"/>
        <w:sz w:val="16"/>
      </w:rPr>
      <w:t xml:space="preserve">2016 - Docket #: ER16-835-000 - Page </w:t>
    </w:r>
    <w:r w:rsidR="00BA5C95">
      <w:rPr>
        <w:rFonts w:ascii="Arial" w:eastAsia="Arial" w:hAnsi="Arial" w:cs="Arial"/>
        <w:color w:val="000000"/>
        <w:sz w:val="16"/>
      </w:rPr>
      <w:fldChar w:fldCharType="begin"/>
    </w:r>
    <w:r>
      <w:rPr>
        <w:rFonts w:ascii="Arial" w:eastAsia="Arial" w:hAnsi="Arial" w:cs="Arial"/>
        <w:color w:val="000000"/>
        <w:sz w:val="16"/>
      </w:rPr>
      <w:instrText>PAGE</w:instrText>
    </w:r>
    <w:r w:rsidR="00BA5C9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BA5C95">
      <w:rPr>
        <w:rFonts w:ascii="Arial" w:eastAsia="Arial" w:hAnsi="Arial" w:cs="Arial"/>
        <w:color w:val="000000"/>
        <w:sz w:val="16"/>
      </w:rPr>
      <w:fldChar w:fldCharType="begin"/>
    </w:r>
    <w:r>
      <w:rPr>
        <w:rFonts w:ascii="Arial" w:eastAsia="Arial" w:hAnsi="Arial" w:cs="Arial"/>
        <w:color w:val="000000"/>
        <w:sz w:val="16"/>
      </w:rPr>
      <w:instrText>PAGE</w:instrText>
    </w:r>
    <w:r w:rsidR="00BA5C9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BA5C95">
      <w:rPr>
        <w:rFonts w:ascii="Arial" w:eastAsia="Arial" w:hAnsi="Arial" w:cs="Arial"/>
        <w:color w:val="000000"/>
        <w:sz w:val="16"/>
      </w:rPr>
      <w:fldChar w:fldCharType="begin"/>
    </w:r>
    <w:r>
      <w:rPr>
        <w:rFonts w:ascii="Arial" w:eastAsia="Arial" w:hAnsi="Arial" w:cs="Arial"/>
        <w:color w:val="000000"/>
        <w:sz w:val="16"/>
      </w:rPr>
      <w:instrText>PAGE</w:instrText>
    </w:r>
    <w:r w:rsidR="00BA5C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ED" w:rsidRDefault="009D0CB2">
      <w:r>
        <w:separator/>
      </w:r>
    </w:p>
  </w:footnote>
  <w:footnote w:type="continuationSeparator" w:id="0">
    <w:p w:rsidR="00CA50ED" w:rsidRDefault="009D0CB2">
      <w:r>
        <w:continuationSeparator/>
      </w:r>
    </w:p>
  </w:footnote>
  <w:footnote w:id="1">
    <w:p w:rsidR="006E7D59" w:rsidRDefault="009D0CB2"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The NTAC shall not apply to Wheels Through or Exports scheduled with the ISO to destinations within the New England Control Area provided that the condition</w:t>
      </w:r>
      <w:r w:rsidRPr="005336EA">
        <w:rPr>
          <w:rFonts w:ascii="Times New Roman" w:hAnsi="Times New Roman"/>
          <w:szCs w:val="24"/>
        </w:rPr>
        <w:t>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rPr>
        <w:rFonts w:ascii="Arial" w:eastAsia="Arial" w:hAnsi="Arial" w:cs="Arial"/>
        <w:color w:val="000000"/>
        <w:sz w:val="16"/>
      </w:rPr>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C95" w:rsidRDefault="009D0CB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w:t>
    </w:r>
    <w:r>
      <w:rPr>
        <w:rFonts w:ascii="Arial" w:eastAsia="Arial" w:hAnsi="Arial" w:cs="Arial"/>
        <w:color w:val="000000"/>
        <w:sz w:val="16"/>
      </w:rPr>
      <w:t xml:space="preserve">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5FE7C68">
      <w:start w:val="1"/>
      <w:numFmt w:val="bullet"/>
      <w:pStyle w:val="Bulletpara"/>
      <w:lvlText w:val=""/>
      <w:lvlJc w:val="left"/>
      <w:pPr>
        <w:tabs>
          <w:tab w:val="num" w:pos="720"/>
        </w:tabs>
        <w:ind w:left="720" w:hanging="360"/>
      </w:pPr>
      <w:rPr>
        <w:rFonts w:ascii="Symbol" w:hAnsi="Symbol" w:hint="default"/>
      </w:rPr>
    </w:lvl>
    <w:lvl w:ilvl="1" w:tplc="444C9CAC" w:tentative="1">
      <w:start w:val="1"/>
      <w:numFmt w:val="bullet"/>
      <w:lvlText w:val="o"/>
      <w:lvlJc w:val="left"/>
      <w:pPr>
        <w:tabs>
          <w:tab w:val="num" w:pos="1440"/>
        </w:tabs>
        <w:ind w:left="1440" w:hanging="360"/>
      </w:pPr>
      <w:rPr>
        <w:rFonts w:ascii="Courier New" w:hAnsi="Courier New" w:cs="Courier New" w:hint="default"/>
      </w:rPr>
    </w:lvl>
    <w:lvl w:ilvl="2" w:tplc="2160D058" w:tentative="1">
      <w:start w:val="1"/>
      <w:numFmt w:val="bullet"/>
      <w:lvlText w:val=""/>
      <w:lvlJc w:val="left"/>
      <w:pPr>
        <w:tabs>
          <w:tab w:val="num" w:pos="2160"/>
        </w:tabs>
        <w:ind w:left="2160" w:hanging="360"/>
      </w:pPr>
      <w:rPr>
        <w:rFonts w:ascii="Wingdings" w:hAnsi="Wingdings" w:hint="default"/>
      </w:rPr>
    </w:lvl>
    <w:lvl w:ilvl="3" w:tplc="8104EBEE" w:tentative="1">
      <w:start w:val="1"/>
      <w:numFmt w:val="bullet"/>
      <w:lvlText w:val=""/>
      <w:lvlJc w:val="left"/>
      <w:pPr>
        <w:tabs>
          <w:tab w:val="num" w:pos="2880"/>
        </w:tabs>
        <w:ind w:left="2880" w:hanging="360"/>
      </w:pPr>
      <w:rPr>
        <w:rFonts w:ascii="Symbol" w:hAnsi="Symbol" w:hint="default"/>
      </w:rPr>
    </w:lvl>
    <w:lvl w:ilvl="4" w:tplc="9E56DBEC" w:tentative="1">
      <w:start w:val="1"/>
      <w:numFmt w:val="bullet"/>
      <w:lvlText w:val="o"/>
      <w:lvlJc w:val="left"/>
      <w:pPr>
        <w:tabs>
          <w:tab w:val="num" w:pos="3600"/>
        </w:tabs>
        <w:ind w:left="3600" w:hanging="360"/>
      </w:pPr>
      <w:rPr>
        <w:rFonts w:ascii="Courier New" w:hAnsi="Courier New" w:cs="Courier New" w:hint="default"/>
      </w:rPr>
    </w:lvl>
    <w:lvl w:ilvl="5" w:tplc="77BAA98E" w:tentative="1">
      <w:start w:val="1"/>
      <w:numFmt w:val="bullet"/>
      <w:lvlText w:val=""/>
      <w:lvlJc w:val="left"/>
      <w:pPr>
        <w:tabs>
          <w:tab w:val="num" w:pos="4320"/>
        </w:tabs>
        <w:ind w:left="4320" w:hanging="360"/>
      </w:pPr>
      <w:rPr>
        <w:rFonts w:ascii="Wingdings" w:hAnsi="Wingdings" w:hint="default"/>
      </w:rPr>
    </w:lvl>
    <w:lvl w:ilvl="6" w:tplc="35103226" w:tentative="1">
      <w:start w:val="1"/>
      <w:numFmt w:val="bullet"/>
      <w:lvlText w:val=""/>
      <w:lvlJc w:val="left"/>
      <w:pPr>
        <w:tabs>
          <w:tab w:val="num" w:pos="5040"/>
        </w:tabs>
        <w:ind w:left="5040" w:hanging="360"/>
      </w:pPr>
      <w:rPr>
        <w:rFonts w:ascii="Symbol" w:hAnsi="Symbol" w:hint="default"/>
      </w:rPr>
    </w:lvl>
    <w:lvl w:ilvl="7" w:tplc="32928F52" w:tentative="1">
      <w:start w:val="1"/>
      <w:numFmt w:val="bullet"/>
      <w:lvlText w:val="o"/>
      <w:lvlJc w:val="left"/>
      <w:pPr>
        <w:tabs>
          <w:tab w:val="num" w:pos="5760"/>
        </w:tabs>
        <w:ind w:left="5760" w:hanging="360"/>
      </w:pPr>
      <w:rPr>
        <w:rFonts w:ascii="Courier New" w:hAnsi="Courier New" w:cs="Courier New" w:hint="default"/>
      </w:rPr>
    </w:lvl>
    <w:lvl w:ilvl="8" w:tplc="B3881B0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B7F6D07A">
      <w:start w:val="1"/>
      <w:numFmt w:val="decimal"/>
      <w:lvlText w:val="%1."/>
      <w:lvlJc w:val="left"/>
      <w:pPr>
        <w:tabs>
          <w:tab w:val="num" w:pos="360"/>
        </w:tabs>
        <w:ind w:left="360" w:hanging="360"/>
      </w:pPr>
      <w:rPr>
        <w:rFonts w:hint="default"/>
      </w:rPr>
    </w:lvl>
    <w:lvl w:ilvl="1" w:tplc="7E422616" w:tentative="1">
      <w:start w:val="1"/>
      <w:numFmt w:val="lowerLetter"/>
      <w:lvlText w:val="%2."/>
      <w:lvlJc w:val="left"/>
      <w:pPr>
        <w:tabs>
          <w:tab w:val="num" w:pos="1080"/>
        </w:tabs>
        <w:ind w:left="1080" w:hanging="360"/>
      </w:pPr>
    </w:lvl>
    <w:lvl w:ilvl="2" w:tplc="8CB21394" w:tentative="1">
      <w:start w:val="1"/>
      <w:numFmt w:val="lowerRoman"/>
      <w:lvlText w:val="%3."/>
      <w:lvlJc w:val="right"/>
      <w:pPr>
        <w:tabs>
          <w:tab w:val="num" w:pos="1800"/>
        </w:tabs>
        <w:ind w:left="1800" w:hanging="180"/>
      </w:pPr>
    </w:lvl>
    <w:lvl w:ilvl="3" w:tplc="60AC26C8" w:tentative="1">
      <w:start w:val="1"/>
      <w:numFmt w:val="decimal"/>
      <w:lvlText w:val="%4."/>
      <w:lvlJc w:val="left"/>
      <w:pPr>
        <w:tabs>
          <w:tab w:val="num" w:pos="2520"/>
        </w:tabs>
        <w:ind w:left="2520" w:hanging="360"/>
      </w:pPr>
    </w:lvl>
    <w:lvl w:ilvl="4" w:tplc="282A4B3E" w:tentative="1">
      <w:start w:val="1"/>
      <w:numFmt w:val="lowerLetter"/>
      <w:lvlText w:val="%5."/>
      <w:lvlJc w:val="left"/>
      <w:pPr>
        <w:tabs>
          <w:tab w:val="num" w:pos="3240"/>
        </w:tabs>
        <w:ind w:left="3240" w:hanging="360"/>
      </w:pPr>
    </w:lvl>
    <w:lvl w:ilvl="5" w:tplc="15FEEF28" w:tentative="1">
      <w:start w:val="1"/>
      <w:numFmt w:val="lowerRoman"/>
      <w:lvlText w:val="%6."/>
      <w:lvlJc w:val="right"/>
      <w:pPr>
        <w:tabs>
          <w:tab w:val="num" w:pos="3960"/>
        </w:tabs>
        <w:ind w:left="3960" w:hanging="180"/>
      </w:pPr>
    </w:lvl>
    <w:lvl w:ilvl="6" w:tplc="4F549EF6" w:tentative="1">
      <w:start w:val="1"/>
      <w:numFmt w:val="decimal"/>
      <w:lvlText w:val="%7."/>
      <w:lvlJc w:val="left"/>
      <w:pPr>
        <w:tabs>
          <w:tab w:val="num" w:pos="4680"/>
        </w:tabs>
        <w:ind w:left="4680" w:hanging="360"/>
      </w:pPr>
    </w:lvl>
    <w:lvl w:ilvl="7" w:tplc="F23C7A2E" w:tentative="1">
      <w:start w:val="1"/>
      <w:numFmt w:val="lowerLetter"/>
      <w:lvlText w:val="%8."/>
      <w:lvlJc w:val="left"/>
      <w:pPr>
        <w:tabs>
          <w:tab w:val="num" w:pos="5400"/>
        </w:tabs>
        <w:ind w:left="5400" w:hanging="360"/>
      </w:pPr>
    </w:lvl>
    <w:lvl w:ilvl="8" w:tplc="A4885D9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BD1EADF2">
      <w:start w:val="1"/>
      <w:numFmt w:val="lowerRoman"/>
      <w:lvlText w:val="(%1)"/>
      <w:lvlJc w:val="left"/>
      <w:pPr>
        <w:tabs>
          <w:tab w:val="num" w:pos="2448"/>
        </w:tabs>
        <w:ind w:left="2448" w:hanging="648"/>
      </w:pPr>
      <w:rPr>
        <w:rFonts w:hint="default"/>
        <w:b w:val="0"/>
        <w:i w:val="0"/>
        <w:u w:val="none"/>
      </w:rPr>
    </w:lvl>
    <w:lvl w:ilvl="1" w:tplc="B1C8DB56" w:tentative="1">
      <w:start w:val="1"/>
      <w:numFmt w:val="lowerLetter"/>
      <w:lvlText w:val="%2."/>
      <w:lvlJc w:val="left"/>
      <w:pPr>
        <w:tabs>
          <w:tab w:val="num" w:pos="1440"/>
        </w:tabs>
        <w:ind w:left="1440" w:hanging="360"/>
      </w:pPr>
    </w:lvl>
    <w:lvl w:ilvl="2" w:tplc="FFC25A68" w:tentative="1">
      <w:start w:val="1"/>
      <w:numFmt w:val="lowerRoman"/>
      <w:lvlText w:val="%3."/>
      <w:lvlJc w:val="right"/>
      <w:pPr>
        <w:tabs>
          <w:tab w:val="num" w:pos="2160"/>
        </w:tabs>
        <w:ind w:left="2160" w:hanging="180"/>
      </w:pPr>
    </w:lvl>
    <w:lvl w:ilvl="3" w:tplc="B4387EA6" w:tentative="1">
      <w:start w:val="1"/>
      <w:numFmt w:val="decimal"/>
      <w:lvlText w:val="%4."/>
      <w:lvlJc w:val="left"/>
      <w:pPr>
        <w:tabs>
          <w:tab w:val="num" w:pos="2880"/>
        </w:tabs>
        <w:ind w:left="2880" w:hanging="360"/>
      </w:pPr>
    </w:lvl>
    <w:lvl w:ilvl="4" w:tplc="370ACCCC" w:tentative="1">
      <w:start w:val="1"/>
      <w:numFmt w:val="lowerLetter"/>
      <w:lvlText w:val="%5."/>
      <w:lvlJc w:val="left"/>
      <w:pPr>
        <w:tabs>
          <w:tab w:val="num" w:pos="3600"/>
        </w:tabs>
        <w:ind w:left="3600" w:hanging="360"/>
      </w:pPr>
    </w:lvl>
    <w:lvl w:ilvl="5" w:tplc="4106FC62" w:tentative="1">
      <w:start w:val="1"/>
      <w:numFmt w:val="lowerRoman"/>
      <w:lvlText w:val="%6."/>
      <w:lvlJc w:val="right"/>
      <w:pPr>
        <w:tabs>
          <w:tab w:val="num" w:pos="4320"/>
        </w:tabs>
        <w:ind w:left="4320" w:hanging="180"/>
      </w:pPr>
    </w:lvl>
    <w:lvl w:ilvl="6" w:tplc="E6FE363A" w:tentative="1">
      <w:start w:val="1"/>
      <w:numFmt w:val="decimal"/>
      <w:lvlText w:val="%7."/>
      <w:lvlJc w:val="left"/>
      <w:pPr>
        <w:tabs>
          <w:tab w:val="num" w:pos="5040"/>
        </w:tabs>
        <w:ind w:left="5040" w:hanging="360"/>
      </w:pPr>
    </w:lvl>
    <w:lvl w:ilvl="7" w:tplc="D546721C" w:tentative="1">
      <w:start w:val="1"/>
      <w:numFmt w:val="lowerLetter"/>
      <w:lvlText w:val="%8."/>
      <w:lvlJc w:val="left"/>
      <w:pPr>
        <w:tabs>
          <w:tab w:val="num" w:pos="5760"/>
        </w:tabs>
        <w:ind w:left="5760" w:hanging="360"/>
      </w:pPr>
    </w:lvl>
    <w:lvl w:ilvl="8" w:tplc="159C716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205E2D92">
      <w:start w:val="1"/>
      <w:numFmt w:val="lowerRoman"/>
      <w:lvlText w:val="(%1)"/>
      <w:lvlJc w:val="left"/>
      <w:pPr>
        <w:tabs>
          <w:tab w:val="num" w:pos="2880"/>
        </w:tabs>
        <w:ind w:left="2880" w:hanging="720"/>
      </w:pPr>
      <w:rPr>
        <w:rFonts w:hint="default"/>
      </w:rPr>
    </w:lvl>
    <w:lvl w:ilvl="1" w:tplc="A204DECA" w:tentative="1">
      <w:start w:val="1"/>
      <w:numFmt w:val="lowerLetter"/>
      <w:lvlText w:val="%2."/>
      <w:lvlJc w:val="left"/>
      <w:pPr>
        <w:tabs>
          <w:tab w:val="num" w:pos="3240"/>
        </w:tabs>
        <w:ind w:left="3240" w:hanging="360"/>
      </w:pPr>
    </w:lvl>
    <w:lvl w:ilvl="2" w:tplc="9754F69C" w:tentative="1">
      <w:start w:val="1"/>
      <w:numFmt w:val="lowerRoman"/>
      <w:lvlText w:val="%3."/>
      <w:lvlJc w:val="right"/>
      <w:pPr>
        <w:tabs>
          <w:tab w:val="num" w:pos="3960"/>
        </w:tabs>
        <w:ind w:left="3960" w:hanging="180"/>
      </w:pPr>
    </w:lvl>
    <w:lvl w:ilvl="3" w:tplc="6B88BBC0" w:tentative="1">
      <w:start w:val="1"/>
      <w:numFmt w:val="decimal"/>
      <w:lvlText w:val="%4."/>
      <w:lvlJc w:val="left"/>
      <w:pPr>
        <w:tabs>
          <w:tab w:val="num" w:pos="4680"/>
        </w:tabs>
        <w:ind w:left="4680" w:hanging="360"/>
      </w:pPr>
    </w:lvl>
    <w:lvl w:ilvl="4" w:tplc="509266AA" w:tentative="1">
      <w:start w:val="1"/>
      <w:numFmt w:val="lowerLetter"/>
      <w:lvlText w:val="%5."/>
      <w:lvlJc w:val="left"/>
      <w:pPr>
        <w:tabs>
          <w:tab w:val="num" w:pos="5400"/>
        </w:tabs>
        <w:ind w:left="5400" w:hanging="360"/>
      </w:pPr>
    </w:lvl>
    <w:lvl w:ilvl="5" w:tplc="256886F4" w:tentative="1">
      <w:start w:val="1"/>
      <w:numFmt w:val="lowerRoman"/>
      <w:lvlText w:val="%6."/>
      <w:lvlJc w:val="right"/>
      <w:pPr>
        <w:tabs>
          <w:tab w:val="num" w:pos="6120"/>
        </w:tabs>
        <w:ind w:left="6120" w:hanging="180"/>
      </w:pPr>
    </w:lvl>
    <w:lvl w:ilvl="6" w:tplc="BFE424A6" w:tentative="1">
      <w:start w:val="1"/>
      <w:numFmt w:val="decimal"/>
      <w:lvlText w:val="%7."/>
      <w:lvlJc w:val="left"/>
      <w:pPr>
        <w:tabs>
          <w:tab w:val="num" w:pos="6840"/>
        </w:tabs>
        <w:ind w:left="6840" w:hanging="360"/>
      </w:pPr>
    </w:lvl>
    <w:lvl w:ilvl="7" w:tplc="3AC28E34" w:tentative="1">
      <w:start w:val="1"/>
      <w:numFmt w:val="lowerLetter"/>
      <w:lvlText w:val="%8."/>
      <w:lvlJc w:val="left"/>
      <w:pPr>
        <w:tabs>
          <w:tab w:val="num" w:pos="7560"/>
        </w:tabs>
        <w:ind w:left="7560" w:hanging="360"/>
      </w:pPr>
    </w:lvl>
    <w:lvl w:ilvl="8" w:tplc="D5C2357E"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ADB0BECA">
      <w:start w:val="3"/>
      <w:numFmt w:val="lowerLetter"/>
      <w:lvlText w:val="(%1)"/>
      <w:lvlJc w:val="left"/>
      <w:pPr>
        <w:tabs>
          <w:tab w:val="num" w:pos="1440"/>
        </w:tabs>
        <w:ind w:left="1440" w:hanging="720"/>
      </w:pPr>
      <w:rPr>
        <w:rFonts w:hint="default"/>
      </w:rPr>
    </w:lvl>
    <w:lvl w:ilvl="1" w:tplc="BCCA363A" w:tentative="1">
      <w:start w:val="1"/>
      <w:numFmt w:val="lowerLetter"/>
      <w:lvlText w:val="%2."/>
      <w:lvlJc w:val="left"/>
      <w:pPr>
        <w:tabs>
          <w:tab w:val="num" w:pos="1800"/>
        </w:tabs>
        <w:ind w:left="1800" w:hanging="360"/>
      </w:pPr>
    </w:lvl>
    <w:lvl w:ilvl="2" w:tplc="9F586F4C" w:tentative="1">
      <w:start w:val="1"/>
      <w:numFmt w:val="lowerRoman"/>
      <w:lvlText w:val="%3."/>
      <w:lvlJc w:val="right"/>
      <w:pPr>
        <w:tabs>
          <w:tab w:val="num" w:pos="2520"/>
        </w:tabs>
        <w:ind w:left="2520" w:hanging="180"/>
      </w:pPr>
    </w:lvl>
    <w:lvl w:ilvl="3" w:tplc="357E891A" w:tentative="1">
      <w:start w:val="1"/>
      <w:numFmt w:val="decimal"/>
      <w:lvlText w:val="%4."/>
      <w:lvlJc w:val="left"/>
      <w:pPr>
        <w:tabs>
          <w:tab w:val="num" w:pos="3240"/>
        </w:tabs>
        <w:ind w:left="3240" w:hanging="360"/>
      </w:pPr>
    </w:lvl>
    <w:lvl w:ilvl="4" w:tplc="2604DF38" w:tentative="1">
      <w:start w:val="1"/>
      <w:numFmt w:val="lowerLetter"/>
      <w:lvlText w:val="%5."/>
      <w:lvlJc w:val="left"/>
      <w:pPr>
        <w:tabs>
          <w:tab w:val="num" w:pos="3960"/>
        </w:tabs>
        <w:ind w:left="3960" w:hanging="360"/>
      </w:pPr>
    </w:lvl>
    <w:lvl w:ilvl="5" w:tplc="F0B2A28E" w:tentative="1">
      <w:start w:val="1"/>
      <w:numFmt w:val="lowerRoman"/>
      <w:lvlText w:val="%6."/>
      <w:lvlJc w:val="right"/>
      <w:pPr>
        <w:tabs>
          <w:tab w:val="num" w:pos="4680"/>
        </w:tabs>
        <w:ind w:left="4680" w:hanging="180"/>
      </w:pPr>
    </w:lvl>
    <w:lvl w:ilvl="6" w:tplc="C4CE92F0" w:tentative="1">
      <w:start w:val="1"/>
      <w:numFmt w:val="decimal"/>
      <w:lvlText w:val="%7."/>
      <w:lvlJc w:val="left"/>
      <w:pPr>
        <w:tabs>
          <w:tab w:val="num" w:pos="5400"/>
        </w:tabs>
        <w:ind w:left="5400" w:hanging="360"/>
      </w:pPr>
    </w:lvl>
    <w:lvl w:ilvl="7" w:tplc="950090CC" w:tentative="1">
      <w:start w:val="1"/>
      <w:numFmt w:val="lowerLetter"/>
      <w:lvlText w:val="%8."/>
      <w:lvlJc w:val="left"/>
      <w:pPr>
        <w:tabs>
          <w:tab w:val="num" w:pos="6120"/>
        </w:tabs>
        <w:ind w:left="6120" w:hanging="360"/>
      </w:pPr>
    </w:lvl>
    <w:lvl w:ilvl="8" w:tplc="65028336"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7792B85A">
      <w:start w:val="1"/>
      <w:numFmt w:val="decimal"/>
      <w:lvlText w:val="%1."/>
      <w:lvlJc w:val="left"/>
      <w:pPr>
        <w:tabs>
          <w:tab w:val="num" w:pos="720"/>
        </w:tabs>
        <w:ind w:left="720" w:hanging="360"/>
      </w:pPr>
      <w:rPr>
        <w:rFonts w:hint="default"/>
      </w:rPr>
    </w:lvl>
    <w:lvl w:ilvl="1" w:tplc="DB086A04" w:tentative="1">
      <w:start w:val="1"/>
      <w:numFmt w:val="lowerLetter"/>
      <w:lvlText w:val="%2."/>
      <w:lvlJc w:val="left"/>
      <w:pPr>
        <w:tabs>
          <w:tab w:val="num" w:pos="1440"/>
        </w:tabs>
        <w:ind w:left="1440" w:hanging="360"/>
      </w:pPr>
    </w:lvl>
    <w:lvl w:ilvl="2" w:tplc="A41E9074" w:tentative="1">
      <w:start w:val="1"/>
      <w:numFmt w:val="lowerRoman"/>
      <w:lvlText w:val="%3."/>
      <w:lvlJc w:val="right"/>
      <w:pPr>
        <w:tabs>
          <w:tab w:val="num" w:pos="2160"/>
        </w:tabs>
        <w:ind w:left="2160" w:hanging="180"/>
      </w:pPr>
    </w:lvl>
    <w:lvl w:ilvl="3" w:tplc="434C2932" w:tentative="1">
      <w:start w:val="1"/>
      <w:numFmt w:val="decimal"/>
      <w:lvlText w:val="%4."/>
      <w:lvlJc w:val="left"/>
      <w:pPr>
        <w:tabs>
          <w:tab w:val="num" w:pos="2880"/>
        </w:tabs>
        <w:ind w:left="2880" w:hanging="360"/>
      </w:pPr>
    </w:lvl>
    <w:lvl w:ilvl="4" w:tplc="EEEED26C" w:tentative="1">
      <w:start w:val="1"/>
      <w:numFmt w:val="lowerLetter"/>
      <w:lvlText w:val="%5."/>
      <w:lvlJc w:val="left"/>
      <w:pPr>
        <w:tabs>
          <w:tab w:val="num" w:pos="3600"/>
        </w:tabs>
        <w:ind w:left="3600" w:hanging="360"/>
      </w:pPr>
    </w:lvl>
    <w:lvl w:ilvl="5" w:tplc="12242BC8" w:tentative="1">
      <w:start w:val="1"/>
      <w:numFmt w:val="lowerRoman"/>
      <w:lvlText w:val="%6."/>
      <w:lvlJc w:val="right"/>
      <w:pPr>
        <w:tabs>
          <w:tab w:val="num" w:pos="4320"/>
        </w:tabs>
        <w:ind w:left="4320" w:hanging="180"/>
      </w:pPr>
    </w:lvl>
    <w:lvl w:ilvl="6" w:tplc="E4E26E92" w:tentative="1">
      <w:start w:val="1"/>
      <w:numFmt w:val="decimal"/>
      <w:lvlText w:val="%7."/>
      <w:lvlJc w:val="left"/>
      <w:pPr>
        <w:tabs>
          <w:tab w:val="num" w:pos="5040"/>
        </w:tabs>
        <w:ind w:left="5040" w:hanging="360"/>
      </w:pPr>
    </w:lvl>
    <w:lvl w:ilvl="7" w:tplc="51BAACFA" w:tentative="1">
      <w:start w:val="1"/>
      <w:numFmt w:val="lowerLetter"/>
      <w:lvlText w:val="%8."/>
      <w:lvlJc w:val="left"/>
      <w:pPr>
        <w:tabs>
          <w:tab w:val="num" w:pos="5760"/>
        </w:tabs>
        <w:ind w:left="5760" w:hanging="360"/>
      </w:pPr>
    </w:lvl>
    <w:lvl w:ilvl="8" w:tplc="8102ABE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5C4F04E">
      <w:start w:val="1"/>
      <w:numFmt w:val="decimal"/>
      <w:lvlText w:val="%1."/>
      <w:lvlJc w:val="left"/>
      <w:pPr>
        <w:tabs>
          <w:tab w:val="num" w:pos="720"/>
        </w:tabs>
        <w:ind w:left="720" w:hanging="360"/>
      </w:pPr>
      <w:rPr>
        <w:rFonts w:hint="default"/>
      </w:rPr>
    </w:lvl>
    <w:lvl w:ilvl="1" w:tplc="A6BAE0AE" w:tentative="1">
      <w:start w:val="1"/>
      <w:numFmt w:val="lowerLetter"/>
      <w:lvlText w:val="%2."/>
      <w:lvlJc w:val="left"/>
      <w:pPr>
        <w:tabs>
          <w:tab w:val="num" w:pos="1440"/>
        </w:tabs>
        <w:ind w:left="1440" w:hanging="360"/>
      </w:pPr>
    </w:lvl>
    <w:lvl w:ilvl="2" w:tplc="EDDA673A" w:tentative="1">
      <w:start w:val="1"/>
      <w:numFmt w:val="lowerRoman"/>
      <w:lvlText w:val="%3."/>
      <w:lvlJc w:val="right"/>
      <w:pPr>
        <w:tabs>
          <w:tab w:val="num" w:pos="2160"/>
        </w:tabs>
        <w:ind w:left="2160" w:hanging="180"/>
      </w:pPr>
    </w:lvl>
    <w:lvl w:ilvl="3" w:tplc="82940EC0" w:tentative="1">
      <w:start w:val="1"/>
      <w:numFmt w:val="decimal"/>
      <w:lvlText w:val="%4."/>
      <w:lvlJc w:val="left"/>
      <w:pPr>
        <w:tabs>
          <w:tab w:val="num" w:pos="2880"/>
        </w:tabs>
        <w:ind w:left="2880" w:hanging="360"/>
      </w:pPr>
    </w:lvl>
    <w:lvl w:ilvl="4" w:tplc="4FB8C408" w:tentative="1">
      <w:start w:val="1"/>
      <w:numFmt w:val="lowerLetter"/>
      <w:lvlText w:val="%5."/>
      <w:lvlJc w:val="left"/>
      <w:pPr>
        <w:tabs>
          <w:tab w:val="num" w:pos="3600"/>
        </w:tabs>
        <w:ind w:left="3600" w:hanging="360"/>
      </w:pPr>
    </w:lvl>
    <w:lvl w:ilvl="5" w:tplc="168C54EE" w:tentative="1">
      <w:start w:val="1"/>
      <w:numFmt w:val="lowerRoman"/>
      <w:lvlText w:val="%6."/>
      <w:lvlJc w:val="right"/>
      <w:pPr>
        <w:tabs>
          <w:tab w:val="num" w:pos="4320"/>
        </w:tabs>
        <w:ind w:left="4320" w:hanging="180"/>
      </w:pPr>
    </w:lvl>
    <w:lvl w:ilvl="6" w:tplc="AD68DF54" w:tentative="1">
      <w:start w:val="1"/>
      <w:numFmt w:val="decimal"/>
      <w:lvlText w:val="%7."/>
      <w:lvlJc w:val="left"/>
      <w:pPr>
        <w:tabs>
          <w:tab w:val="num" w:pos="5040"/>
        </w:tabs>
        <w:ind w:left="5040" w:hanging="360"/>
      </w:pPr>
    </w:lvl>
    <w:lvl w:ilvl="7" w:tplc="388A859E" w:tentative="1">
      <w:start w:val="1"/>
      <w:numFmt w:val="lowerLetter"/>
      <w:lvlText w:val="%8."/>
      <w:lvlJc w:val="left"/>
      <w:pPr>
        <w:tabs>
          <w:tab w:val="num" w:pos="5760"/>
        </w:tabs>
        <w:ind w:left="5760" w:hanging="360"/>
      </w:pPr>
    </w:lvl>
    <w:lvl w:ilvl="8" w:tplc="7556043C"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9A401C62">
      <w:start w:val="1"/>
      <w:numFmt w:val="upperLetter"/>
      <w:lvlText w:val="(%1)"/>
      <w:lvlJc w:val="left"/>
      <w:pPr>
        <w:ind w:left="2520" w:hanging="360"/>
      </w:pPr>
      <w:rPr>
        <w:rFonts w:hint="default"/>
      </w:rPr>
    </w:lvl>
    <w:lvl w:ilvl="1" w:tplc="23A27B78" w:tentative="1">
      <w:start w:val="1"/>
      <w:numFmt w:val="lowerLetter"/>
      <w:lvlText w:val="%2."/>
      <w:lvlJc w:val="left"/>
      <w:pPr>
        <w:ind w:left="3240" w:hanging="360"/>
      </w:pPr>
    </w:lvl>
    <w:lvl w:ilvl="2" w:tplc="2180AFC2" w:tentative="1">
      <w:start w:val="1"/>
      <w:numFmt w:val="lowerRoman"/>
      <w:lvlText w:val="%3."/>
      <w:lvlJc w:val="right"/>
      <w:pPr>
        <w:ind w:left="3960" w:hanging="180"/>
      </w:pPr>
    </w:lvl>
    <w:lvl w:ilvl="3" w:tplc="4C9EAC96" w:tentative="1">
      <w:start w:val="1"/>
      <w:numFmt w:val="decimal"/>
      <w:lvlText w:val="%4."/>
      <w:lvlJc w:val="left"/>
      <w:pPr>
        <w:ind w:left="4680" w:hanging="360"/>
      </w:pPr>
    </w:lvl>
    <w:lvl w:ilvl="4" w:tplc="ACE2E71C" w:tentative="1">
      <w:start w:val="1"/>
      <w:numFmt w:val="lowerLetter"/>
      <w:lvlText w:val="%5."/>
      <w:lvlJc w:val="left"/>
      <w:pPr>
        <w:ind w:left="5400" w:hanging="360"/>
      </w:pPr>
    </w:lvl>
    <w:lvl w:ilvl="5" w:tplc="B9F8F1B0" w:tentative="1">
      <w:start w:val="1"/>
      <w:numFmt w:val="lowerRoman"/>
      <w:lvlText w:val="%6."/>
      <w:lvlJc w:val="right"/>
      <w:pPr>
        <w:ind w:left="6120" w:hanging="180"/>
      </w:pPr>
    </w:lvl>
    <w:lvl w:ilvl="6" w:tplc="889C39CC" w:tentative="1">
      <w:start w:val="1"/>
      <w:numFmt w:val="decimal"/>
      <w:lvlText w:val="%7."/>
      <w:lvlJc w:val="left"/>
      <w:pPr>
        <w:ind w:left="6840" w:hanging="360"/>
      </w:pPr>
    </w:lvl>
    <w:lvl w:ilvl="7" w:tplc="B6660AFE" w:tentative="1">
      <w:start w:val="1"/>
      <w:numFmt w:val="lowerLetter"/>
      <w:lvlText w:val="%8."/>
      <w:lvlJc w:val="left"/>
      <w:pPr>
        <w:ind w:left="7560" w:hanging="360"/>
      </w:pPr>
    </w:lvl>
    <w:lvl w:ilvl="8" w:tplc="0D4C8D54" w:tentative="1">
      <w:start w:val="1"/>
      <w:numFmt w:val="lowerRoman"/>
      <w:lvlText w:val="%9."/>
      <w:lvlJc w:val="right"/>
      <w:pPr>
        <w:ind w:left="8280" w:hanging="180"/>
      </w:pPr>
    </w:lvl>
  </w:abstractNum>
  <w:abstractNum w:abstractNumId="18">
    <w:nsid w:val="5F9E081F"/>
    <w:multiLevelType w:val="hybridMultilevel"/>
    <w:tmpl w:val="F2880B68"/>
    <w:lvl w:ilvl="0" w:tplc="FD6A96A4">
      <w:start w:val="1"/>
      <w:numFmt w:val="decimal"/>
      <w:lvlText w:val="%1."/>
      <w:lvlJc w:val="left"/>
      <w:pPr>
        <w:tabs>
          <w:tab w:val="num" w:pos="720"/>
        </w:tabs>
        <w:ind w:left="720" w:hanging="360"/>
      </w:pPr>
      <w:rPr>
        <w:rFonts w:hint="default"/>
      </w:rPr>
    </w:lvl>
    <w:lvl w:ilvl="1" w:tplc="948898B2">
      <w:start w:val="1"/>
      <w:numFmt w:val="lowerLetter"/>
      <w:lvlText w:val="%2."/>
      <w:lvlJc w:val="left"/>
      <w:pPr>
        <w:tabs>
          <w:tab w:val="num" w:pos="1440"/>
        </w:tabs>
        <w:ind w:left="1440" w:hanging="360"/>
      </w:pPr>
    </w:lvl>
    <w:lvl w:ilvl="2" w:tplc="70B8B700">
      <w:start w:val="1"/>
      <w:numFmt w:val="lowerRoman"/>
      <w:lvlText w:val="(%3)"/>
      <w:lvlJc w:val="left"/>
      <w:pPr>
        <w:tabs>
          <w:tab w:val="num" w:pos="2700"/>
        </w:tabs>
        <w:ind w:left="2700" w:hanging="720"/>
      </w:pPr>
      <w:rPr>
        <w:rFonts w:hint="default"/>
      </w:rPr>
    </w:lvl>
    <w:lvl w:ilvl="3" w:tplc="02EA0638" w:tentative="1">
      <w:start w:val="1"/>
      <w:numFmt w:val="decimal"/>
      <w:lvlText w:val="%4."/>
      <w:lvlJc w:val="left"/>
      <w:pPr>
        <w:tabs>
          <w:tab w:val="num" w:pos="2880"/>
        </w:tabs>
        <w:ind w:left="2880" w:hanging="360"/>
      </w:pPr>
    </w:lvl>
    <w:lvl w:ilvl="4" w:tplc="0B901088" w:tentative="1">
      <w:start w:val="1"/>
      <w:numFmt w:val="lowerLetter"/>
      <w:lvlText w:val="%5."/>
      <w:lvlJc w:val="left"/>
      <w:pPr>
        <w:tabs>
          <w:tab w:val="num" w:pos="3600"/>
        </w:tabs>
        <w:ind w:left="3600" w:hanging="360"/>
      </w:pPr>
    </w:lvl>
    <w:lvl w:ilvl="5" w:tplc="A3823EAA" w:tentative="1">
      <w:start w:val="1"/>
      <w:numFmt w:val="lowerRoman"/>
      <w:lvlText w:val="%6."/>
      <w:lvlJc w:val="right"/>
      <w:pPr>
        <w:tabs>
          <w:tab w:val="num" w:pos="4320"/>
        </w:tabs>
        <w:ind w:left="4320" w:hanging="180"/>
      </w:pPr>
    </w:lvl>
    <w:lvl w:ilvl="6" w:tplc="4EAEB774" w:tentative="1">
      <w:start w:val="1"/>
      <w:numFmt w:val="decimal"/>
      <w:lvlText w:val="%7."/>
      <w:lvlJc w:val="left"/>
      <w:pPr>
        <w:tabs>
          <w:tab w:val="num" w:pos="5040"/>
        </w:tabs>
        <w:ind w:left="5040" w:hanging="360"/>
      </w:pPr>
    </w:lvl>
    <w:lvl w:ilvl="7" w:tplc="664CD170" w:tentative="1">
      <w:start w:val="1"/>
      <w:numFmt w:val="lowerLetter"/>
      <w:lvlText w:val="%8."/>
      <w:lvlJc w:val="left"/>
      <w:pPr>
        <w:tabs>
          <w:tab w:val="num" w:pos="5760"/>
        </w:tabs>
        <w:ind w:left="5760" w:hanging="360"/>
      </w:pPr>
    </w:lvl>
    <w:lvl w:ilvl="8" w:tplc="2E60716A"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4C048434">
      <w:start w:val="1"/>
      <w:numFmt w:val="decimal"/>
      <w:lvlText w:val="%1."/>
      <w:lvlJc w:val="left"/>
      <w:pPr>
        <w:tabs>
          <w:tab w:val="num" w:pos="1080"/>
        </w:tabs>
        <w:ind w:left="1080" w:hanging="360"/>
      </w:pPr>
      <w:rPr>
        <w:b w:val="0"/>
      </w:rPr>
    </w:lvl>
    <w:lvl w:ilvl="1" w:tplc="685051BA">
      <w:start w:val="1"/>
      <w:numFmt w:val="lowerLetter"/>
      <w:lvlText w:val="%2."/>
      <w:lvlJc w:val="left"/>
      <w:pPr>
        <w:tabs>
          <w:tab w:val="num" w:pos="1800"/>
        </w:tabs>
        <w:ind w:left="1800" w:hanging="360"/>
      </w:pPr>
    </w:lvl>
    <w:lvl w:ilvl="2" w:tplc="CF48921A">
      <w:start w:val="1"/>
      <w:numFmt w:val="lowerRoman"/>
      <w:lvlText w:val="%3."/>
      <w:lvlJc w:val="right"/>
      <w:pPr>
        <w:tabs>
          <w:tab w:val="num" w:pos="2520"/>
        </w:tabs>
        <w:ind w:left="2520" w:hanging="180"/>
      </w:pPr>
    </w:lvl>
    <w:lvl w:ilvl="3" w:tplc="683AE164">
      <w:start w:val="1"/>
      <w:numFmt w:val="decimal"/>
      <w:lvlText w:val="%4."/>
      <w:lvlJc w:val="left"/>
      <w:pPr>
        <w:tabs>
          <w:tab w:val="num" w:pos="3240"/>
        </w:tabs>
        <w:ind w:left="3240" w:hanging="360"/>
      </w:pPr>
    </w:lvl>
    <w:lvl w:ilvl="4" w:tplc="58004FAC">
      <w:start w:val="1"/>
      <w:numFmt w:val="lowerLetter"/>
      <w:lvlText w:val="%5."/>
      <w:lvlJc w:val="left"/>
      <w:pPr>
        <w:tabs>
          <w:tab w:val="num" w:pos="3960"/>
        </w:tabs>
        <w:ind w:left="3960" w:hanging="360"/>
      </w:pPr>
    </w:lvl>
    <w:lvl w:ilvl="5" w:tplc="CF14F2A4">
      <w:start w:val="1"/>
      <w:numFmt w:val="lowerRoman"/>
      <w:lvlText w:val="%6."/>
      <w:lvlJc w:val="right"/>
      <w:pPr>
        <w:tabs>
          <w:tab w:val="num" w:pos="4680"/>
        </w:tabs>
        <w:ind w:left="4680" w:hanging="180"/>
      </w:pPr>
    </w:lvl>
    <w:lvl w:ilvl="6" w:tplc="0B260D94">
      <w:start w:val="1"/>
      <w:numFmt w:val="decimal"/>
      <w:lvlText w:val="%7."/>
      <w:lvlJc w:val="left"/>
      <w:pPr>
        <w:tabs>
          <w:tab w:val="num" w:pos="5400"/>
        </w:tabs>
        <w:ind w:left="5400" w:hanging="360"/>
      </w:pPr>
    </w:lvl>
    <w:lvl w:ilvl="7" w:tplc="39967BD6">
      <w:start w:val="1"/>
      <w:numFmt w:val="lowerLetter"/>
      <w:lvlText w:val="%8."/>
      <w:lvlJc w:val="left"/>
      <w:pPr>
        <w:tabs>
          <w:tab w:val="num" w:pos="6120"/>
        </w:tabs>
        <w:ind w:left="6120" w:hanging="360"/>
      </w:pPr>
    </w:lvl>
    <w:lvl w:ilvl="8" w:tplc="41EC6B8A">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0F126690">
      <w:start w:val="1"/>
      <w:numFmt w:val="decimal"/>
      <w:lvlText w:val="%1."/>
      <w:lvlJc w:val="left"/>
      <w:pPr>
        <w:tabs>
          <w:tab w:val="num" w:pos="720"/>
        </w:tabs>
        <w:ind w:left="720" w:hanging="360"/>
      </w:pPr>
      <w:rPr>
        <w:rFonts w:hint="default"/>
      </w:rPr>
    </w:lvl>
    <w:lvl w:ilvl="1" w:tplc="43847C56" w:tentative="1">
      <w:start w:val="1"/>
      <w:numFmt w:val="lowerLetter"/>
      <w:lvlText w:val="%2."/>
      <w:lvlJc w:val="left"/>
      <w:pPr>
        <w:tabs>
          <w:tab w:val="num" w:pos="1440"/>
        </w:tabs>
        <w:ind w:left="1440" w:hanging="360"/>
      </w:pPr>
    </w:lvl>
    <w:lvl w:ilvl="2" w:tplc="6D06EAAA" w:tentative="1">
      <w:start w:val="1"/>
      <w:numFmt w:val="lowerRoman"/>
      <w:lvlText w:val="%3."/>
      <w:lvlJc w:val="right"/>
      <w:pPr>
        <w:tabs>
          <w:tab w:val="num" w:pos="2160"/>
        </w:tabs>
        <w:ind w:left="2160" w:hanging="180"/>
      </w:pPr>
    </w:lvl>
    <w:lvl w:ilvl="3" w:tplc="00DEBCAE" w:tentative="1">
      <w:start w:val="1"/>
      <w:numFmt w:val="decimal"/>
      <w:lvlText w:val="%4."/>
      <w:lvlJc w:val="left"/>
      <w:pPr>
        <w:tabs>
          <w:tab w:val="num" w:pos="2880"/>
        </w:tabs>
        <w:ind w:left="2880" w:hanging="360"/>
      </w:pPr>
    </w:lvl>
    <w:lvl w:ilvl="4" w:tplc="0976694C" w:tentative="1">
      <w:start w:val="1"/>
      <w:numFmt w:val="lowerLetter"/>
      <w:lvlText w:val="%5."/>
      <w:lvlJc w:val="left"/>
      <w:pPr>
        <w:tabs>
          <w:tab w:val="num" w:pos="3600"/>
        </w:tabs>
        <w:ind w:left="3600" w:hanging="360"/>
      </w:pPr>
    </w:lvl>
    <w:lvl w:ilvl="5" w:tplc="0A5477BA" w:tentative="1">
      <w:start w:val="1"/>
      <w:numFmt w:val="lowerRoman"/>
      <w:lvlText w:val="%6."/>
      <w:lvlJc w:val="right"/>
      <w:pPr>
        <w:tabs>
          <w:tab w:val="num" w:pos="4320"/>
        </w:tabs>
        <w:ind w:left="4320" w:hanging="180"/>
      </w:pPr>
    </w:lvl>
    <w:lvl w:ilvl="6" w:tplc="8A263E68" w:tentative="1">
      <w:start w:val="1"/>
      <w:numFmt w:val="decimal"/>
      <w:lvlText w:val="%7."/>
      <w:lvlJc w:val="left"/>
      <w:pPr>
        <w:tabs>
          <w:tab w:val="num" w:pos="5040"/>
        </w:tabs>
        <w:ind w:left="5040" w:hanging="360"/>
      </w:pPr>
    </w:lvl>
    <w:lvl w:ilvl="7" w:tplc="67B05242" w:tentative="1">
      <w:start w:val="1"/>
      <w:numFmt w:val="lowerLetter"/>
      <w:lvlText w:val="%8."/>
      <w:lvlJc w:val="left"/>
      <w:pPr>
        <w:tabs>
          <w:tab w:val="num" w:pos="5760"/>
        </w:tabs>
        <w:ind w:left="5760" w:hanging="360"/>
      </w:pPr>
    </w:lvl>
    <w:lvl w:ilvl="8" w:tplc="467E9EEE"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3776FAA0">
      <w:start w:val="1"/>
      <w:numFmt w:val="bullet"/>
      <w:lvlText w:val=""/>
      <w:lvlJc w:val="left"/>
      <w:pPr>
        <w:tabs>
          <w:tab w:val="num" w:pos="5760"/>
        </w:tabs>
        <w:ind w:left="5760" w:hanging="360"/>
      </w:pPr>
      <w:rPr>
        <w:rFonts w:ascii="Symbol" w:hAnsi="Symbol" w:hint="default"/>
        <w:color w:val="auto"/>
        <w:u w:val="none"/>
      </w:rPr>
    </w:lvl>
    <w:lvl w:ilvl="1" w:tplc="4EE03D82" w:tentative="1">
      <w:start w:val="1"/>
      <w:numFmt w:val="bullet"/>
      <w:lvlText w:val="o"/>
      <w:lvlJc w:val="left"/>
      <w:pPr>
        <w:tabs>
          <w:tab w:val="num" w:pos="3600"/>
        </w:tabs>
        <w:ind w:left="3600" w:hanging="360"/>
      </w:pPr>
      <w:rPr>
        <w:rFonts w:ascii="Courier New" w:hAnsi="Courier New" w:hint="default"/>
      </w:rPr>
    </w:lvl>
    <w:lvl w:ilvl="2" w:tplc="1F904500" w:tentative="1">
      <w:start w:val="1"/>
      <w:numFmt w:val="bullet"/>
      <w:lvlText w:val=""/>
      <w:lvlJc w:val="left"/>
      <w:pPr>
        <w:tabs>
          <w:tab w:val="num" w:pos="4320"/>
        </w:tabs>
        <w:ind w:left="4320" w:hanging="360"/>
      </w:pPr>
      <w:rPr>
        <w:rFonts w:ascii="Wingdings" w:hAnsi="Wingdings" w:hint="default"/>
      </w:rPr>
    </w:lvl>
    <w:lvl w:ilvl="3" w:tplc="6AEA30B6">
      <w:start w:val="1"/>
      <w:numFmt w:val="bullet"/>
      <w:lvlText w:val=""/>
      <w:lvlJc w:val="left"/>
      <w:pPr>
        <w:tabs>
          <w:tab w:val="num" w:pos="5040"/>
        </w:tabs>
        <w:ind w:left="5040" w:hanging="360"/>
      </w:pPr>
      <w:rPr>
        <w:rFonts w:ascii="Symbol" w:hAnsi="Symbol" w:hint="default"/>
      </w:rPr>
    </w:lvl>
    <w:lvl w:ilvl="4" w:tplc="34B2DE6E" w:tentative="1">
      <w:start w:val="1"/>
      <w:numFmt w:val="bullet"/>
      <w:lvlText w:val="o"/>
      <w:lvlJc w:val="left"/>
      <w:pPr>
        <w:tabs>
          <w:tab w:val="num" w:pos="5760"/>
        </w:tabs>
        <w:ind w:left="5760" w:hanging="360"/>
      </w:pPr>
      <w:rPr>
        <w:rFonts w:ascii="Courier New" w:hAnsi="Courier New" w:hint="default"/>
      </w:rPr>
    </w:lvl>
    <w:lvl w:ilvl="5" w:tplc="C338F0FA" w:tentative="1">
      <w:start w:val="1"/>
      <w:numFmt w:val="bullet"/>
      <w:lvlText w:val=""/>
      <w:lvlJc w:val="left"/>
      <w:pPr>
        <w:tabs>
          <w:tab w:val="num" w:pos="6480"/>
        </w:tabs>
        <w:ind w:left="6480" w:hanging="360"/>
      </w:pPr>
      <w:rPr>
        <w:rFonts w:ascii="Wingdings" w:hAnsi="Wingdings" w:hint="default"/>
      </w:rPr>
    </w:lvl>
    <w:lvl w:ilvl="6" w:tplc="32AC4FBA" w:tentative="1">
      <w:start w:val="1"/>
      <w:numFmt w:val="bullet"/>
      <w:lvlText w:val=""/>
      <w:lvlJc w:val="left"/>
      <w:pPr>
        <w:tabs>
          <w:tab w:val="num" w:pos="7200"/>
        </w:tabs>
        <w:ind w:left="7200" w:hanging="360"/>
      </w:pPr>
      <w:rPr>
        <w:rFonts w:ascii="Symbol" w:hAnsi="Symbol" w:hint="default"/>
      </w:rPr>
    </w:lvl>
    <w:lvl w:ilvl="7" w:tplc="0526EB9C" w:tentative="1">
      <w:start w:val="1"/>
      <w:numFmt w:val="bullet"/>
      <w:lvlText w:val="o"/>
      <w:lvlJc w:val="left"/>
      <w:pPr>
        <w:tabs>
          <w:tab w:val="num" w:pos="7920"/>
        </w:tabs>
        <w:ind w:left="7920" w:hanging="360"/>
      </w:pPr>
      <w:rPr>
        <w:rFonts w:ascii="Courier New" w:hAnsi="Courier New" w:hint="default"/>
      </w:rPr>
    </w:lvl>
    <w:lvl w:ilvl="8" w:tplc="75B078E8"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E63063A8">
      <w:start w:val="1"/>
      <w:numFmt w:val="lowerRoman"/>
      <w:lvlText w:val="(%1)"/>
      <w:lvlJc w:val="left"/>
      <w:pPr>
        <w:tabs>
          <w:tab w:val="num" w:pos="1080"/>
        </w:tabs>
        <w:ind w:left="1080" w:hanging="720"/>
      </w:pPr>
      <w:rPr>
        <w:rFonts w:hint="default"/>
      </w:rPr>
    </w:lvl>
    <w:lvl w:ilvl="1" w:tplc="959CFA9A">
      <w:start w:val="1"/>
      <w:numFmt w:val="lowerLetter"/>
      <w:lvlText w:val="%2."/>
      <w:lvlJc w:val="left"/>
      <w:pPr>
        <w:tabs>
          <w:tab w:val="num" w:pos="1440"/>
        </w:tabs>
        <w:ind w:left="1440" w:hanging="360"/>
      </w:pPr>
    </w:lvl>
    <w:lvl w:ilvl="2" w:tplc="70FAB62A" w:tentative="1">
      <w:start w:val="1"/>
      <w:numFmt w:val="lowerRoman"/>
      <w:lvlText w:val="%3."/>
      <w:lvlJc w:val="right"/>
      <w:pPr>
        <w:tabs>
          <w:tab w:val="num" w:pos="2160"/>
        </w:tabs>
        <w:ind w:left="2160" w:hanging="180"/>
      </w:pPr>
    </w:lvl>
    <w:lvl w:ilvl="3" w:tplc="F0B6F808" w:tentative="1">
      <w:start w:val="1"/>
      <w:numFmt w:val="decimal"/>
      <w:lvlText w:val="%4."/>
      <w:lvlJc w:val="left"/>
      <w:pPr>
        <w:tabs>
          <w:tab w:val="num" w:pos="2880"/>
        </w:tabs>
        <w:ind w:left="2880" w:hanging="360"/>
      </w:pPr>
    </w:lvl>
    <w:lvl w:ilvl="4" w:tplc="CD326DC2" w:tentative="1">
      <w:start w:val="1"/>
      <w:numFmt w:val="lowerLetter"/>
      <w:lvlText w:val="%5."/>
      <w:lvlJc w:val="left"/>
      <w:pPr>
        <w:tabs>
          <w:tab w:val="num" w:pos="3600"/>
        </w:tabs>
        <w:ind w:left="3600" w:hanging="360"/>
      </w:pPr>
    </w:lvl>
    <w:lvl w:ilvl="5" w:tplc="1B94437E" w:tentative="1">
      <w:start w:val="1"/>
      <w:numFmt w:val="lowerRoman"/>
      <w:lvlText w:val="%6."/>
      <w:lvlJc w:val="right"/>
      <w:pPr>
        <w:tabs>
          <w:tab w:val="num" w:pos="4320"/>
        </w:tabs>
        <w:ind w:left="4320" w:hanging="180"/>
      </w:pPr>
    </w:lvl>
    <w:lvl w:ilvl="6" w:tplc="C14E7D72" w:tentative="1">
      <w:start w:val="1"/>
      <w:numFmt w:val="decimal"/>
      <w:lvlText w:val="%7."/>
      <w:lvlJc w:val="left"/>
      <w:pPr>
        <w:tabs>
          <w:tab w:val="num" w:pos="5040"/>
        </w:tabs>
        <w:ind w:left="5040" w:hanging="360"/>
      </w:pPr>
    </w:lvl>
    <w:lvl w:ilvl="7" w:tplc="15AE3B7E" w:tentative="1">
      <w:start w:val="1"/>
      <w:numFmt w:val="lowerLetter"/>
      <w:lvlText w:val="%8."/>
      <w:lvlJc w:val="left"/>
      <w:pPr>
        <w:tabs>
          <w:tab w:val="num" w:pos="5760"/>
        </w:tabs>
        <w:ind w:left="5760" w:hanging="360"/>
      </w:pPr>
    </w:lvl>
    <w:lvl w:ilvl="8" w:tplc="BD2E0304"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uppressBottomSpacing/>
  </w:compat>
  <w:rsids>
    <w:rsidRoot w:val="00BA5C95"/>
    <w:rsid w:val="009D0CB2"/>
    <w:rsid w:val="00BA5C9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E55895"/>
  </w:style>
  <w:style w:type="paragraph" w:styleId="BodyText">
    <w:name w:val="Body Text"/>
    <w:basedOn w:val="Normal"/>
    <w:link w:val="BodyTextChar"/>
    <w:uiPriority w:val="99"/>
    <w:rsid w:val="00E55895"/>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E55895"/>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E55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E55895"/>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959CD-4220-4B15-BD98-10244C14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7979</Words>
  <Characters>45484</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2017-03-23T20:20:00Z</dcterms:created>
  <dcterms:modified xsi:type="dcterms:W3CDTF">2017-03-23T20:20:00Z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