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F4" w:rsidRPr="00C41040" w:rsidRDefault="00E66D60" w:rsidP="007D27F4">
      <w:pPr>
        <w:pStyle w:val="Heading2"/>
      </w:pPr>
      <w:bookmarkStart w:id="0" w:name="_Toc261444518"/>
      <w:r>
        <w:t>4.1</w:t>
      </w:r>
      <w:r w:rsidRPr="00C41040">
        <w:tab/>
        <w:t>Nature of Network Integration Transmission Service</w:t>
      </w:r>
      <w:bookmarkEnd w:id="0"/>
    </w:p>
    <w:p w:rsidR="007D27F4" w:rsidRDefault="00E66D60" w:rsidP="00C21405">
      <w:pPr>
        <w:pStyle w:val="Heading3"/>
      </w:pPr>
      <w:bookmarkStart w:id="1" w:name="_Toc261444519"/>
      <w:r w:rsidRPr="00C21405">
        <w:t>4.1.1</w:t>
      </w:r>
      <w:r w:rsidRPr="00C21405">
        <w:tab/>
        <w:t>Scope of Service:</w:t>
      </w:r>
      <w:bookmarkEnd w:id="1"/>
      <w:r w:rsidRPr="007D27F4">
        <w:t xml:space="preserve">  </w:t>
      </w:r>
    </w:p>
    <w:p w:rsidR="007D27F4" w:rsidRPr="007D27F4" w:rsidRDefault="00E66D60" w:rsidP="007D27F4">
      <w:pPr>
        <w:pStyle w:val="Bodypara"/>
      </w:pPr>
      <w:r w:rsidRPr="007D27F4">
        <w:t xml:space="preserve">Network Integration Transmission Service is a Transmission Service that allows Network Customers to efficiently and economically utilize Network Resources (as well as other </w:t>
      </w:r>
      <w:r w:rsidRPr="007D27F4">
        <w:t>non</w:t>
      </w:r>
      <w:r w:rsidRPr="007D27F4">
        <w:noBreakHyphen/>
        <w:t xml:space="preserve">designated generation resources) to serve their Network Load located in the NYCA and any additional Load that may be designated pursuant to Section </w:t>
      </w:r>
      <w:r w:rsidRPr="006678E7">
        <w:t>4.4</w:t>
      </w:r>
      <w:r w:rsidRPr="007D27F4">
        <w:t xml:space="preserve">.3 of this Tariff.  The Network Customer taking Network Integration Transmission Service must obtain </w:t>
      </w:r>
      <w:r w:rsidRPr="007D27F4">
        <w:t xml:space="preserve">or provide Ancillary Services pursuant to Section </w:t>
      </w:r>
      <w:r>
        <w:t>2.</w:t>
      </w:r>
      <w:r w:rsidRPr="007D27F4">
        <w:t>3.</w:t>
      </w:r>
    </w:p>
    <w:p w:rsidR="007D27F4" w:rsidRPr="00C21405" w:rsidRDefault="00E66D60" w:rsidP="00C21405">
      <w:pPr>
        <w:pStyle w:val="Heading3"/>
      </w:pPr>
      <w:bookmarkStart w:id="2" w:name="_Toc261444520"/>
      <w:r>
        <w:t>4.1.2</w:t>
      </w:r>
      <w:r>
        <w:tab/>
      </w:r>
      <w:r w:rsidRPr="00C21405">
        <w:t>Transmission Owner Responsibilities:</w:t>
      </w:r>
      <w:bookmarkEnd w:id="2"/>
      <w:r w:rsidRPr="00C21405">
        <w:t xml:space="preserve">  </w:t>
      </w:r>
    </w:p>
    <w:p w:rsidR="007D27F4" w:rsidRPr="007D27F4" w:rsidRDefault="00E66D60" w:rsidP="007D27F4">
      <w:pPr>
        <w:pStyle w:val="Bodypara"/>
        <w:rPr>
          <w:b/>
        </w:rPr>
      </w:pPr>
      <w:r w:rsidRPr="007D27F4">
        <w:t>Each Transmission Owner will plan, construct, operate and maintain their respective transmission systems in accordance with Good Utility Practice and its pl</w:t>
      </w:r>
      <w:r w:rsidRPr="007D27F4">
        <w:t>anning obligations in Attachment Y, in order to provide the Network Customer with Network Integration Transmission Service over the NYS Transmission System.  The Transmission Owner, on behalf of its Native Load Customers, shall be required to designate res</w:t>
      </w:r>
      <w:r w:rsidRPr="007D27F4">
        <w:t xml:space="preserve">ources and Loads in the same manner as any Network Customer under Part </w:t>
      </w:r>
      <w:r>
        <w:t>4</w:t>
      </w:r>
      <w:r w:rsidRPr="007D27F4">
        <w:t xml:space="preserve"> of this Tariff.  This information must be consistent with the information used by the ISO to calculate ATC.  The Transmission Owners and the ISO shall include the Network Customer's N</w:t>
      </w:r>
      <w:r w:rsidRPr="007D27F4">
        <w:t>etwork Load in transmission system planning and shall, consistent with Good Utility Practice and Attachment Y, endeavor to</w:t>
      </w:r>
      <w:r>
        <w:t xml:space="preserve"> </w:t>
      </w:r>
      <w:r w:rsidRPr="007D27F4">
        <w:t>construct and place into service sufficient transmission capacity to deliver the Network Customer's Network Resources to serve its Ne</w:t>
      </w:r>
      <w:r w:rsidRPr="007D27F4">
        <w:t>twork Load on a basis comparable to the Transmission Owner’s delivery of its own generating and purchased resources to its Native Load Customers.</w:t>
      </w:r>
    </w:p>
    <w:p w:rsidR="007D27F4" w:rsidRPr="007D27F4" w:rsidRDefault="00E66D60" w:rsidP="00C21405">
      <w:pPr>
        <w:pStyle w:val="Heading3"/>
      </w:pPr>
      <w:bookmarkStart w:id="3" w:name="_Toc261444521"/>
      <w:r>
        <w:lastRenderedPageBreak/>
        <w:t>4.1</w:t>
      </w:r>
      <w:r w:rsidRPr="00C21405">
        <w:t>.3</w:t>
      </w:r>
      <w:r w:rsidRPr="00C21405">
        <w:tab/>
        <w:t>Network Integration Transmission Service:</w:t>
      </w:r>
      <w:bookmarkEnd w:id="3"/>
      <w:r w:rsidRPr="007D27F4">
        <w:t xml:space="preserve">   </w:t>
      </w:r>
    </w:p>
    <w:p w:rsidR="007D27F4" w:rsidRPr="007D27F4" w:rsidRDefault="00E66D60" w:rsidP="007D27F4">
      <w:pPr>
        <w:pStyle w:val="Bodypara"/>
        <w:rPr>
          <w:b/>
        </w:rPr>
      </w:pPr>
      <w:r w:rsidRPr="007D27F4">
        <w:t>The ISO will provide Firm Transmission Service over the NYS</w:t>
      </w:r>
      <w:r w:rsidRPr="007D27F4">
        <w:t xml:space="preserve"> Transmission System to the Network Customer for the delivery of Energy from its designated Network Resources to serve its Network Loads on a basis that is comparable to the Transmission Owner’s use of the NYS Transmission System to reliably serve its Nati</w:t>
      </w:r>
      <w:r w:rsidRPr="007D27F4">
        <w:t>ve Load Customers.</w:t>
      </w:r>
    </w:p>
    <w:p w:rsidR="007D27F4" w:rsidRPr="007D27F4" w:rsidRDefault="00E66D60" w:rsidP="00C21405">
      <w:pPr>
        <w:pStyle w:val="Heading3"/>
      </w:pPr>
      <w:bookmarkStart w:id="4" w:name="_Toc261444522"/>
      <w:r>
        <w:t>4.1</w:t>
      </w:r>
      <w:r w:rsidRPr="00C21405">
        <w:t>.4</w:t>
      </w:r>
      <w:r w:rsidRPr="00C21405">
        <w:tab/>
        <w:t>Secondary Service:</w:t>
      </w:r>
      <w:bookmarkEnd w:id="4"/>
      <w:r w:rsidRPr="007D27F4">
        <w:t xml:space="preserve">  </w:t>
      </w:r>
    </w:p>
    <w:p w:rsidR="007D27F4" w:rsidRPr="007D27F4" w:rsidRDefault="00E66D60" w:rsidP="007D27F4">
      <w:pPr>
        <w:pStyle w:val="Bodypara"/>
        <w:rPr>
          <w:b/>
        </w:rPr>
      </w:pPr>
      <w:r w:rsidRPr="007D27F4">
        <w:t>The Network Customer may use the NYS Transmission System to deliver Energy to its Network Loads from resources that have not been designated as Network Resources.  Such Energy shall be transmitted, on an as</w:t>
      </w:r>
      <w:r w:rsidRPr="007D27F4">
        <w:noBreakHyphen/>
        <w:t>ava</w:t>
      </w:r>
      <w:r w:rsidRPr="007D27F4">
        <w:t>ilable basis (</w:t>
      </w:r>
      <w:r w:rsidRPr="007D27F4">
        <w:rPr>
          <w:u w:val="single"/>
        </w:rPr>
        <w:t>i.e.</w:t>
      </w:r>
      <w:r w:rsidRPr="007D27F4">
        <w:t>, when there is no Congestion between the non</w:t>
      </w:r>
      <w:r w:rsidRPr="007D27F4">
        <w:noBreakHyphen/>
        <w:t>Network Resource and the Network Load), at no additional charge.  Secondary service shall not require the filing of an Application for Network Integration Transmission Service under the Tariff</w:t>
      </w:r>
      <w:r w:rsidRPr="007D27F4">
        <w:t>.</w:t>
      </w:r>
    </w:p>
    <w:p w:rsidR="007D27F4" w:rsidRPr="007D27F4" w:rsidRDefault="00E66D60" w:rsidP="007D27F4">
      <w:pPr>
        <w:pStyle w:val="Heading3"/>
      </w:pPr>
      <w:bookmarkStart w:id="5" w:name="_Toc261444523"/>
      <w:r>
        <w:t>4.1</w:t>
      </w:r>
      <w:r w:rsidRPr="007D27F4">
        <w:t>.5</w:t>
      </w:r>
      <w:r w:rsidRPr="007D27F4">
        <w:tab/>
        <w:t>Real Power Losses:</w:t>
      </w:r>
      <w:bookmarkEnd w:id="5"/>
      <w:r w:rsidRPr="007D27F4">
        <w:t xml:space="preserve">  </w:t>
      </w:r>
    </w:p>
    <w:p w:rsidR="007D27F4" w:rsidRPr="007D27F4" w:rsidRDefault="00E66D60" w:rsidP="007D27F4">
      <w:pPr>
        <w:pStyle w:val="Bodypara"/>
        <w:rPr>
          <w:b/>
        </w:rPr>
      </w:pPr>
      <w:r w:rsidRPr="007D27F4">
        <w:t>Real Power Losses are associated with all Transmission Service. The Network Customer is responsible for losses associated with all</w:t>
      </w:r>
      <w:r>
        <w:t xml:space="preserve"> </w:t>
      </w:r>
      <w:r w:rsidRPr="007D27F4">
        <w:t xml:space="preserve">Transmission Service in accordance with Schedule 9 and as calculated in Attachment J.  </w:t>
      </w:r>
    </w:p>
    <w:p w:rsidR="007D27F4" w:rsidRPr="007D27F4" w:rsidRDefault="00E66D60" w:rsidP="007D27F4">
      <w:pPr>
        <w:pStyle w:val="Heading3"/>
      </w:pPr>
      <w:bookmarkStart w:id="6" w:name="_Toc261444524"/>
      <w:r>
        <w:t>4.1.6</w:t>
      </w:r>
      <w:r>
        <w:tab/>
      </w:r>
      <w:r w:rsidRPr="007D27F4">
        <w:t>Re</w:t>
      </w:r>
      <w:r w:rsidRPr="007D27F4">
        <w:t>strictions on Use of Service:</w:t>
      </w:r>
      <w:bookmarkEnd w:id="6"/>
      <w:r w:rsidRPr="007D27F4">
        <w:t xml:space="preserve">  </w:t>
      </w:r>
    </w:p>
    <w:p w:rsidR="007D27F4" w:rsidRPr="007D27F4" w:rsidRDefault="00E66D60" w:rsidP="007D27F4">
      <w:pPr>
        <w:pStyle w:val="Bodypara"/>
        <w:rPr>
          <w:b/>
        </w:rPr>
      </w:pPr>
      <w:r w:rsidRPr="007D27F4">
        <w:t>The Network Customer shall not use Network Integration Transmission Service for (i) sales of Capacity and Energy to non</w:t>
      </w:r>
      <w:r w:rsidRPr="007D27F4">
        <w:noBreakHyphen/>
        <w:t>designated Loads or (ii) direct or indirect provisions of this Transmission Service by the Network Custo</w:t>
      </w:r>
      <w:r w:rsidRPr="007D27F4">
        <w:t>mer to third parties.  All Network Customers taking Network Integration Transmission Service shall use Point</w:t>
      </w:r>
      <w:r w:rsidRPr="007D27F4">
        <w:noBreakHyphen/>
        <w:t>To</w:t>
      </w:r>
      <w:r w:rsidRPr="007D27F4">
        <w:noBreakHyphen/>
        <w:t xml:space="preserve">Point Transmission Service under Part </w:t>
      </w:r>
      <w:r>
        <w:t>3</w:t>
      </w:r>
      <w:r w:rsidRPr="007D27F4">
        <w:t xml:space="preserve"> of this Tariff for any Third</w:t>
      </w:r>
      <w:r w:rsidRPr="007D27F4">
        <w:noBreakHyphen/>
        <w:t xml:space="preserve">Party Sale which requires use of the NYS Transmission </w:t>
      </w:r>
      <w:r w:rsidRPr="007D27F4">
        <w:lastRenderedPageBreak/>
        <w:t>System.  The ISO shal</w:t>
      </w:r>
      <w:r w:rsidRPr="007D27F4">
        <w:t>l specify any appropriate charges and penalties and all related terms and conditions applicable in the event that a Network Customer uses Network Integration Transmission Service or secondary service pursuant to Section </w:t>
      </w:r>
      <w:r>
        <w:t>4.2</w:t>
      </w:r>
      <w:r w:rsidRPr="007D27F4">
        <w:t>.4 to facilitate a wholesale sale</w:t>
      </w:r>
      <w:r w:rsidRPr="007D27F4">
        <w:t xml:space="preserve"> that does not serve a Network Load.</w:t>
      </w:r>
    </w:p>
    <w:p w:rsidR="007D27F4" w:rsidRPr="00032364" w:rsidRDefault="00E66D60" w:rsidP="007D27F4">
      <w:pPr>
        <w:pStyle w:val="Bodypara"/>
      </w:pPr>
    </w:p>
    <w:sectPr w:rsidR="007D27F4" w:rsidRPr="00032364"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BE2" w:rsidRDefault="00945BE2" w:rsidP="00945BE2">
      <w:r>
        <w:separator/>
      </w:r>
    </w:p>
  </w:endnote>
  <w:endnote w:type="continuationSeparator" w:id="0">
    <w:p w:rsidR="00945BE2" w:rsidRDefault="00945BE2" w:rsidP="00945B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E2" w:rsidRDefault="00E66D6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45BE2">
      <w:rPr>
        <w:rFonts w:ascii="Arial" w:eastAsia="Arial" w:hAnsi="Arial" w:cs="Arial"/>
        <w:color w:val="000000"/>
        <w:sz w:val="16"/>
      </w:rPr>
      <w:fldChar w:fldCharType="begin"/>
    </w:r>
    <w:r>
      <w:rPr>
        <w:rFonts w:ascii="Arial" w:eastAsia="Arial" w:hAnsi="Arial" w:cs="Arial"/>
        <w:color w:val="000000"/>
        <w:sz w:val="16"/>
      </w:rPr>
      <w:instrText>PAGE</w:instrText>
    </w:r>
    <w:r w:rsidR="00945BE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E2" w:rsidRDefault="00E66D6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45BE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45BE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E2" w:rsidRDefault="00E66D60">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6/30/2010 - Docket #: ER10-1657-000 - Page </w:t>
    </w:r>
    <w:r w:rsidR="00945BE2">
      <w:rPr>
        <w:rFonts w:ascii="Arial" w:eastAsia="Arial" w:hAnsi="Arial" w:cs="Arial"/>
        <w:color w:val="000000"/>
        <w:sz w:val="16"/>
      </w:rPr>
      <w:fldChar w:fldCharType="begin"/>
    </w:r>
    <w:r>
      <w:rPr>
        <w:rFonts w:ascii="Arial" w:eastAsia="Arial" w:hAnsi="Arial" w:cs="Arial"/>
        <w:color w:val="000000"/>
        <w:sz w:val="16"/>
      </w:rPr>
      <w:instrText>PAGE</w:instrText>
    </w:r>
    <w:r w:rsidR="00945BE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BE2" w:rsidRDefault="00945BE2" w:rsidP="00945BE2">
      <w:r>
        <w:separator/>
      </w:r>
    </w:p>
  </w:footnote>
  <w:footnote w:type="continuationSeparator" w:id="0">
    <w:p w:rsidR="00945BE2" w:rsidRDefault="00945BE2" w:rsidP="00945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E2" w:rsidRDefault="00E66D6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4 OATT Network Integration Transmission Service --&gt; 4.1 OATT Nature of Network Integration </w:t>
    </w:r>
    <w:r>
      <w:rPr>
        <w:rFonts w:ascii="Arial" w:eastAsia="Arial" w:hAnsi="Arial" w:cs="Arial"/>
        <w:color w:val="000000"/>
        <w:sz w:val="16"/>
      </w:rPr>
      <w:t>Transmission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E2" w:rsidRDefault="00E66D60">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4.1 OATT Nature of Network Integration Transmission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E2" w:rsidRDefault="00E66D60">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4.1 OATT Nature of Network Integration Transmission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826D00E">
      <w:start w:val="1"/>
      <w:numFmt w:val="bullet"/>
      <w:pStyle w:val="Bulletpara"/>
      <w:lvlText w:val=""/>
      <w:lvlJc w:val="left"/>
      <w:pPr>
        <w:tabs>
          <w:tab w:val="num" w:pos="720"/>
        </w:tabs>
        <w:ind w:left="720" w:hanging="360"/>
      </w:pPr>
      <w:rPr>
        <w:rFonts w:ascii="Symbol" w:hAnsi="Symbol" w:hint="default"/>
      </w:rPr>
    </w:lvl>
    <w:lvl w:ilvl="1" w:tplc="1F846B9C" w:tentative="1">
      <w:start w:val="1"/>
      <w:numFmt w:val="bullet"/>
      <w:lvlText w:val="o"/>
      <w:lvlJc w:val="left"/>
      <w:pPr>
        <w:tabs>
          <w:tab w:val="num" w:pos="1440"/>
        </w:tabs>
        <w:ind w:left="1440" w:hanging="360"/>
      </w:pPr>
      <w:rPr>
        <w:rFonts w:ascii="Courier New" w:hAnsi="Courier New" w:cs="Courier New" w:hint="default"/>
      </w:rPr>
    </w:lvl>
    <w:lvl w:ilvl="2" w:tplc="DA4630C0" w:tentative="1">
      <w:start w:val="1"/>
      <w:numFmt w:val="bullet"/>
      <w:lvlText w:val=""/>
      <w:lvlJc w:val="left"/>
      <w:pPr>
        <w:tabs>
          <w:tab w:val="num" w:pos="2160"/>
        </w:tabs>
        <w:ind w:left="2160" w:hanging="360"/>
      </w:pPr>
      <w:rPr>
        <w:rFonts w:ascii="Wingdings" w:hAnsi="Wingdings" w:hint="default"/>
      </w:rPr>
    </w:lvl>
    <w:lvl w:ilvl="3" w:tplc="B608CED2" w:tentative="1">
      <w:start w:val="1"/>
      <w:numFmt w:val="bullet"/>
      <w:lvlText w:val=""/>
      <w:lvlJc w:val="left"/>
      <w:pPr>
        <w:tabs>
          <w:tab w:val="num" w:pos="2880"/>
        </w:tabs>
        <w:ind w:left="2880" w:hanging="360"/>
      </w:pPr>
      <w:rPr>
        <w:rFonts w:ascii="Symbol" w:hAnsi="Symbol" w:hint="default"/>
      </w:rPr>
    </w:lvl>
    <w:lvl w:ilvl="4" w:tplc="04A48AB0" w:tentative="1">
      <w:start w:val="1"/>
      <w:numFmt w:val="bullet"/>
      <w:lvlText w:val="o"/>
      <w:lvlJc w:val="left"/>
      <w:pPr>
        <w:tabs>
          <w:tab w:val="num" w:pos="3600"/>
        </w:tabs>
        <w:ind w:left="3600" w:hanging="360"/>
      </w:pPr>
      <w:rPr>
        <w:rFonts w:ascii="Courier New" w:hAnsi="Courier New" w:cs="Courier New" w:hint="default"/>
      </w:rPr>
    </w:lvl>
    <w:lvl w:ilvl="5" w:tplc="ED1280E8" w:tentative="1">
      <w:start w:val="1"/>
      <w:numFmt w:val="bullet"/>
      <w:lvlText w:val=""/>
      <w:lvlJc w:val="left"/>
      <w:pPr>
        <w:tabs>
          <w:tab w:val="num" w:pos="4320"/>
        </w:tabs>
        <w:ind w:left="4320" w:hanging="360"/>
      </w:pPr>
      <w:rPr>
        <w:rFonts w:ascii="Wingdings" w:hAnsi="Wingdings" w:hint="default"/>
      </w:rPr>
    </w:lvl>
    <w:lvl w:ilvl="6" w:tplc="DCD801CC" w:tentative="1">
      <w:start w:val="1"/>
      <w:numFmt w:val="bullet"/>
      <w:lvlText w:val=""/>
      <w:lvlJc w:val="left"/>
      <w:pPr>
        <w:tabs>
          <w:tab w:val="num" w:pos="5040"/>
        </w:tabs>
        <w:ind w:left="5040" w:hanging="360"/>
      </w:pPr>
      <w:rPr>
        <w:rFonts w:ascii="Symbol" w:hAnsi="Symbol" w:hint="default"/>
      </w:rPr>
    </w:lvl>
    <w:lvl w:ilvl="7" w:tplc="3762FEA8" w:tentative="1">
      <w:start w:val="1"/>
      <w:numFmt w:val="bullet"/>
      <w:lvlText w:val="o"/>
      <w:lvlJc w:val="left"/>
      <w:pPr>
        <w:tabs>
          <w:tab w:val="num" w:pos="5760"/>
        </w:tabs>
        <w:ind w:left="5760" w:hanging="360"/>
      </w:pPr>
      <w:rPr>
        <w:rFonts w:ascii="Courier New" w:hAnsi="Courier New" w:cs="Courier New" w:hint="default"/>
      </w:rPr>
    </w:lvl>
    <w:lvl w:ilvl="8" w:tplc="0ADCFF7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7984D76">
      <w:start w:val="1"/>
      <w:numFmt w:val="bullet"/>
      <w:lvlText w:val="­"/>
      <w:lvlJc w:val="left"/>
      <w:pPr>
        <w:tabs>
          <w:tab w:val="num" w:pos="720"/>
        </w:tabs>
        <w:ind w:left="720" w:hanging="360"/>
      </w:pPr>
      <w:rPr>
        <w:rFonts w:ascii="Courier New" w:hAnsi="Courier New" w:hint="default"/>
      </w:rPr>
    </w:lvl>
    <w:lvl w:ilvl="1" w:tplc="279AA594" w:tentative="1">
      <w:start w:val="1"/>
      <w:numFmt w:val="bullet"/>
      <w:lvlText w:val="o"/>
      <w:lvlJc w:val="left"/>
      <w:pPr>
        <w:tabs>
          <w:tab w:val="num" w:pos="1440"/>
        </w:tabs>
        <w:ind w:left="1440" w:hanging="360"/>
      </w:pPr>
      <w:rPr>
        <w:rFonts w:ascii="Courier New" w:hAnsi="Courier New" w:cs="Courier New" w:hint="default"/>
      </w:rPr>
    </w:lvl>
    <w:lvl w:ilvl="2" w:tplc="99282536" w:tentative="1">
      <w:start w:val="1"/>
      <w:numFmt w:val="bullet"/>
      <w:lvlText w:val=""/>
      <w:lvlJc w:val="left"/>
      <w:pPr>
        <w:tabs>
          <w:tab w:val="num" w:pos="2160"/>
        </w:tabs>
        <w:ind w:left="2160" w:hanging="360"/>
      </w:pPr>
      <w:rPr>
        <w:rFonts w:ascii="Wingdings" w:hAnsi="Wingdings" w:hint="default"/>
      </w:rPr>
    </w:lvl>
    <w:lvl w:ilvl="3" w:tplc="D218A3A8" w:tentative="1">
      <w:start w:val="1"/>
      <w:numFmt w:val="bullet"/>
      <w:lvlText w:val=""/>
      <w:lvlJc w:val="left"/>
      <w:pPr>
        <w:tabs>
          <w:tab w:val="num" w:pos="2880"/>
        </w:tabs>
        <w:ind w:left="2880" w:hanging="360"/>
      </w:pPr>
      <w:rPr>
        <w:rFonts w:ascii="Symbol" w:hAnsi="Symbol" w:hint="default"/>
      </w:rPr>
    </w:lvl>
    <w:lvl w:ilvl="4" w:tplc="0540A172" w:tentative="1">
      <w:start w:val="1"/>
      <w:numFmt w:val="bullet"/>
      <w:lvlText w:val="o"/>
      <w:lvlJc w:val="left"/>
      <w:pPr>
        <w:tabs>
          <w:tab w:val="num" w:pos="3600"/>
        </w:tabs>
        <w:ind w:left="3600" w:hanging="360"/>
      </w:pPr>
      <w:rPr>
        <w:rFonts w:ascii="Courier New" w:hAnsi="Courier New" w:cs="Courier New" w:hint="default"/>
      </w:rPr>
    </w:lvl>
    <w:lvl w:ilvl="5" w:tplc="3F26009C" w:tentative="1">
      <w:start w:val="1"/>
      <w:numFmt w:val="bullet"/>
      <w:lvlText w:val=""/>
      <w:lvlJc w:val="left"/>
      <w:pPr>
        <w:tabs>
          <w:tab w:val="num" w:pos="4320"/>
        </w:tabs>
        <w:ind w:left="4320" w:hanging="360"/>
      </w:pPr>
      <w:rPr>
        <w:rFonts w:ascii="Wingdings" w:hAnsi="Wingdings" w:hint="default"/>
      </w:rPr>
    </w:lvl>
    <w:lvl w:ilvl="6" w:tplc="A0CC5CDA" w:tentative="1">
      <w:start w:val="1"/>
      <w:numFmt w:val="bullet"/>
      <w:lvlText w:val=""/>
      <w:lvlJc w:val="left"/>
      <w:pPr>
        <w:tabs>
          <w:tab w:val="num" w:pos="5040"/>
        </w:tabs>
        <w:ind w:left="5040" w:hanging="360"/>
      </w:pPr>
      <w:rPr>
        <w:rFonts w:ascii="Symbol" w:hAnsi="Symbol" w:hint="default"/>
      </w:rPr>
    </w:lvl>
    <w:lvl w:ilvl="7" w:tplc="B00642FC" w:tentative="1">
      <w:start w:val="1"/>
      <w:numFmt w:val="bullet"/>
      <w:lvlText w:val="o"/>
      <w:lvlJc w:val="left"/>
      <w:pPr>
        <w:tabs>
          <w:tab w:val="num" w:pos="5760"/>
        </w:tabs>
        <w:ind w:left="5760" w:hanging="360"/>
      </w:pPr>
      <w:rPr>
        <w:rFonts w:ascii="Courier New" w:hAnsi="Courier New" w:cs="Courier New" w:hint="default"/>
      </w:rPr>
    </w:lvl>
    <w:lvl w:ilvl="8" w:tplc="186E8FB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67E2952">
      <w:start w:val="1"/>
      <w:numFmt w:val="lowerRoman"/>
      <w:lvlText w:val="(%1)"/>
      <w:lvlJc w:val="left"/>
      <w:pPr>
        <w:tabs>
          <w:tab w:val="num" w:pos="2448"/>
        </w:tabs>
        <w:ind w:left="2448" w:hanging="648"/>
      </w:pPr>
      <w:rPr>
        <w:rFonts w:hint="default"/>
        <w:b w:val="0"/>
        <w:i w:val="0"/>
        <w:u w:val="none"/>
      </w:rPr>
    </w:lvl>
    <w:lvl w:ilvl="1" w:tplc="7486A504" w:tentative="1">
      <w:start w:val="1"/>
      <w:numFmt w:val="lowerLetter"/>
      <w:lvlText w:val="%2."/>
      <w:lvlJc w:val="left"/>
      <w:pPr>
        <w:tabs>
          <w:tab w:val="num" w:pos="1440"/>
        </w:tabs>
        <w:ind w:left="1440" w:hanging="360"/>
      </w:pPr>
    </w:lvl>
    <w:lvl w:ilvl="2" w:tplc="079C2412" w:tentative="1">
      <w:start w:val="1"/>
      <w:numFmt w:val="lowerRoman"/>
      <w:lvlText w:val="%3."/>
      <w:lvlJc w:val="right"/>
      <w:pPr>
        <w:tabs>
          <w:tab w:val="num" w:pos="2160"/>
        </w:tabs>
        <w:ind w:left="2160" w:hanging="180"/>
      </w:pPr>
    </w:lvl>
    <w:lvl w:ilvl="3" w:tplc="2D42A8E4" w:tentative="1">
      <w:start w:val="1"/>
      <w:numFmt w:val="decimal"/>
      <w:lvlText w:val="%4."/>
      <w:lvlJc w:val="left"/>
      <w:pPr>
        <w:tabs>
          <w:tab w:val="num" w:pos="2880"/>
        </w:tabs>
        <w:ind w:left="2880" w:hanging="360"/>
      </w:pPr>
    </w:lvl>
    <w:lvl w:ilvl="4" w:tplc="CB62FA6A" w:tentative="1">
      <w:start w:val="1"/>
      <w:numFmt w:val="lowerLetter"/>
      <w:lvlText w:val="%5."/>
      <w:lvlJc w:val="left"/>
      <w:pPr>
        <w:tabs>
          <w:tab w:val="num" w:pos="3600"/>
        </w:tabs>
        <w:ind w:left="3600" w:hanging="360"/>
      </w:pPr>
    </w:lvl>
    <w:lvl w:ilvl="5" w:tplc="4608135A" w:tentative="1">
      <w:start w:val="1"/>
      <w:numFmt w:val="lowerRoman"/>
      <w:lvlText w:val="%6."/>
      <w:lvlJc w:val="right"/>
      <w:pPr>
        <w:tabs>
          <w:tab w:val="num" w:pos="4320"/>
        </w:tabs>
        <w:ind w:left="4320" w:hanging="180"/>
      </w:pPr>
    </w:lvl>
    <w:lvl w:ilvl="6" w:tplc="DF7C2AC4" w:tentative="1">
      <w:start w:val="1"/>
      <w:numFmt w:val="decimal"/>
      <w:lvlText w:val="%7."/>
      <w:lvlJc w:val="left"/>
      <w:pPr>
        <w:tabs>
          <w:tab w:val="num" w:pos="5040"/>
        </w:tabs>
        <w:ind w:left="5040" w:hanging="360"/>
      </w:pPr>
    </w:lvl>
    <w:lvl w:ilvl="7" w:tplc="26061D84" w:tentative="1">
      <w:start w:val="1"/>
      <w:numFmt w:val="lowerLetter"/>
      <w:lvlText w:val="%8."/>
      <w:lvlJc w:val="left"/>
      <w:pPr>
        <w:tabs>
          <w:tab w:val="num" w:pos="5760"/>
        </w:tabs>
        <w:ind w:left="5760" w:hanging="360"/>
      </w:pPr>
    </w:lvl>
    <w:lvl w:ilvl="8" w:tplc="A07A184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0F0B96A">
      <w:start w:val="1"/>
      <w:numFmt w:val="bullet"/>
      <w:lvlText w:val=""/>
      <w:lvlJc w:val="left"/>
      <w:pPr>
        <w:tabs>
          <w:tab w:val="num" w:pos="5760"/>
        </w:tabs>
        <w:ind w:left="5760" w:hanging="360"/>
      </w:pPr>
      <w:rPr>
        <w:rFonts w:ascii="Symbol" w:hAnsi="Symbol" w:hint="default"/>
        <w:color w:val="auto"/>
        <w:u w:val="none"/>
      </w:rPr>
    </w:lvl>
    <w:lvl w:ilvl="1" w:tplc="B546B3A4" w:tentative="1">
      <w:start w:val="1"/>
      <w:numFmt w:val="bullet"/>
      <w:lvlText w:val="o"/>
      <w:lvlJc w:val="left"/>
      <w:pPr>
        <w:tabs>
          <w:tab w:val="num" w:pos="3600"/>
        </w:tabs>
        <w:ind w:left="3600" w:hanging="360"/>
      </w:pPr>
      <w:rPr>
        <w:rFonts w:ascii="Courier New" w:hAnsi="Courier New" w:hint="default"/>
      </w:rPr>
    </w:lvl>
    <w:lvl w:ilvl="2" w:tplc="2D9AE0FA" w:tentative="1">
      <w:start w:val="1"/>
      <w:numFmt w:val="bullet"/>
      <w:lvlText w:val=""/>
      <w:lvlJc w:val="left"/>
      <w:pPr>
        <w:tabs>
          <w:tab w:val="num" w:pos="4320"/>
        </w:tabs>
        <w:ind w:left="4320" w:hanging="360"/>
      </w:pPr>
      <w:rPr>
        <w:rFonts w:ascii="Wingdings" w:hAnsi="Wingdings" w:hint="default"/>
      </w:rPr>
    </w:lvl>
    <w:lvl w:ilvl="3" w:tplc="6B621CC6">
      <w:start w:val="1"/>
      <w:numFmt w:val="bullet"/>
      <w:lvlText w:val=""/>
      <w:lvlJc w:val="left"/>
      <w:pPr>
        <w:tabs>
          <w:tab w:val="num" w:pos="5040"/>
        </w:tabs>
        <w:ind w:left="5040" w:hanging="360"/>
      </w:pPr>
      <w:rPr>
        <w:rFonts w:ascii="Symbol" w:hAnsi="Symbol" w:hint="default"/>
      </w:rPr>
    </w:lvl>
    <w:lvl w:ilvl="4" w:tplc="2A9C2B38" w:tentative="1">
      <w:start w:val="1"/>
      <w:numFmt w:val="bullet"/>
      <w:lvlText w:val="o"/>
      <w:lvlJc w:val="left"/>
      <w:pPr>
        <w:tabs>
          <w:tab w:val="num" w:pos="5760"/>
        </w:tabs>
        <w:ind w:left="5760" w:hanging="360"/>
      </w:pPr>
      <w:rPr>
        <w:rFonts w:ascii="Courier New" w:hAnsi="Courier New" w:hint="default"/>
      </w:rPr>
    </w:lvl>
    <w:lvl w:ilvl="5" w:tplc="81BC6A36" w:tentative="1">
      <w:start w:val="1"/>
      <w:numFmt w:val="bullet"/>
      <w:lvlText w:val=""/>
      <w:lvlJc w:val="left"/>
      <w:pPr>
        <w:tabs>
          <w:tab w:val="num" w:pos="6480"/>
        </w:tabs>
        <w:ind w:left="6480" w:hanging="360"/>
      </w:pPr>
      <w:rPr>
        <w:rFonts w:ascii="Wingdings" w:hAnsi="Wingdings" w:hint="default"/>
      </w:rPr>
    </w:lvl>
    <w:lvl w:ilvl="6" w:tplc="00D2EC0E" w:tentative="1">
      <w:start w:val="1"/>
      <w:numFmt w:val="bullet"/>
      <w:lvlText w:val=""/>
      <w:lvlJc w:val="left"/>
      <w:pPr>
        <w:tabs>
          <w:tab w:val="num" w:pos="7200"/>
        </w:tabs>
        <w:ind w:left="7200" w:hanging="360"/>
      </w:pPr>
      <w:rPr>
        <w:rFonts w:ascii="Symbol" w:hAnsi="Symbol" w:hint="default"/>
      </w:rPr>
    </w:lvl>
    <w:lvl w:ilvl="7" w:tplc="8F24D06A" w:tentative="1">
      <w:start w:val="1"/>
      <w:numFmt w:val="bullet"/>
      <w:lvlText w:val="o"/>
      <w:lvlJc w:val="left"/>
      <w:pPr>
        <w:tabs>
          <w:tab w:val="num" w:pos="7920"/>
        </w:tabs>
        <w:ind w:left="7920" w:hanging="360"/>
      </w:pPr>
      <w:rPr>
        <w:rFonts w:ascii="Courier New" w:hAnsi="Courier New" w:hint="default"/>
      </w:rPr>
    </w:lvl>
    <w:lvl w:ilvl="8" w:tplc="07FA6FD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BE2"/>
    <w:rsid w:val="00945BE2"/>
    <w:rsid w:val="00E66D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BE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945BE2"/>
    <w:pPr>
      <w:keepNext/>
      <w:spacing w:line="480" w:lineRule="auto"/>
      <w:ind w:left="1440" w:right="-90" w:hanging="720"/>
      <w:outlineLvl w:val="4"/>
    </w:pPr>
    <w:rPr>
      <w:b/>
    </w:rPr>
  </w:style>
  <w:style w:type="paragraph" w:styleId="Heading6">
    <w:name w:val="heading 6"/>
    <w:basedOn w:val="Normal"/>
    <w:next w:val="Normal"/>
    <w:qFormat/>
    <w:rsid w:val="00945BE2"/>
    <w:pPr>
      <w:keepNext/>
      <w:spacing w:line="480" w:lineRule="auto"/>
      <w:ind w:left="1080" w:right="-90" w:hanging="360"/>
      <w:outlineLvl w:val="5"/>
    </w:pPr>
    <w:rPr>
      <w:b/>
    </w:rPr>
  </w:style>
  <w:style w:type="paragraph" w:styleId="Heading7">
    <w:name w:val="heading 7"/>
    <w:basedOn w:val="Normal"/>
    <w:next w:val="Normal"/>
    <w:qFormat/>
    <w:rsid w:val="00945BE2"/>
    <w:pPr>
      <w:keepNext/>
      <w:spacing w:line="480" w:lineRule="auto"/>
      <w:ind w:left="720" w:right="630"/>
      <w:outlineLvl w:val="6"/>
    </w:pPr>
    <w:rPr>
      <w:b/>
    </w:rPr>
  </w:style>
  <w:style w:type="paragraph" w:styleId="Heading8">
    <w:name w:val="heading 8"/>
    <w:basedOn w:val="Normal"/>
    <w:next w:val="Normal"/>
    <w:qFormat/>
    <w:rsid w:val="00945BE2"/>
    <w:pPr>
      <w:keepNext/>
      <w:spacing w:line="480" w:lineRule="auto"/>
      <w:ind w:left="720" w:right="-90"/>
      <w:outlineLvl w:val="7"/>
    </w:pPr>
    <w:rPr>
      <w:b/>
    </w:rPr>
  </w:style>
  <w:style w:type="paragraph" w:styleId="Heading9">
    <w:name w:val="heading 9"/>
    <w:basedOn w:val="Normal"/>
    <w:next w:val="Normal"/>
    <w:qFormat/>
    <w:rsid w:val="00945BE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945BE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945BE2"/>
    <w:pPr>
      <w:widowControl/>
      <w:tabs>
        <w:tab w:val="center" w:pos="4680"/>
        <w:tab w:val="right" w:pos="9360"/>
      </w:tabs>
    </w:pPr>
    <w:rPr>
      <w:snapToGrid/>
      <w:szCs w:val="24"/>
    </w:rPr>
  </w:style>
  <w:style w:type="paragraph" w:styleId="Date">
    <w:name w:val="Date"/>
    <w:basedOn w:val="Normal"/>
    <w:next w:val="Normal"/>
    <w:rsid w:val="00945BE2"/>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2017-12-13T19:18:00Z</dcterms:created>
  <dcterms:modified xsi:type="dcterms:W3CDTF">2017-12-13T19:18:00Z</dcterms:modified>
</cp:coreProperties>
</file>