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B77" w:rsidRDefault="00E3091D" w:rsidP="001C7361">
      <w:pPr>
        <w:pStyle w:val="Heading2"/>
      </w:pPr>
      <w:bookmarkStart w:id="0" w:name="_Toc261444456"/>
      <w:r>
        <w:t>3.</w:t>
      </w:r>
      <w:r>
        <w:t>3</w:t>
      </w:r>
      <w:r>
        <w:tab/>
        <w:t>Service Availability</w:t>
      </w:r>
      <w:bookmarkEnd w:id="0"/>
    </w:p>
    <w:p w:rsidR="001C7361" w:rsidRDefault="00E3091D" w:rsidP="001C7361">
      <w:pPr>
        <w:pStyle w:val="Heading3"/>
      </w:pPr>
      <w:bookmarkStart w:id="1" w:name="_Toc261444457"/>
      <w:r>
        <w:t>3.</w:t>
      </w:r>
      <w:r>
        <w:t>3</w:t>
      </w:r>
      <w:r w:rsidRPr="00D578D6">
        <w:t>.1</w:t>
      </w:r>
      <w:r w:rsidRPr="00D578D6">
        <w:tab/>
        <w:t>General Conditions:</w:t>
      </w:r>
      <w:bookmarkEnd w:id="1"/>
      <w:r w:rsidRPr="00D578D6">
        <w:t xml:space="preserve">  </w:t>
      </w:r>
    </w:p>
    <w:p w:rsidR="00927B69" w:rsidRDefault="00E3091D" w:rsidP="001C7361">
      <w:pPr>
        <w:pStyle w:val="Bodypara"/>
      </w:pPr>
      <w:r>
        <w:t>T</w:t>
      </w:r>
      <w:r w:rsidRPr="00D578D6">
        <w:t>he ISO will</w:t>
      </w:r>
      <w:r>
        <w:t xml:space="preserve"> provide Firm and Non-Firm Point-To-Point </w:t>
      </w:r>
      <w:r>
        <w:t xml:space="preserve">Transmission Service over the transmission facilities of the parties to the ISO/TO Agreement, to any Transmission Customer that has met the requirements of Section </w:t>
      </w:r>
      <w:r>
        <w:t>3.4</w:t>
      </w:r>
      <w:r>
        <w:t>.</w:t>
      </w:r>
    </w:p>
    <w:p w:rsidR="001C7361" w:rsidRDefault="00E3091D" w:rsidP="001C7361">
      <w:pPr>
        <w:pStyle w:val="Heading3"/>
      </w:pPr>
      <w:bookmarkStart w:id="2" w:name="_Toc261444458"/>
      <w:r>
        <w:t>3.</w:t>
      </w:r>
      <w:r>
        <w:t>3</w:t>
      </w:r>
      <w:r w:rsidRPr="00D578D6">
        <w:t>.</w:t>
      </w:r>
      <w:r>
        <w:t>2</w:t>
      </w:r>
      <w:r w:rsidRPr="00D578D6">
        <w:tab/>
      </w:r>
      <w:r w:rsidRPr="001C7361">
        <w:t>Determination of Available Transfer Capability:</w:t>
      </w:r>
      <w:bookmarkEnd w:id="2"/>
      <w:r w:rsidRPr="001C7361">
        <w:t xml:space="preserve"> </w:t>
      </w:r>
      <w:r w:rsidRPr="008B74E4">
        <w:t xml:space="preserve"> </w:t>
      </w:r>
    </w:p>
    <w:p w:rsidR="00927B69" w:rsidRDefault="00E3091D" w:rsidP="001C7361">
      <w:pPr>
        <w:pStyle w:val="Bodypara"/>
      </w:pPr>
      <w:r w:rsidRPr="008B74E4">
        <w:t>The ISO continuously</w:t>
      </w:r>
      <w:r>
        <w:t xml:space="preserve"> redispatch</w:t>
      </w:r>
      <w:r>
        <w:t>es all resources subject to its control in order to meet Load and to accommodate requests for Firm Transmission Service through the use of SCUC</w:t>
      </w:r>
      <w:r>
        <w:rPr>
          <w:i/>
          <w:iCs/>
        </w:rPr>
        <w:t>,</w:t>
      </w:r>
      <w:r>
        <w:t xml:space="preserve"> RTC and RTD.  The ISO will post information regarding ATC and TTC availability on the OASIS</w:t>
      </w:r>
      <w:r>
        <w:rPr>
          <w:i/>
          <w:iCs/>
        </w:rPr>
        <w:t>.</w:t>
      </w:r>
    </w:p>
    <w:p w:rsidR="001C7361" w:rsidRPr="001C7361" w:rsidRDefault="00E3091D" w:rsidP="001C7361">
      <w:pPr>
        <w:pStyle w:val="Heading3"/>
      </w:pPr>
      <w:bookmarkStart w:id="3" w:name="_Toc261444459"/>
      <w:r>
        <w:t>3.</w:t>
      </w:r>
      <w:r>
        <w:t>3</w:t>
      </w:r>
      <w:r w:rsidRPr="00D578D6">
        <w:t>.</w:t>
      </w:r>
      <w:r>
        <w:t>3</w:t>
      </w:r>
      <w:r w:rsidRPr="00D578D6">
        <w:tab/>
      </w:r>
      <w:r>
        <w:t>Initiating S</w:t>
      </w:r>
      <w:r>
        <w:t>ervice in the Absence of an Executed Service Agreement:</w:t>
      </w:r>
      <w:bookmarkEnd w:id="3"/>
      <w:r>
        <w:t xml:space="preserve"> </w:t>
      </w:r>
    </w:p>
    <w:p w:rsidR="003639AC" w:rsidRDefault="00E3091D" w:rsidP="001C7361">
      <w:pPr>
        <w:pStyle w:val="Bodypara"/>
      </w:pPr>
      <w:r>
        <w:t>If the ISO and the Transmission Customer requesting Firm or Non-Firm Point-To-Point Transmission Service cannot agree on all terms and conditions of the Point-To-Point Service Agreement, ISO shall fi</w:t>
      </w:r>
      <w:r>
        <w:t>le with the Commission, within thirty (30) days after the date the Transmission Customer provides written notification directing the ISO to file, an unexecuted Point-To-Point Service Agreement containing terms and conditions deemed appropriate by the ISO f</w:t>
      </w:r>
      <w:r>
        <w:t>or such requested Transmission Service.  The ISO shall commence providing Transmission Service subject to the Transmission Customer agreeing to (i) compensate the ISO in accordance with the terms and conditions of the unexecuted filed Service Agreement, su</w:t>
      </w:r>
      <w:r>
        <w:t>bject to true</w:t>
      </w:r>
      <w:r>
        <w:noBreakHyphen/>
        <w:t xml:space="preserve">up at whatever rate the Commission ultimately determines to be just and reasonable, and (ii) comply with the terms and conditions of this Tariff. </w:t>
      </w:r>
    </w:p>
    <w:p w:rsidR="001C7361" w:rsidRDefault="00E3091D" w:rsidP="00735473">
      <w:pPr>
        <w:pStyle w:val="Heading3"/>
      </w:pPr>
      <w:bookmarkStart w:id="4" w:name="_Toc261444460"/>
      <w:r w:rsidRPr="001C7361">
        <w:lastRenderedPageBreak/>
        <w:t>3.</w:t>
      </w:r>
      <w:r>
        <w:t>3</w:t>
      </w:r>
      <w:r w:rsidRPr="00D578D6">
        <w:t>.</w:t>
      </w:r>
      <w:r>
        <w:t>4</w:t>
      </w:r>
      <w:r>
        <w:tab/>
        <w:t>Obligation to Provide Transmission Service that Requires Expansion or Modification of the</w:t>
      </w:r>
      <w:r>
        <w:t xml:space="preserve"> Transmission System:</w:t>
      </w:r>
      <w:bookmarkEnd w:id="4"/>
      <w:r>
        <w:t xml:space="preserve"> </w:t>
      </w:r>
    </w:p>
    <w:p w:rsidR="003639AC" w:rsidRDefault="00E3091D" w:rsidP="001C7361">
      <w:pPr>
        <w:pStyle w:val="Bodypara"/>
        <w:rPr>
          <w:b/>
        </w:rPr>
      </w:pPr>
      <w:r>
        <w:t xml:space="preserve"> If a Transmission Customer requests that the NYS Transmission System be expanded or modified, the Transmission Owner(s), at the ISO’s request, will use due diligence to expand or modify its applicable portion of the NYS Transmission</w:t>
      </w:r>
      <w:r>
        <w:t xml:space="preserve"> System to increase Transfer Capability, provided the Transmission Customer agrees to compensate the applicable Transmission Owner(s) for such costs pursuant to the terms of Section </w:t>
      </w:r>
      <w:r>
        <w:t>3.19</w:t>
      </w:r>
      <w:r>
        <w:t xml:space="preserve">.  The Transmission Owner(s) will conform to Good Utility Practice in </w:t>
      </w:r>
      <w:r>
        <w:t>determining the need for new facilities and in the design and construction of such facilities.  The obligation applies only to those facilities that the Transmission Owner has the right to expand or modify.</w:t>
      </w:r>
    </w:p>
    <w:p w:rsidR="001C7361" w:rsidRPr="001C7361" w:rsidRDefault="00E3091D" w:rsidP="00157BE0">
      <w:pPr>
        <w:pStyle w:val="Heading3"/>
      </w:pPr>
      <w:bookmarkStart w:id="5" w:name="_Toc261444461"/>
      <w:r w:rsidRPr="001C7361">
        <w:t>3.</w:t>
      </w:r>
      <w:r>
        <w:t>3</w:t>
      </w:r>
      <w:r w:rsidRPr="001C7361">
        <w:t>.</w:t>
      </w:r>
      <w:r w:rsidRPr="001C7361">
        <w:t>5</w:t>
      </w:r>
      <w:r w:rsidRPr="001C7361">
        <w:tab/>
        <w:t>Deferral of Service:</w:t>
      </w:r>
      <w:bookmarkEnd w:id="5"/>
      <w:r w:rsidRPr="001C7361">
        <w:t xml:space="preserve"> </w:t>
      </w:r>
    </w:p>
    <w:p w:rsidR="003639AC" w:rsidRDefault="00E3091D" w:rsidP="001C7361">
      <w:pPr>
        <w:pStyle w:val="Bodypara"/>
        <w:rPr>
          <w:b/>
        </w:rPr>
      </w:pPr>
      <w:r>
        <w:t xml:space="preserve">Any increase in TCCs </w:t>
      </w:r>
      <w:r>
        <w:t>associated with new facilities is subject to completion of construction of those transmission facilities or upgrades.</w:t>
      </w:r>
    </w:p>
    <w:p w:rsidR="001C7361" w:rsidRPr="00157BE0" w:rsidRDefault="00E3091D" w:rsidP="00157BE0">
      <w:pPr>
        <w:pStyle w:val="Heading3"/>
      </w:pPr>
      <w:bookmarkStart w:id="6" w:name="_DV_M125"/>
      <w:bookmarkStart w:id="7" w:name="_Toc261444462"/>
      <w:bookmarkEnd w:id="6"/>
      <w:r w:rsidRPr="00157BE0">
        <w:t>3.</w:t>
      </w:r>
      <w:r w:rsidRPr="00157BE0">
        <w:t>3</w:t>
      </w:r>
      <w:r w:rsidRPr="00157BE0">
        <w:t>.</w:t>
      </w:r>
      <w:r w:rsidRPr="00157BE0">
        <w:t>6</w:t>
      </w:r>
      <w:r w:rsidRPr="00157BE0">
        <w:tab/>
        <w:t>Other Transmission Service Schedules:</w:t>
      </w:r>
      <w:bookmarkEnd w:id="7"/>
      <w:r w:rsidRPr="00157BE0">
        <w:t xml:space="preserve"> </w:t>
      </w:r>
    </w:p>
    <w:p w:rsidR="003639AC" w:rsidRDefault="00E3091D" w:rsidP="001C7361">
      <w:pPr>
        <w:pStyle w:val="Bodypara"/>
        <w:rPr>
          <w:b/>
          <w:bCs/>
        </w:rPr>
      </w:pPr>
      <w:r>
        <w:t xml:space="preserve">Eligible Customers receiving Transmission Service under other agreements on file with the </w:t>
      </w:r>
      <w:r>
        <w:t>Commission may continue to receive Transmission Service under those agreements until such time as those agreements may be modified by the Commission.  These agreements are listed in Attachment L.</w:t>
      </w:r>
    </w:p>
    <w:p w:rsidR="001C7361" w:rsidRPr="00157BE0" w:rsidRDefault="00E3091D" w:rsidP="00157BE0">
      <w:pPr>
        <w:pStyle w:val="Heading3"/>
      </w:pPr>
      <w:bookmarkStart w:id="8" w:name="_DV_M126"/>
      <w:bookmarkStart w:id="9" w:name="_Toc261444463"/>
      <w:bookmarkEnd w:id="8"/>
      <w:r w:rsidRPr="00157BE0">
        <w:t>3.</w:t>
      </w:r>
      <w:r w:rsidRPr="00157BE0">
        <w:t>3</w:t>
      </w:r>
      <w:r w:rsidRPr="00157BE0">
        <w:t>.</w:t>
      </w:r>
      <w:r w:rsidRPr="00157BE0">
        <w:t>7</w:t>
      </w:r>
      <w:r w:rsidRPr="00157BE0">
        <w:tab/>
        <w:t>Real Power Losses:</w:t>
      </w:r>
      <w:bookmarkEnd w:id="9"/>
      <w:r w:rsidRPr="00157BE0">
        <w:t xml:space="preserve"> </w:t>
      </w:r>
    </w:p>
    <w:p w:rsidR="003639AC" w:rsidRDefault="00E3091D" w:rsidP="001C7361">
      <w:pPr>
        <w:pStyle w:val="Bodypara"/>
      </w:pPr>
      <w:r>
        <w:t>Real Power Losses are associated w</w:t>
      </w:r>
      <w:r>
        <w:t>ith all Transmission Service.  The Transmission Customer is responsible for losses associated with all Transmission Service in accordance with Schedules 7</w:t>
      </w:r>
      <w:r>
        <w:noBreakHyphen/>
        <w:t>8 and as calculated in Attachment J.</w:t>
      </w:r>
    </w:p>
    <w:p w:rsidR="00421ECF" w:rsidRDefault="00E3091D" w:rsidP="003A3861">
      <w:pPr>
        <w:pStyle w:val="Bodypara"/>
      </w:pPr>
      <w:bookmarkStart w:id="10" w:name="_DV_M127"/>
      <w:bookmarkEnd w:id="10"/>
    </w:p>
    <w:sectPr w:rsidR="00421ECF"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18C" w:rsidRDefault="00B2118C" w:rsidP="00B2118C">
      <w:r>
        <w:separator/>
      </w:r>
    </w:p>
  </w:endnote>
  <w:endnote w:type="continuationSeparator" w:id="0">
    <w:p w:rsidR="00B2118C" w:rsidRDefault="00B2118C" w:rsidP="00B211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18C" w:rsidRDefault="00E3091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B2118C">
      <w:rPr>
        <w:rFonts w:ascii="Arial" w:eastAsia="Arial" w:hAnsi="Arial" w:cs="Arial"/>
        <w:color w:val="000000"/>
        <w:sz w:val="16"/>
      </w:rPr>
      <w:fldChar w:fldCharType="begin"/>
    </w:r>
    <w:r>
      <w:rPr>
        <w:rFonts w:ascii="Arial" w:eastAsia="Arial" w:hAnsi="Arial" w:cs="Arial"/>
        <w:color w:val="000000"/>
        <w:sz w:val="16"/>
      </w:rPr>
      <w:instrText>PAGE</w:instrText>
    </w:r>
    <w:r w:rsidR="00B2118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18C" w:rsidRDefault="00E3091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B2118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2118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18C" w:rsidRDefault="00E3091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B2118C">
      <w:rPr>
        <w:rFonts w:ascii="Arial" w:eastAsia="Arial" w:hAnsi="Arial" w:cs="Arial"/>
        <w:color w:val="000000"/>
        <w:sz w:val="16"/>
      </w:rPr>
      <w:fldChar w:fldCharType="begin"/>
    </w:r>
    <w:r>
      <w:rPr>
        <w:rFonts w:ascii="Arial" w:eastAsia="Arial" w:hAnsi="Arial" w:cs="Arial"/>
        <w:color w:val="000000"/>
        <w:sz w:val="16"/>
      </w:rPr>
      <w:instrText>PAGE</w:instrText>
    </w:r>
    <w:r w:rsidR="00B2118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18C" w:rsidRDefault="00B2118C" w:rsidP="00B2118C">
      <w:r>
        <w:separator/>
      </w:r>
    </w:p>
  </w:footnote>
  <w:footnote w:type="continuationSeparator" w:id="0">
    <w:p w:rsidR="00B2118C" w:rsidRDefault="00B2118C" w:rsidP="00B211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18C" w:rsidRDefault="00E3091D">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3.3 OATT Service Availability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18C" w:rsidRDefault="00E3091D">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3.3 OAT</w:t>
    </w:r>
    <w:r>
      <w:rPr>
        <w:rFonts w:ascii="Arial" w:eastAsia="Arial" w:hAnsi="Arial" w:cs="Arial"/>
        <w:color w:val="000000"/>
        <w:sz w:val="16"/>
      </w:rPr>
      <w:t>T Service Availability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18C" w:rsidRDefault="00E3091D">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w:t>
    </w:r>
    <w:r>
      <w:rPr>
        <w:rFonts w:ascii="Arial" w:eastAsia="Arial" w:hAnsi="Arial" w:cs="Arial"/>
        <w:color w:val="000000"/>
        <w:sz w:val="16"/>
      </w:rPr>
      <w:t>ce --&gt; 3.3 OATT Service Availability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B8285044">
      <w:start w:val="1"/>
      <w:numFmt w:val="bullet"/>
      <w:pStyle w:val="Bulletpara"/>
      <w:lvlText w:val=""/>
      <w:lvlJc w:val="left"/>
      <w:pPr>
        <w:tabs>
          <w:tab w:val="num" w:pos="720"/>
        </w:tabs>
        <w:ind w:left="720" w:hanging="360"/>
      </w:pPr>
      <w:rPr>
        <w:rFonts w:ascii="Symbol" w:hAnsi="Symbol" w:hint="default"/>
      </w:rPr>
    </w:lvl>
    <w:lvl w:ilvl="1" w:tplc="90AED01A" w:tentative="1">
      <w:start w:val="1"/>
      <w:numFmt w:val="bullet"/>
      <w:lvlText w:val="o"/>
      <w:lvlJc w:val="left"/>
      <w:pPr>
        <w:tabs>
          <w:tab w:val="num" w:pos="1440"/>
        </w:tabs>
        <w:ind w:left="1440" w:hanging="360"/>
      </w:pPr>
      <w:rPr>
        <w:rFonts w:ascii="Courier New" w:hAnsi="Courier New" w:cs="Courier New" w:hint="default"/>
      </w:rPr>
    </w:lvl>
    <w:lvl w:ilvl="2" w:tplc="28E2D6BE" w:tentative="1">
      <w:start w:val="1"/>
      <w:numFmt w:val="bullet"/>
      <w:lvlText w:val=""/>
      <w:lvlJc w:val="left"/>
      <w:pPr>
        <w:tabs>
          <w:tab w:val="num" w:pos="2160"/>
        </w:tabs>
        <w:ind w:left="2160" w:hanging="360"/>
      </w:pPr>
      <w:rPr>
        <w:rFonts w:ascii="Wingdings" w:hAnsi="Wingdings" w:hint="default"/>
      </w:rPr>
    </w:lvl>
    <w:lvl w:ilvl="3" w:tplc="EBF0D92A" w:tentative="1">
      <w:start w:val="1"/>
      <w:numFmt w:val="bullet"/>
      <w:lvlText w:val=""/>
      <w:lvlJc w:val="left"/>
      <w:pPr>
        <w:tabs>
          <w:tab w:val="num" w:pos="2880"/>
        </w:tabs>
        <w:ind w:left="2880" w:hanging="360"/>
      </w:pPr>
      <w:rPr>
        <w:rFonts w:ascii="Symbol" w:hAnsi="Symbol" w:hint="default"/>
      </w:rPr>
    </w:lvl>
    <w:lvl w:ilvl="4" w:tplc="DEBC7B92" w:tentative="1">
      <w:start w:val="1"/>
      <w:numFmt w:val="bullet"/>
      <w:lvlText w:val="o"/>
      <w:lvlJc w:val="left"/>
      <w:pPr>
        <w:tabs>
          <w:tab w:val="num" w:pos="3600"/>
        </w:tabs>
        <w:ind w:left="3600" w:hanging="360"/>
      </w:pPr>
      <w:rPr>
        <w:rFonts w:ascii="Courier New" w:hAnsi="Courier New" w:cs="Courier New" w:hint="default"/>
      </w:rPr>
    </w:lvl>
    <w:lvl w:ilvl="5" w:tplc="29B8D44E" w:tentative="1">
      <w:start w:val="1"/>
      <w:numFmt w:val="bullet"/>
      <w:lvlText w:val=""/>
      <w:lvlJc w:val="left"/>
      <w:pPr>
        <w:tabs>
          <w:tab w:val="num" w:pos="4320"/>
        </w:tabs>
        <w:ind w:left="4320" w:hanging="360"/>
      </w:pPr>
      <w:rPr>
        <w:rFonts w:ascii="Wingdings" w:hAnsi="Wingdings" w:hint="default"/>
      </w:rPr>
    </w:lvl>
    <w:lvl w:ilvl="6" w:tplc="5AB693E0" w:tentative="1">
      <w:start w:val="1"/>
      <w:numFmt w:val="bullet"/>
      <w:lvlText w:val=""/>
      <w:lvlJc w:val="left"/>
      <w:pPr>
        <w:tabs>
          <w:tab w:val="num" w:pos="5040"/>
        </w:tabs>
        <w:ind w:left="5040" w:hanging="360"/>
      </w:pPr>
      <w:rPr>
        <w:rFonts w:ascii="Symbol" w:hAnsi="Symbol" w:hint="default"/>
      </w:rPr>
    </w:lvl>
    <w:lvl w:ilvl="7" w:tplc="7ED2B02E" w:tentative="1">
      <w:start w:val="1"/>
      <w:numFmt w:val="bullet"/>
      <w:lvlText w:val="o"/>
      <w:lvlJc w:val="left"/>
      <w:pPr>
        <w:tabs>
          <w:tab w:val="num" w:pos="5760"/>
        </w:tabs>
        <w:ind w:left="5760" w:hanging="360"/>
      </w:pPr>
      <w:rPr>
        <w:rFonts w:ascii="Courier New" w:hAnsi="Courier New" w:cs="Courier New" w:hint="default"/>
      </w:rPr>
    </w:lvl>
    <w:lvl w:ilvl="8" w:tplc="4E7AF4E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CF5482C0">
      <w:start w:val="1"/>
      <w:numFmt w:val="bullet"/>
      <w:lvlText w:val="­"/>
      <w:lvlJc w:val="left"/>
      <w:pPr>
        <w:tabs>
          <w:tab w:val="num" w:pos="720"/>
        </w:tabs>
        <w:ind w:left="720" w:hanging="360"/>
      </w:pPr>
      <w:rPr>
        <w:rFonts w:ascii="Courier New" w:hAnsi="Courier New" w:hint="default"/>
      </w:rPr>
    </w:lvl>
    <w:lvl w:ilvl="1" w:tplc="8F88EB78" w:tentative="1">
      <w:start w:val="1"/>
      <w:numFmt w:val="bullet"/>
      <w:lvlText w:val="o"/>
      <w:lvlJc w:val="left"/>
      <w:pPr>
        <w:tabs>
          <w:tab w:val="num" w:pos="1440"/>
        </w:tabs>
        <w:ind w:left="1440" w:hanging="360"/>
      </w:pPr>
      <w:rPr>
        <w:rFonts w:ascii="Courier New" w:hAnsi="Courier New" w:cs="Courier New" w:hint="default"/>
      </w:rPr>
    </w:lvl>
    <w:lvl w:ilvl="2" w:tplc="1F1CC4AE" w:tentative="1">
      <w:start w:val="1"/>
      <w:numFmt w:val="bullet"/>
      <w:lvlText w:val=""/>
      <w:lvlJc w:val="left"/>
      <w:pPr>
        <w:tabs>
          <w:tab w:val="num" w:pos="2160"/>
        </w:tabs>
        <w:ind w:left="2160" w:hanging="360"/>
      </w:pPr>
      <w:rPr>
        <w:rFonts w:ascii="Wingdings" w:hAnsi="Wingdings" w:hint="default"/>
      </w:rPr>
    </w:lvl>
    <w:lvl w:ilvl="3" w:tplc="03622F58" w:tentative="1">
      <w:start w:val="1"/>
      <w:numFmt w:val="bullet"/>
      <w:lvlText w:val=""/>
      <w:lvlJc w:val="left"/>
      <w:pPr>
        <w:tabs>
          <w:tab w:val="num" w:pos="2880"/>
        </w:tabs>
        <w:ind w:left="2880" w:hanging="360"/>
      </w:pPr>
      <w:rPr>
        <w:rFonts w:ascii="Symbol" w:hAnsi="Symbol" w:hint="default"/>
      </w:rPr>
    </w:lvl>
    <w:lvl w:ilvl="4" w:tplc="8F8C6D44" w:tentative="1">
      <w:start w:val="1"/>
      <w:numFmt w:val="bullet"/>
      <w:lvlText w:val="o"/>
      <w:lvlJc w:val="left"/>
      <w:pPr>
        <w:tabs>
          <w:tab w:val="num" w:pos="3600"/>
        </w:tabs>
        <w:ind w:left="3600" w:hanging="360"/>
      </w:pPr>
      <w:rPr>
        <w:rFonts w:ascii="Courier New" w:hAnsi="Courier New" w:cs="Courier New" w:hint="default"/>
      </w:rPr>
    </w:lvl>
    <w:lvl w:ilvl="5" w:tplc="38962AD8" w:tentative="1">
      <w:start w:val="1"/>
      <w:numFmt w:val="bullet"/>
      <w:lvlText w:val=""/>
      <w:lvlJc w:val="left"/>
      <w:pPr>
        <w:tabs>
          <w:tab w:val="num" w:pos="4320"/>
        </w:tabs>
        <w:ind w:left="4320" w:hanging="360"/>
      </w:pPr>
      <w:rPr>
        <w:rFonts w:ascii="Wingdings" w:hAnsi="Wingdings" w:hint="default"/>
      </w:rPr>
    </w:lvl>
    <w:lvl w:ilvl="6" w:tplc="0168633E" w:tentative="1">
      <w:start w:val="1"/>
      <w:numFmt w:val="bullet"/>
      <w:lvlText w:val=""/>
      <w:lvlJc w:val="left"/>
      <w:pPr>
        <w:tabs>
          <w:tab w:val="num" w:pos="5040"/>
        </w:tabs>
        <w:ind w:left="5040" w:hanging="360"/>
      </w:pPr>
      <w:rPr>
        <w:rFonts w:ascii="Symbol" w:hAnsi="Symbol" w:hint="default"/>
      </w:rPr>
    </w:lvl>
    <w:lvl w:ilvl="7" w:tplc="AAD89BA8" w:tentative="1">
      <w:start w:val="1"/>
      <w:numFmt w:val="bullet"/>
      <w:lvlText w:val="o"/>
      <w:lvlJc w:val="left"/>
      <w:pPr>
        <w:tabs>
          <w:tab w:val="num" w:pos="5760"/>
        </w:tabs>
        <w:ind w:left="5760" w:hanging="360"/>
      </w:pPr>
      <w:rPr>
        <w:rFonts w:ascii="Courier New" w:hAnsi="Courier New" w:cs="Courier New" w:hint="default"/>
      </w:rPr>
    </w:lvl>
    <w:lvl w:ilvl="8" w:tplc="105E2BE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460E012A">
      <w:start w:val="1"/>
      <w:numFmt w:val="lowerRoman"/>
      <w:lvlText w:val="(%1)"/>
      <w:lvlJc w:val="left"/>
      <w:pPr>
        <w:tabs>
          <w:tab w:val="num" w:pos="2448"/>
        </w:tabs>
        <w:ind w:left="2448" w:hanging="648"/>
      </w:pPr>
      <w:rPr>
        <w:rFonts w:hint="default"/>
        <w:b w:val="0"/>
        <w:i w:val="0"/>
        <w:u w:val="none"/>
      </w:rPr>
    </w:lvl>
    <w:lvl w:ilvl="1" w:tplc="06E4BA54" w:tentative="1">
      <w:start w:val="1"/>
      <w:numFmt w:val="lowerLetter"/>
      <w:lvlText w:val="%2."/>
      <w:lvlJc w:val="left"/>
      <w:pPr>
        <w:tabs>
          <w:tab w:val="num" w:pos="1440"/>
        </w:tabs>
        <w:ind w:left="1440" w:hanging="360"/>
      </w:pPr>
    </w:lvl>
    <w:lvl w:ilvl="2" w:tplc="D55A8D36" w:tentative="1">
      <w:start w:val="1"/>
      <w:numFmt w:val="lowerRoman"/>
      <w:lvlText w:val="%3."/>
      <w:lvlJc w:val="right"/>
      <w:pPr>
        <w:tabs>
          <w:tab w:val="num" w:pos="2160"/>
        </w:tabs>
        <w:ind w:left="2160" w:hanging="180"/>
      </w:pPr>
    </w:lvl>
    <w:lvl w:ilvl="3" w:tplc="F6EA368A" w:tentative="1">
      <w:start w:val="1"/>
      <w:numFmt w:val="decimal"/>
      <w:lvlText w:val="%4."/>
      <w:lvlJc w:val="left"/>
      <w:pPr>
        <w:tabs>
          <w:tab w:val="num" w:pos="2880"/>
        </w:tabs>
        <w:ind w:left="2880" w:hanging="360"/>
      </w:pPr>
    </w:lvl>
    <w:lvl w:ilvl="4" w:tplc="A492DFE8" w:tentative="1">
      <w:start w:val="1"/>
      <w:numFmt w:val="lowerLetter"/>
      <w:lvlText w:val="%5."/>
      <w:lvlJc w:val="left"/>
      <w:pPr>
        <w:tabs>
          <w:tab w:val="num" w:pos="3600"/>
        </w:tabs>
        <w:ind w:left="3600" w:hanging="360"/>
      </w:pPr>
    </w:lvl>
    <w:lvl w:ilvl="5" w:tplc="6ACEEF74" w:tentative="1">
      <w:start w:val="1"/>
      <w:numFmt w:val="lowerRoman"/>
      <w:lvlText w:val="%6."/>
      <w:lvlJc w:val="right"/>
      <w:pPr>
        <w:tabs>
          <w:tab w:val="num" w:pos="4320"/>
        </w:tabs>
        <w:ind w:left="4320" w:hanging="180"/>
      </w:pPr>
    </w:lvl>
    <w:lvl w:ilvl="6" w:tplc="F7BCB11A" w:tentative="1">
      <w:start w:val="1"/>
      <w:numFmt w:val="decimal"/>
      <w:lvlText w:val="%7."/>
      <w:lvlJc w:val="left"/>
      <w:pPr>
        <w:tabs>
          <w:tab w:val="num" w:pos="5040"/>
        </w:tabs>
        <w:ind w:left="5040" w:hanging="360"/>
      </w:pPr>
    </w:lvl>
    <w:lvl w:ilvl="7" w:tplc="CF7EA18C" w:tentative="1">
      <w:start w:val="1"/>
      <w:numFmt w:val="lowerLetter"/>
      <w:lvlText w:val="%8."/>
      <w:lvlJc w:val="left"/>
      <w:pPr>
        <w:tabs>
          <w:tab w:val="num" w:pos="5760"/>
        </w:tabs>
        <w:ind w:left="5760" w:hanging="360"/>
      </w:pPr>
    </w:lvl>
    <w:lvl w:ilvl="8" w:tplc="0BC4DC12"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47FAABF8">
      <w:start w:val="1"/>
      <w:numFmt w:val="bullet"/>
      <w:lvlText w:val=""/>
      <w:lvlJc w:val="left"/>
      <w:pPr>
        <w:tabs>
          <w:tab w:val="num" w:pos="5760"/>
        </w:tabs>
        <w:ind w:left="5760" w:hanging="360"/>
      </w:pPr>
      <w:rPr>
        <w:rFonts w:ascii="Symbol" w:hAnsi="Symbol" w:hint="default"/>
        <w:color w:val="auto"/>
        <w:u w:val="none"/>
      </w:rPr>
    </w:lvl>
    <w:lvl w:ilvl="1" w:tplc="ECCC0F90" w:tentative="1">
      <w:start w:val="1"/>
      <w:numFmt w:val="bullet"/>
      <w:lvlText w:val="o"/>
      <w:lvlJc w:val="left"/>
      <w:pPr>
        <w:tabs>
          <w:tab w:val="num" w:pos="3600"/>
        </w:tabs>
        <w:ind w:left="3600" w:hanging="360"/>
      </w:pPr>
      <w:rPr>
        <w:rFonts w:ascii="Courier New" w:hAnsi="Courier New" w:hint="default"/>
      </w:rPr>
    </w:lvl>
    <w:lvl w:ilvl="2" w:tplc="5966F33A" w:tentative="1">
      <w:start w:val="1"/>
      <w:numFmt w:val="bullet"/>
      <w:lvlText w:val=""/>
      <w:lvlJc w:val="left"/>
      <w:pPr>
        <w:tabs>
          <w:tab w:val="num" w:pos="4320"/>
        </w:tabs>
        <w:ind w:left="4320" w:hanging="360"/>
      </w:pPr>
      <w:rPr>
        <w:rFonts w:ascii="Wingdings" w:hAnsi="Wingdings" w:hint="default"/>
      </w:rPr>
    </w:lvl>
    <w:lvl w:ilvl="3" w:tplc="BFD26BC2">
      <w:start w:val="1"/>
      <w:numFmt w:val="bullet"/>
      <w:lvlText w:val=""/>
      <w:lvlJc w:val="left"/>
      <w:pPr>
        <w:tabs>
          <w:tab w:val="num" w:pos="5040"/>
        </w:tabs>
        <w:ind w:left="5040" w:hanging="360"/>
      </w:pPr>
      <w:rPr>
        <w:rFonts w:ascii="Symbol" w:hAnsi="Symbol" w:hint="default"/>
      </w:rPr>
    </w:lvl>
    <w:lvl w:ilvl="4" w:tplc="7BEED2E0" w:tentative="1">
      <w:start w:val="1"/>
      <w:numFmt w:val="bullet"/>
      <w:lvlText w:val="o"/>
      <w:lvlJc w:val="left"/>
      <w:pPr>
        <w:tabs>
          <w:tab w:val="num" w:pos="5760"/>
        </w:tabs>
        <w:ind w:left="5760" w:hanging="360"/>
      </w:pPr>
      <w:rPr>
        <w:rFonts w:ascii="Courier New" w:hAnsi="Courier New" w:hint="default"/>
      </w:rPr>
    </w:lvl>
    <w:lvl w:ilvl="5" w:tplc="56B0F134" w:tentative="1">
      <w:start w:val="1"/>
      <w:numFmt w:val="bullet"/>
      <w:lvlText w:val=""/>
      <w:lvlJc w:val="left"/>
      <w:pPr>
        <w:tabs>
          <w:tab w:val="num" w:pos="6480"/>
        </w:tabs>
        <w:ind w:left="6480" w:hanging="360"/>
      </w:pPr>
      <w:rPr>
        <w:rFonts w:ascii="Wingdings" w:hAnsi="Wingdings" w:hint="default"/>
      </w:rPr>
    </w:lvl>
    <w:lvl w:ilvl="6" w:tplc="003E8C4C" w:tentative="1">
      <w:start w:val="1"/>
      <w:numFmt w:val="bullet"/>
      <w:lvlText w:val=""/>
      <w:lvlJc w:val="left"/>
      <w:pPr>
        <w:tabs>
          <w:tab w:val="num" w:pos="7200"/>
        </w:tabs>
        <w:ind w:left="7200" w:hanging="360"/>
      </w:pPr>
      <w:rPr>
        <w:rFonts w:ascii="Symbol" w:hAnsi="Symbol" w:hint="default"/>
      </w:rPr>
    </w:lvl>
    <w:lvl w:ilvl="7" w:tplc="D71C0C32" w:tentative="1">
      <w:start w:val="1"/>
      <w:numFmt w:val="bullet"/>
      <w:lvlText w:val="o"/>
      <w:lvlJc w:val="left"/>
      <w:pPr>
        <w:tabs>
          <w:tab w:val="num" w:pos="7920"/>
        </w:tabs>
        <w:ind w:left="7920" w:hanging="360"/>
      </w:pPr>
      <w:rPr>
        <w:rFonts w:ascii="Courier New" w:hAnsi="Courier New" w:hint="default"/>
      </w:rPr>
    </w:lvl>
    <w:lvl w:ilvl="8" w:tplc="21F0377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118C"/>
    <w:rsid w:val="00B2118C"/>
    <w:rsid w:val="00E3091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118C"/>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B2118C"/>
    <w:pPr>
      <w:keepNext/>
      <w:spacing w:line="480" w:lineRule="auto"/>
      <w:ind w:left="1440" w:right="-90" w:hanging="720"/>
      <w:outlineLvl w:val="4"/>
    </w:pPr>
    <w:rPr>
      <w:b/>
    </w:rPr>
  </w:style>
  <w:style w:type="paragraph" w:styleId="Heading6">
    <w:name w:val="heading 6"/>
    <w:basedOn w:val="Normal"/>
    <w:next w:val="Normal"/>
    <w:qFormat/>
    <w:rsid w:val="00B2118C"/>
    <w:pPr>
      <w:keepNext/>
      <w:spacing w:line="480" w:lineRule="auto"/>
      <w:ind w:left="1080" w:right="-90" w:hanging="360"/>
      <w:outlineLvl w:val="5"/>
    </w:pPr>
    <w:rPr>
      <w:b/>
    </w:rPr>
  </w:style>
  <w:style w:type="paragraph" w:styleId="Heading7">
    <w:name w:val="heading 7"/>
    <w:basedOn w:val="Normal"/>
    <w:next w:val="Normal"/>
    <w:qFormat/>
    <w:rsid w:val="00B2118C"/>
    <w:pPr>
      <w:keepNext/>
      <w:spacing w:line="480" w:lineRule="auto"/>
      <w:ind w:left="720" w:right="630"/>
      <w:outlineLvl w:val="6"/>
    </w:pPr>
    <w:rPr>
      <w:b/>
    </w:rPr>
  </w:style>
  <w:style w:type="paragraph" w:styleId="Heading8">
    <w:name w:val="heading 8"/>
    <w:basedOn w:val="Normal"/>
    <w:next w:val="Normal"/>
    <w:qFormat/>
    <w:rsid w:val="00B2118C"/>
    <w:pPr>
      <w:keepNext/>
      <w:spacing w:line="480" w:lineRule="auto"/>
      <w:ind w:left="720" w:right="-90"/>
      <w:outlineLvl w:val="7"/>
    </w:pPr>
    <w:rPr>
      <w:b/>
    </w:rPr>
  </w:style>
  <w:style w:type="paragraph" w:styleId="Heading9">
    <w:name w:val="heading 9"/>
    <w:basedOn w:val="Normal"/>
    <w:next w:val="Normal"/>
    <w:qFormat/>
    <w:rsid w:val="00B211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B2118C"/>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B2118C"/>
    <w:pPr>
      <w:widowControl/>
      <w:tabs>
        <w:tab w:val="center" w:pos="4680"/>
        <w:tab w:val="right" w:pos="9360"/>
      </w:tabs>
    </w:pPr>
    <w:rPr>
      <w:snapToGrid/>
      <w:szCs w:val="24"/>
    </w:rPr>
  </w:style>
  <w:style w:type="paragraph" w:styleId="Date">
    <w:name w:val="Date"/>
    <w:basedOn w:val="Normal"/>
    <w:next w:val="Normal"/>
    <w:rsid w:val="00B2118C"/>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2649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2017-12-13T19:17:00Z</dcterms:created>
  <dcterms:modified xsi:type="dcterms:W3CDTF">2017-12-13T19:17:00Z</dcterms:modified>
</cp:coreProperties>
</file>