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7F" w:rsidRDefault="00414F68" w:rsidP="00951A95">
      <w:pPr>
        <w:pStyle w:val="Heading2"/>
      </w:pPr>
      <w:bookmarkStart w:id="0" w:name="_Toc261444506"/>
      <w:r>
        <w:t>3.15</w:t>
      </w:r>
      <w:r>
        <w:tab/>
        <w:t>Changes in Service Specifications</w:t>
      </w:r>
      <w:bookmarkEnd w:id="0"/>
    </w:p>
    <w:p w:rsidR="00951A95" w:rsidRPr="00951A95" w:rsidRDefault="00414F68" w:rsidP="00951A95">
      <w:pPr>
        <w:pStyle w:val="Heading3"/>
      </w:pPr>
      <w:bookmarkStart w:id="1" w:name="_Toc261444507"/>
      <w:r>
        <w:t>3.15</w:t>
      </w:r>
      <w:r w:rsidRPr="00951A95">
        <w:t>.1</w:t>
      </w:r>
      <w:r w:rsidRPr="00951A95">
        <w:tab/>
        <w:t>Modifications On a Non</w:t>
      </w:r>
      <w:r w:rsidRPr="00951A95">
        <w:noBreakHyphen/>
        <w:t>Firm Basis:</w:t>
      </w:r>
      <w:bookmarkEnd w:id="1"/>
      <w:r w:rsidRPr="00951A95">
        <w:t xml:space="preserve"> </w:t>
      </w:r>
    </w:p>
    <w:p w:rsidR="003639AC" w:rsidRDefault="00414F68" w:rsidP="00951A95">
      <w:pPr>
        <w:pStyle w:val="Bodypara"/>
      </w:pPr>
      <w:r>
        <w:t>The Transmission Customer taking Firm Point</w:t>
      </w:r>
      <w:r>
        <w:noBreakHyphen/>
        <w:t>To</w:t>
      </w:r>
      <w:r>
        <w:noBreakHyphen/>
        <w:t>Point Transmission Service may request the ISO provide Transmission Service on a non</w:t>
      </w:r>
      <w:r>
        <w:noBreakHyphen/>
      </w:r>
      <w:r>
        <w:t xml:space="preserve">firm basis over Receipt and Delivery Points other than those specified in the </w:t>
      </w:r>
      <w:r w:rsidRPr="00A64F23">
        <w:t xml:space="preserve">Bid, Bilateral Transaction Schedule, or similar entry </w:t>
      </w:r>
      <w:r>
        <w:t>(“Secondary Receipt and Delivery Points”), in amounts not to exceed the quantities o</w:t>
      </w:r>
      <w:r w:rsidRPr="00A64F23">
        <w:t>f</w:t>
      </w:r>
      <w:r>
        <w:t xml:space="preserve"> its Firm Point</w:t>
      </w:r>
      <w:r>
        <w:noBreakHyphen/>
        <w:t>to</w:t>
      </w:r>
      <w:r>
        <w:noBreakHyphen/>
        <w:t>Point Transmission S</w:t>
      </w:r>
      <w:r>
        <w:t>ervice, without incurring an additional Non</w:t>
      </w:r>
      <w:r>
        <w:noBreakHyphen/>
        <w:t>Firm Point</w:t>
      </w:r>
      <w:r>
        <w:noBreakHyphen/>
        <w:t>To</w:t>
      </w:r>
      <w:r>
        <w:noBreakHyphen/>
        <w:t>Point Transmission Service charge or executing a new Service Agreement, subject to the following conditions.  While there will be no additional charges for requesting service from a new receipt or t</w:t>
      </w:r>
      <w:r>
        <w:t>o a new delivery point, the Transmission Customer shall be responsible for all charges applicable to the new secondary receipt or delivery</w:t>
      </w:r>
      <w:r>
        <w:t xml:space="preserve"> </w:t>
      </w:r>
      <w:r>
        <w:t>point in place of the charges applicable to the original receipt or delivery point.</w:t>
      </w:r>
    </w:p>
    <w:p w:rsidR="003639AC" w:rsidRDefault="00414F68" w:rsidP="00951A95">
      <w:pPr>
        <w:pStyle w:val="alphapara"/>
      </w:pPr>
      <w:r>
        <w:t>(a)</w:t>
      </w:r>
      <w:r>
        <w:tab/>
        <w:t>Service provided over Seconda</w:t>
      </w:r>
      <w:r>
        <w:t>ry Receipt and Delivery Points will be non</w:t>
      </w:r>
      <w:r>
        <w:noBreakHyphen/>
        <w:t>firm only, on an as</w:t>
      </w:r>
      <w:r>
        <w:noBreakHyphen/>
        <w:t>available basis.</w:t>
      </w:r>
    </w:p>
    <w:p w:rsidR="008F5602" w:rsidRDefault="00414F68" w:rsidP="00951A95">
      <w:pPr>
        <w:pStyle w:val="alphapara"/>
      </w:pPr>
      <w:r>
        <w:t>(b)</w:t>
      </w:r>
      <w:r>
        <w:tab/>
        <w:t>The sum of all Firm and non</w:t>
      </w:r>
      <w:r>
        <w:noBreakHyphen/>
        <w:t>firm Point</w:t>
      </w:r>
      <w:r>
        <w:noBreakHyphen/>
        <w:t>To</w:t>
      </w:r>
      <w:r>
        <w:noBreakHyphen/>
        <w:t>Point Transmission Service provided to the Transmission Customer at any time pursuant to this Section shall not exceed the quantit</w:t>
      </w:r>
      <w:r>
        <w:t>ies or its Firm Point</w:t>
      </w:r>
      <w:r>
        <w:noBreakHyphen/>
        <w:t>to</w:t>
      </w:r>
      <w:r>
        <w:noBreakHyphen/>
        <w:t>Point Transmissions Service requested in the relevant Service Agreement under which such services are provided.</w:t>
      </w:r>
      <w:r>
        <w:t xml:space="preserve"> </w:t>
      </w:r>
    </w:p>
    <w:p w:rsidR="003639AC" w:rsidRDefault="00414F68" w:rsidP="00951A95">
      <w:pPr>
        <w:pStyle w:val="alphapara"/>
      </w:pPr>
      <w:r>
        <w:t>(c)</w:t>
      </w:r>
      <w:r>
        <w:tab/>
        <w:t>The Transmission Customer shall retain its right to schedule Firm Point</w:t>
      </w:r>
      <w:r>
        <w:noBreakHyphen/>
        <w:t xml:space="preserve"> To</w:t>
      </w:r>
      <w:r>
        <w:noBreakHyphen/>
        <w:t>Point Transmission Service at the Rece</w:t>
      </w:r>
      <w:r>
        <w:t>ipt and Delivery Points specified up to the quantities or its Firm Point</w:t>
      </w:r>
      <w:r>
        <w:noBreakHyphen/>
        <w:t>to</w:t>
      </w:r>
      <w:r>
        <w:noBreakHyphen/>
        <w:t>Point Transmission Service requested in the relevant Service Agreement.</w:t>
      </w:r>
    </w:p>
    <w:p w:rsidR="003639AC" w:rsidRDefault="00414F68" w:rsidP="00951A95">
      <w:pPr>
        <w:pStyle w:val="alphapara"/>
        <w:rPr>
          <w:b/>
        </w:rPr>
      </w:pPr>
      <w:r>
        <w:t>(d)</w:t>
      </w:r>
      <w:r>
        <w:tab/>
        <w:t>Service over Secondary Receipt and Delivery Points on a non</w:t>
      </w:r>
      <w:r>
        <w:noBreakHyphen/>
        <w:t xml:space="preserve">firm basis shall not </w:t>
      </w:r>
      <w:r>
        <w:lastRenderedPageBreak/>
        <w:t>require the filing of a</w:t>
      </w:r>
      <w:r>
        <w:t>n Application for Non</w:t>
      </w:r>
      <w:r>
        <w:noBreakHyphen/>
        <w:t>Firm Point</w:t>
      </w:r>
      <w:r>
        <w:noBreakHyphen/>
        <w:t>To</w:t>
      </w:r>
      <w:r>
        <w:noBreakHyphen/>
        <w:t xml:space="preserve">Point Transmission Service under this Tariff.  However, all other requirements of Part </w:t>
      </w:r>
      <w:r>
        <w:t>3</w:t>
      </w:r>
      <w:r>
        <w:t xml:space="preserve"> </w:t>
      </w:r>
      <w:r>
        <w:t>of this Tariff (except as to transmission rates) shall apply to Transmission Service on a non</w:t>
      </w:r>
      <w:r>
        <w:noBreakHyphen/>
        <w:t>firm basis over Secondary Receipt and</w:t>
      </w:r>
      <w:r>
        <w:t xml:space="preserve"> Delivery Points.</w:t>
      </w:r>
    </w:p>
    <w:p w:rsidR="00951A95" w:rsidRDefault="00414F68" w:rsidP="00951A95">
      <w:pPr>
        <w:pStyle w:val="Heading3"/>
      </w:pPr>
      <w:bookmarkStart w:id="2" w:name="_Toc261444508"/>
      <w:r>
        <w:t>3.15</w:t>
      </w:r>
      <w:r>
        <w:t>.2</w:t>
      </w:r>
      <w:r>
        <w:tab/>
        <w:t>Modification On a Firm Basis:</w:t>
      </w:r>
      <w:bookmarkEnd w:id="2"/>
      <w:r>
        <w:t xml:space="preserve"> </w:t>
      </w:r>
    </w:p>
    <w:p w:rsidR="0083337F" w:rsidRDefault="00414F68" w:rsidP="00951A95">
      <w:pPr>
        <w:pStyle w:val="Bodypara"/>
      </w:pPr>
      <w:r>
        <w:t xml:space="preserve">Any request by a Transmission Customer to modify Receipt and Delivery Points on a firm basis shall be treated as a new request for service in accordance with Section </w:t>
      </w:r>
      <w:r>
        <w:t>3.5</w:t>
      </w:r>
      <w:r>
        <w:t xml:space="preserve"> hereof.  While such new reques</w:t>
      </w:r>
      <w:r>
        <w:t xml:space="preserve">t is pending, the Transmission Customer shall retain its priority for service at the existing firm Receipt and Delivery Points specified in its </w:t>
      </w:r>
      <w:r w:rsidRPr="00D543B8">
        <w:t xml:space="preserve">Bid, Bilateral Transaction schedule, or similar entry. </w:t>
      </w:r>
    </w:p>
    <w:p w:rsidR="00421ECF" w:rsidRDefault="00414F68" w:rsidP="003A3861">
      <w:pPr>
        <w:pStyle w:val="Bodypara"/>
      </w:pPr>
    </w:p>
    <w:sectPr w:rsidR="00421ECF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01A" w:rsidRDefault="004B701A" w:rsidP="004B701A">
      <w:r>
        <w:separator/>
      </w:r>
    </w:p>
  </w:endnote>
  <w:endnote w:type="continuationSeparator" w:id="0">
    <w:p w:rsidR="004B701A" w:rsidRDefault="004B701A" w:rsidP="004B7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01A" w:rsidRDefault="00414F6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4B701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B701A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01A" w:rsidRDefault="00414F6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4B701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4B701A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01A" w:rsidRDefault="00414F6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4B701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B701A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01A" w:rsidRDefault="004B701A" w:rsidP="004B701A">
      <w:r>
        <w:separator/>
      </w:r>
    </w:p>
  </w:footnote>
  <w:footnote w:type="continuationSeparator" w:id="0">
    <w:p w:rsidR="004B701A" w:rsidRDefault="004B701A" w:rsidP="004B7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01A" w:rsidRDefault="00414F6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3.15 OATT Changes in Service Specifications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01A" w:rsidRDefault="00414F6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</w:t>
    </w:r>
    <w:r>
      <w:rPr>
        <w:rFonts w:ascii="Arial" w:eastAsia="Arial" w:hAnsi="Arial" w:cs="Arial"/>
        <w:color w:val="000000"/>
        <w:sz w:val="16"/>
      </w:rPr>
      <w:t>on Service --&gt; 3.15 OATT Changes in Service Specifications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01A" w:rsidRDefault="00414F6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</w:t>
    </w:r>
    <w:r>
      <w:rPr>
        <w:rFonts w:ascii="Arial" w:eastAsia="Arial" w:hAnsi="Arial" w:cs="Arial"/>
        <w:color w:val="000000"/>
        <w:sz w:val="16"/>
      </w:rPr>
      <w:t>TT Point-To-Point Transmission Service --&gt; 3.15 OATT Changes in Service Specifications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2DB4D34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24FB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46C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1AA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AEAF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C44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3CF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248E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28A7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730633C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F80B5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9EBD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76B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4062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5CE5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2C0B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201A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62F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7452DE1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ECA299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508D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DA8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EFB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890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7E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2C38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1A35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2B92F05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AC76C5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5AFC0A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E4F2DF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35DCA1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AAE20E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95820E2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2244029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E86C3F3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701A"/>
    <w:rsid w:val="00414F68"/>
    <w:rsid w:val="004B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701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B701A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B701A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B701A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B701A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B701A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4B701A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4B701A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4B701A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2017-12-13T19:17:00Z</dcterms:created>
  <dcterms:modified xsi:type="dcterms:W3CDTF">2017-12-13T19:17:00Z</dcterms:modified>
</cp:coreProperties>
</file>