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D9" w:rsidRPr="00C5008C" w:rsidRDefault="00561C37" w:rsidP="00757EA9">
      <w:pPr>
        <w:pStyle w:val="Heading2"/>
      </w:pPr>
      <w:bookmarkStart w:id="0" w:name="_Toc261444421"/>
      <w:r>
        <w:t>2.</w:t>
      </w:r>
      <w:r>
        <w:t>12</w:t>
      </w:r>
      <w:r w:rsidRPr="00C5008C">
        <w:tab/>
        <w:t xml:space="preserve"> Back</w:t>
      </w:r>
      <w:r w:rsidRPr="00C5008C">
        <w:noBreakHyphen/>
        <w:t>Up Operation</w:t>
      </w:r>
      <w:bookmarkEnd w:id="0"/>
    </w:p>
    <w:p w:rsidR="00DA062A" w:rsidRDefault="00561C37" w:rsidP="00757EA9">
      <w:pPr>
        <w:pStyle w:val="Heading3"/>
      </w:pPr>
      <w:bookmarkStart w:id="1" w:name="_Toc261444422"/>
      <w:r>
        <w:t>2.</w:t>
      </w:r>
      <w:r>
        <w:t>12</w:t>
      </w:r>
      <w:r>
        <w:t>.1</w:t>
      </w:r>
      <w:r w:rsidRPr="008A0AC6">
        <w:tab/>
        <w:t>Back</w:t>
      </w:r>
      <w:r w:rsidRPr="008A0AC6">
        <w:noBreakHyphen/>
        <w:t>Up Operation Procedures:</w:t>
      </w:r>
      <w:bookmarkEnd w:id="1"/>
      <w:r w:rsidRPr="008A0AC6">
        <w:t xml:space="preserve">  </w:t>
      </w:r>
    </w:p>
    <w:p w:rsidR="00661FD9" w:rsidRPr="00662E1A" w:rsidRDefault="00561C37" w:rsidP="00C5008C">
      <w:pPr>
        <w:pStyle w:val="Bodypara"/>
      </w:pPr>
      <w:r w:rsidRPr="008A0AC6">
        <w:t>The ISO shall develop Back</w:t>
      </w:r>
      <w:r>
        <w:t>-</w:t>
      </w:r>
      <w:r w:rsidRPr="008A0AC6">
        <w:t>Up Operation procedures that will carry out the intent and purposes of this ISO OATT, to the extent practical, in circumstances under which the normal communications</w:t>
      </w:r>
      <w:r w:rsidRPr="008A0AC6">
        <w:t xml:space="preserve"> or computer systems of the ISO are not fully functional.  Such procedures shall include tes</w:t>
      </w:r>
      <w:r>
        <w:t xml:space="preserve">ting requirements and training </w:t>
      </w:r>
      <w:r w:rsidRPr="008A0AC6">
        <w:t>for the ISO staff, Transmission Owner staff, and Market Participants.  If a communication or computer system malfunction results in t</w:t>
      </w:r>
      <w:r w:rsidRPr="008A0AC6">
        <w:t xml:space="preserve">he ISO’s inability to operate the NYCA in accordance with </w:t>
      </w:r>
      <w:r w:rsidRPr="00662E1A">
        <w:t>ISO Procedures or under approved testing procedures, the ISO will direct the Transmission Owners to assume the responsibility to operate their respective systems in accordance with Good Utility Prac</w:t>
      </w:r>
      <w:r w:rsidRPr="00662E1A">
        <w:t xml:space="preserve">tice to facilitate the operation of the NYCA in a safe and reliable manner.  </w:t>
      </w:r>
    </w:p>
    <w:p w:rsidR="004166C7" w:rsidRPr="008A0AC6" w:rsidRDefault="00561C37" w:rsidP="00C5008C">
      <w:pPr>
        <w:pStyle w:val="Bodypara"/>
      </w:pPr>
      <w:r>
        <w:t xml:space="preserve">The Transmission Owners will continue to operate their respective systems until such time that the ISO is ready </w:t>
      </w:r>
      <w:r>
        <w:t>to resume control.  During Back-</w:t>
      </w:r>
      <w:r w:rsidRPr="008A0AC6">
        <w:t>U</w:t>
      </w:r>
      <w:r>
        <w:t>p Operation, the Transmission Own</w:t>
      </w:r>
      <w:r>
        <w:t xml:space="preserve">er control centers will operate to maintain the Desired Net Interchange (“DNI”) within each Transmission District.  Generator </w:t>
      </w:r>
      <w:bookmarkStart w:id="2" w:name="_DV_C8"/>
      <w:r w:rsidRPr="008A0AC6">
        <w:t>Bid curves will be provided by the ISO to the individual Transmission Owners in order to permit dispatch by the Transmission Owner</w:t>
      </w:r>
      <w:r w:rsidRPr="008A0AC6">
        <w:t>s subject to the Transmission Owner code of conduct.  Normal Day</w:t>
      </w:r>
      <w:r w:rsidRPr="008A0AC6">
        <w:noBreakHyphen/>
        <w:t>Ahead Market and Real</w:t>
      </w:r>
      <w:r w:rsidRPr="008A0AC6">
        <w:noBreakHyphen/>
        <w:t>Time Market operations may be halted if required.</w:t>
      </w:r>
    </w:p>
    <w:p w:rsidR="00DA062A" w:rsidRPr="002B5B7D" w:rsidRDefault="00561C37" w:rsidP="00757EA9">
      <w:pPr>
        <w:pStyle w:val="Heading3"/>
      </w:pPr>
      <w:bookmarkStart w:id="3" w:name="_Toc261444423"/>
      <w:r>
        <w:t>2.1</w:t>
      </w:r>
      <w:r>
        <w:t>2</w:t>
      </w:r>
      <w:r>
        <w:t>.</w:t>
      </w:r>
      <w:r w:rsidRPr="002B5B7D">
        <w:t>2</w:t>
      </w:r>
      <w:r w:rsidRPr="002B5B7D">
        <w:tab/>
        <w:t>Market Participant and Transmission Customer Obligations:</w:t>
      </w:r>
      <w:bookmarkEnd w:id="3"/>
      <w:r w:rsidRPr="002B5B7D">
        <w:t xml:space="preserve"> </w:t>
      </w:r>
    </w:p>
    <w:p w:rsidR="004166C7" w:rsidRDefault="00561C37" w:rsidP="00C5008C">
      <w:pPr>
        <w:pStyle w:val="Bodypara"/>
      </w:pPr>
      <w:r>
        <w:t>During Back-</w:t>
      </w:r>
      <w:r w:rsidRPr="008A0AC6">
        <w:t xml:space="preserve">Up Operation, Transmission Customers and </w:t>
      </w:r>
      <w:r w:rsidRPr="008A0AC6">
        <w:t>other Market Participants shall comply with any and all instructions and orders issued by the ISO or the Transmission</w:t>
      </w:r>
      <w:r>
        <w:t xml:space="preserve"> Owners.</w:t>
      </w:r>
    </w:p>
    <w:p w:rsidR="00DA062A" w:rsidRDefault="00561C37" w:rsidP="00757EA9">
      <w:pPr>
        <w:pStyle w:val="Heading3"/>
      </w:pPr>
      <w:bookmarkStart w:id="4" w:name="_Toc261444424"/>
      <w:r>
        <w:lastRenderedPageBreak/>
        <w:t>2.1</w:t>
      </w:r>
      <w:r>
        <w:t>2</w:t>
      </w:r>
      <w:r>
        <w:t>.</w:t>
      </w:r>
      <w:r w:rsidRPr="002B5B7D">
        <w:t>3</w:t>
      </w:r>
      <w:r w:rsidRPr="002B5B7D">
        <w:tab/>
        <w:t>Billing and Settlement:</w:t>
      </w:r>
      <w:bookmarkEnd w:id="4"/>
      <w:r w:rsidRPr="008A0AC6">
        <w:t xml:space="preserve"> </w:t>
      </w:r>
    </w:p>
    <w:p w:rsidR="004166C7" w:rsidRDefault="00561C37" w:rsidP="00C5008C">
      <w:pPr>
        <w:pStyle w:val="Bodypara"/>
      </w:pPr>
      <w:r w:rsidRPr="008A0AC6">
        <w:t>In the event that Back-Up Operation is implemented, the billing and settlement procedures containe</w:t>
      </w:r>
      <w:r w:rsidRPr="008A0AC6">
        <w:t xml:space="preserve">d in </w:t>
      </w:r>
      <w:r>
        <w:t>Section</w:t>
      </w:r>
      <w:r w:rsidRPr="008A0AC6">
        <w:t xml:space="preserve"> </w:t>
      </w:r>
      <w:r>
        <w:t>2.7</w:t>
      </w:r>
      <w:r w:rsidRPr="008A0AC6">
        <w:t xml:space="preserve"> of this ISO OATT shall apply only to the extent they can be implemented by the Back</w:t>
      </w:r>
      <w:r w:rsidRPr="008A0AC6">
        <w:noBreakHyphen/>
        <w:t>Up Operation</w:t>
      </w:r>
      <w:r>
        <w:t xml:space="preserve"> </w:t>
      </w:r>
      <w:r w:rsidRPr="008A0AC6">
        <w:t>procedures.  The ISO will develop and apply as necessary modified billing and settlement procedures for use under the specific circumstances t</w:t>
      </w:r>
      <w:r w:rsidRPr="008A0AC6">
        <w:t xml:space="preserve">hat required Back-Up Operation.  The ISO shall gather necessary information, manually reconstruct the billing information as soon as practical, and submit invoices to Transmission Customers.  The ISO shall be under no obligation to comply with the billing </w:t>
      </w:r>
      <w:r w:rsidRPr="008A0AC6">
        <w:t xml:space="preserve">procedure time limits specified in Article </w:t>
      </w:r>
      <w:r>
        <w:t>2.7</w:t>
      </w:r>
      <w:r w:rsidRPr="008A0AC6">
        <w:t>.  Neither the ISO nor the Transmission Owners shall be liable, under any circumstances, for any economic</w:t>
      </w:r>
      <w:r>
        <w:t xml:space="preserve"> losses suffered by any Transmission Customer, Market Participant, </w:t>
      </w:r>
      <w:bookmarkStart w:id="5" w:name="_DV_M37"/>
      <w:bookmarkEnd w:id="5"/>
      <w:r w:rsidRPr="008A0AC6">
        <w:t>or third party, resulting from the imp</w:t>
      </w:r>
      <w:r w:rsidRPr="008A0AC6">
        <w:t>lementation by the ISO of Back</w:t>
      </w:r>
      <w:r w:rsidRPr="008A0AC6">
        <w:noBreakHyphen/>
        <w:t>Up Operation or from compliance with orders issued by the ISO or Transmission Owners that were necessary to operate the NYCA in a safe and reliable manner.  Such orders may include, without limitation, instructions to generat</w:t>
      </w:r>
      <w:r w:rsidRPr="008A0AC6">
        <w:t>ion facilities to increase or decrease output, and instructions to Load to reduce or interrupt</w:t>
      </w:r>
      <w:r>
        <w:t xml:space="preserve"> service.</w:t>
      </w:r>
    </w:p>
    <w:p w:rsidR="003639AC" w:rsidRDefault="00561C37" w:rsidP="003A3861">
      <w:pPr>
        <w:pStyle w:val="Bodypara"/>
      </w:pPr>
      <w:bookmarkStart w:id="6" w:name="_DV_M38"/>
      <w:bookmarkEnd w:id="2"/>
      <w:bookmarkEnd w:id="6"/>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DB" w:rsidRDefault="00BF32DB" w:rsidP="00BF32DB">
      <w:r>
        <w:separator/>
      </w:r>
    </w:p>
  </w:endnote>
  <w:endnote w:type="continuationSeparator" w:id="0">
    <w:p w:rsidR="00BF32DB" w:rsidRDefault="00BF32DB" w:rsidP="00BF3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F32DB">
      <w:rPr>
        <w:rFonts w:ascii="Arial" w:eastAsia="Arial" w:hAnsi="Arial" w:cs="Arial"/>
        <w:color w:val="000000"/>
        <w:sz w:val="16"/>
      </w:rPr>
      <w:fldChar w:fldCharType="begin"/>
    </w:r>
    <w:r>
      <w:rPr>
        <w:rFonts w:ascii="Arial" w:eastAsia="Arial" w:hAnsi="Arial" w:cs="Arial"/>
        <w:color w:val="000000"/>
        <w:sz w:val="16"/>
      </w:rPr>
      <w:instrText>PAGE</w:instrText>
    </w:r>
    <w:r w:rsidR="00BF32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BF32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32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F32DB">
      <w:rPr>
        <w:rFonts w:ascii="Arial" w:eastAsia="Arial" w:hAnsi="Arial" w:cs="Arial"/>
        <w:color w:val="000000"/>
        <w:sz w:val="16"/>
      </w:rPr>
      <w:fldChar w:fldCharType="begin"/>
    </w:r>
    <w:r>
      <w:rPr>
        <w:rFonts w:ascii="Arial" w:eastAsia="Arial" w:hAnsi="Arial" w:cs="Arial"/>
        <w:color w:val="000000"/>
        <w:sz w:val="16"/>
      </w:rPr>
      <w:instrText>PAGE</w:instrText>
    </w:r>
    <w:r w:rsidR="00BF32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DB" w:rsidRDefault="00BF32DB" w:rsidP="00BF32DB">
      <w:r>
        <w:separator/>
      </w:r>
    </w:p>
  </w:footnote>
  <w:footnote w:type="continuationSeparator" w:id="0">
    <w:p w:rsidR="00BF32DB" w:rsidRDefault="00BF32DB" w:rsidP="00BF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w:t>
    </w:r>
    <w:r>
      <w:rPr>
        <w:rFonts w:ascii="Arial" w:eastAsia="Arial" w:hAnsi="Arial" w:cs="Arial"/>
        <w:color w:val="000000"/>
        <w:sz w:val="16"/>
      </w:rPr>
      <w:t>Provisions --&gt; 2.12 OATT Back Up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DB" w:rsidRDefault="00561C37">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DEA0B3E">
      <w:start w:val="1"/>
      <w:numFmt w:val="bullet"/>
      <w:pStyle w:val="Bulletpara"/>
      <w:lvlText w:val=""/>
      <w:lvlJc w:val="left"/>
      <w:pPr>
        <w:tabs>
          <w:tab w:val="num" w:pos="720"/>
        </w:tabs>
        <w:ind w:left="720" w:hanging="360"/>
      </w:pPr>
      <w:rPr>
        <w:rFonts w:ascii="Symbol" w:hAnsi="Symbol" w:hint="default"/>
      </w:rPr>
    </w:lvl>
    <w:lvl w:ilvl="1" w:tplc="87843EC0" w:tentative="1">
      <w:start w:val="1"/>
      <w:numFmt w:val="bullet"/>
      <w:lvlText w:val="o"/>
      <w:lvlJc w:val="left"/>
      <w:pPr>
        <w:tabs>
          <w:tab w:val="num" w:pos="1440"/>
        </w:tabs>
        <w:ind w:left="1440" w:hanging="360"/>
      </w:pPr>
      <w:rPr>
        <w:rFonts w:ascii="Courier New" w:hAnsi="Courier New" w:cs="Courier New" w:hint="default"/>
      </w:rPr>
    </w:lvl>
    <w:lvl w:ilvl="2" w:tplc="BD46BD36" w:tentative="1">
      <w:start w:val="1"/>
      <w:numFmt w:val="bullet"/>
      <w:lvlText w:val=""/>
      <w:lvlJc w:val="left"/>
      <w:pPr>
        <w:tabs>
          <w:tab w:val="num" w:pos="2160"/>
        </w:tabs>
        <w:ind w:left="2160" w:hanging="360"/>
      </w:pPr>
      <w:rPr>
        <w:rFonts w:ascii="Wingdings" w:hAnsi="Wingdings" w:hint="default"/>
      </w:rPr>
    </w:lvl>
    <w:lvl w:ilvl="3" w:tplc="3B324072" w:tentative="1">
      <w:start w:val="1"/>
      <w:numFmt w:val="bullet"/>
      <w:lvlText w:val=""/>
      <w:lvlJc w:val="left"/>
      <w:pPr>
        <w:tabs>
          <w:tab w:val="num" w:pos="2880"/>
        </w:tabs>
        <w:ind w:left="2880" w:hanging="360"/>
      </w:pPr>
      <w:rPr>
        <w:rFonts w:ascii="Symbol" w:hAnsi="Symbol" w:hint="default"/>
      </w:rPr>
    </w:lvl>
    <w:lvl w:ilvl="4" w:tplc="C3B453B2" w:tentative="1">
      <w:start w:val="1"/>
      <w:numFmt w:val="bullet"/>
      <w:lvlText w:val="o"/>
      <w:lvlJc w:val="left"/>
      <w:pPr>
        <w:tabs>
          <w:tab w:val="num" w:pos="3600"/>
        </w:tabs>
        <w:ind w:left="3600" w:hanging="360"/>
      </w:pPr>
      <w:rPr>
        <w:rFonts w:ascii="Courier New" w:hAnsi="Courier New" w:cs="Courier New" w:hint="default"/>
      </w:rPr>
    </w:lvl>
    <w:lvl w:ilvl="5" w:tplc="27E60A76" w:tentative="1">
      <w:start w:val="1"/>
      <w:numFmt w:val="bullet"/>
      <w:lvlText w:val=""/>
      <w:lvlJc w:val="left"/>
      <w:pPr>
        <w:tabs>
          <w:tab w:val="num" w:pos="4320"/>
        </w:tabs>
        <w:ind w:left="4320" w:hanging="360"/>
      </w:pPr>
      <w:rPr>
        <w:rFonts w:ascii="Wingdings" w:hAnsi="Wingdings" w:hint="default"/>
      </w:rPr>
    </w:lvl>
    <w:lvl w:ilvl="6" w:tplc="D01C6B24" w:tentative="1">
      <w:start w:val="1"/>
      <w:numFmt w:val="bullet"/>
      <w:lvlText w:val=""/>
      <w:lvlJc w:val="left"/>
      <w:pPr>
        <w:tabs>
          <w:tab w:val="num" w:pos="5040"/>
        </w:tabs>
        <w:ind w:left="5040" w:hanging="360"/>
      </w:pPr>
      <w:rPr>
        <w:rFonts w:ascii="Symbol" w:hAnsi="Symbol" w:hint="default"/>
      </w:rPr>
    </w:lvl>
    <w:lvl w:ilvl="7" w:tplc="AAF2723A" w:tentative="1">
      <w:start w:val="1"/>
      <w:numFmt w:val="bullet"/>
      <w:lvlText w:val="o"/>
      <w:lvlJc w:val="left"/>
      <w:pPr>
        <w:tabs>
          <w:tab w:val="num" w:pos="5760"/>
        </w:tabs>
        <w:ind w:left="5760" w:hanging="360"/>
      </w:pPr>
      <w:rPr>
        <w:rFonts w:ascii="Courier New" w:hAnsi="Courier New" w:cs="Courier New" w:hint="default"/>
      </w:rPr>
    </w:lvl>
    <w:lvl w:ilvl="8" w:tplc="92CE550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E7EEE88">
      <w:start w:val="1"/>
      <w:numFmt w:val="bullet"/>
      <w:lvlText w:val="­"/>
      <w:lvlJc w:val="left"/>
      <w:pPr>
        <w:tabs>
          <w:tab w:val="num" w:pos="720"/>
        </w:tabs>
        <w:ind w:left="720" w:hanging="360"/>
      </w:pPr>
      <w:rPr>
        <w:rFonts w:ascii="Courier New" w:hAnsi="Courier New" w:hint="default"/>
      </w:rPr>
    </w:lvl>
    <w:lvl w:ilvl="1" w:tplc="892CF820" w:tentative="1">
      <w:start w:val="1"/>
      <w:numFmt w:val="bullet"/>
      <w:lvlText w:val="o"/>
      <w:lvlJc w:val="left"/>
      <w:pPr>
        <w:tabs>
          <w:tab w:val="num" w:pos="1440"/>
        </w:tabs>
        <w:ind w:left="1440" w:hanging="360"/>
      </w:pPr>
      <w:rPr>
        <w:rFonts w:ascii="Courier New" w:hAnsi="Courier New" w:cs="Courier New" w:hint="default"/>
      </w:rPr>
    </w:lvl>
    <w:lvl w:ilvl="2" w:tplc="916C6878" w:tentative="1">
      <w:start w:val="1"/>
      <w:numFmt w:val="bullet"/>
      <w:lvlText w:val=""/>
      <w:lvlJc w:val="left"/>
      <w:pPr>
        <w:tabs>
          <w:tab w:val="num" w:pos="2160"/>
        </w:tabs>
        <w:ind w:left="2160" w:hanging="360"/>
      </w:pPr>
      <w:rPr>
        <w:rFonts w:ascii="Wingdings" w:hAnsi="Wingdings" w:hint="default"/>
      </w:rPr>
    </w:lvl>
    <w:lvl w:ilvl="3" w:tplc="391A2406" w:tentative="1">
      <w:start w:val="1"/>
      <w:numFmt w:val="bullet"/>
      <w:lvlText w:val=""/>
      <w:lvlJc w:val="left"/>
      <w:pPr>
        <w:tabs>
          <w:tab w:val="num" w:pos="2880"/>
        </w:tabs>
        <w:ind w:left="2880" w:hanging="360"/>
      </w:pPr>
      <w:rPr>
        <w:rFonts w:ascii="Symbol" w:hAnsi="Symbol" w:hint="default"/>
      </w:rPr>
    </w:lvl>
    <w:lvl w:ilvl="4" w:tplc="3E3E4324" w:tentative="1">
      <w:start w:val="1"/>
      <w:numFmt w:val="bullet"/>
      <w:lvlText w:val="o"/>
      <w:lvlJc w:val="left"/>
      <w:pPr>
        <w:tabs>
          <w:tab w:val="num" w:pos="3600"/>
        </w:tabs>
        <w:ind w:left="3600" w:hanging="360"/>
      </w:pPr>
      <w:rPr>
        <w:rFonts w:ascii="Courier New" w:hAnsi="Courier New" w:cs="Courier New" w:hint="default"/>
      </w:rPr>
    </w:lvl>
    <w:lvl w:ilvl="5" w:tplc="071E464C" w:tentative="1">
      <w:start w:val="1"/>
      <w:numFmt w:val="bullet"/>
      <w:lvlText w:val=""/>
      <w:lvlJc w:val="left"/>
      <w:pPr>
        <w:tabs>
          <w:tab w:val="num" w:pos="4320"/>
        </w:tabs>
        <w:ind w:left="4320" w:hanging="360"/>
      </w:pPr>
      <w:rPr>
        <w:rFonts w:ascii="Wingdings" w:hAnsi="Wingdings" w:hint="default"/>
      </w:rPr>
    </w:lvl>
    <w:lvl w:ilvl="6" w:tplc="4EF471BC" w:tentative="1">
      <w:start w:val="1"/>
      <w:numFmt w:val="bullet"/>
      <w:lvlText w:val=""/>
      <w:lvlJc w:val="left"/>
      <w:pPr>
        <w:tabs>
          <w:tab w:val="num" w:pos="5040"/>
        </w:tabs>
        <w:ind w:left="5040" w:hanging="360"/>
      </w:pPr>
      <w:rPr>
        <w:rFonts w:ascii="Symbol" w:hAnsi="Symbol" w:hint="default"/>
      </w:rPr>
    </w:lvl>
    <w:lvl w:ilvl="7" w:tplc="CD56FD7A" w:tentative="1">
      <w:start w:val="1"/>
      <w:numFmt w:val="bullet"/>
      <w:lvlText w:val="o"/>
      <w:lvlJc w:val="left"/>
      <w:pPr>
        <w:tabs>
          <w:tab w:val="num" w:pos="5760"/>
        </w:tabs>
        <w:ind w:left="5760" w:hanging="360"/>
      </w:pPr>
      <w:rPr>
        <w:rFonts w:ascii="Courier New" w:hAnsi="Courier New" w:cs="Courier New" w:hint="default"/>
      </w:rPr>
    </w:lvl>
    <w:lvl w:ilvl="8" w:tplc="D76E2E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442F2D6">
      <w:start w:val="1"/>
      <w:numFmt w:val="lowerRoman"/>
      <w:lvlText w:val="(%1)"/>
      <w:lvlJc w:val="left"/>
      <w:pPr>
        <w:tabs>
          <w:tab w:val="num" w:pos="2448"/>
        </w:tabs>
        <w:ind w:left="2448" w:hanging="648"/>
      </w:pPr>
      <w:rPr>
        <w:rFonts w:hint="default"/>
        <w:b w:val="0"/>
        <w:i w:val="0"/>
        <w:u w:val="none"/>
      </w:rPr>
    </w:lvl>
    <w:lvl w:ilvl="1" w:tplc="855ECFEE" w:tentative="1">
      <w:start w:val="1"/>
      <w:numFmt w:val="lowerLetter"/>
      <w:lvlText w:val="%2."/>
      <w:lvlJc w:val="left"/>
      <w:pPr>
        <w:tabs>
          <w:tab w:val="num" w:pos="1440"/>
        </w:tabs>
        <w:ind w:left="1440" w:hanging="360"/>
      </w:pPr>
    </w:lvl>
    <w:lvl w:ilvl="2" w:tplc="986AA46E" w:tentative="1">
      <w:start w:val="1"/>
      <w:numFmt w:val="lowerRoman"/>
      <w:lvlText w:val="%3."/>
      <w:lvlJc w:val="right"/>
      <w:pPr>
        <w:tabs>
          <w:tab w:val="num" w:pos="2160"/>
        </w:tabs>
        <w:ind w:left="2160" w:hanging="180"/>
      </w:pPr>
    </w:lvl>
    <w:lvl w:ilvl="3" w:tplc="83943656" w:tentative="1">
      <w:start w:val="1"/>
      <w:numFmt w:val="decimal"/>
      <w:lvlText w:val="%4."/>
      <w:lvlJc w:val="left"/>
      <w:pPr>
        <w:tabs>
          <w:tab w:val="num" w:pos="2880"/>
        </w:tabs>
        <w:ind w:left="2880" w:hanging="360"/>
      </w:pPr>
    </w:lvl>
    <w:lvl w:ilvl="4" w:tplc="108E8D54" w:tentative="1">
      <w:start w:val="1"/>
      <w:numFmt w:val="lowerLetter"/>
      <w:lvlText w:val="%5."/>
      <w:lvlJc w:val="left"/>
      <w:pPr>
        <w:tabs>
          <w:tab w:val="num" w:pos="3600"/>
        </w:tabs>
        <w:ind w:left="3600" w:hanging="360"/>
      </w:pPr>
    </w:lvl>
    <w:lvl w:ilvl="5" w:tplc="5F0A7D44" w:tentative="1">
      <w:start w:val="1"/>
      <w:numFmt w:val="lowerRoman"/>
      <w:lvlText w:val="%6."/>
      <w:lvlJc w:val="right"/>
      <w:pPr>
        <w:tabs>
          <w:tab w:val="num" w:pos="4320"/>
        </w:tabs>
        <w:ind w:left="4320" w:hanging="180"/>
      </w:pPr>
    </w:lvl>
    <w:lvl w:ilvl="6" w:tplc="2C2638A4" w:tentative="1">
      <w:start w:val="1"/>
      <w:numFmt w:val="decimal"/>
      <w:lvlText w:val="%7."/>
      <w:lvlJc w:val="left"/>
      <w:pPr>
        <w:tabs>
          <w:tab w:val="num" w:pos="5040"/>
        </w:tabs>
        <w:ind w:left="5040" w:hanging="360"/>
      </w:pPr>
    </w:lvl>
    <w:lvl w:ilvl="7" w:tplc="7388C816" w:tentative="1">
      <w:start w:val="1"/>
      <w:numFmt w:val="lowerLetter"/>
      <w:lvlText w:val="%8."/>
      <w:lvlJc w:val="left"/>
      <w:pPr>
        <w:tabs>
          <w:tab w:val="num" w:pos="5760"/>
        </w:tabs>
        <w:ind w:left="5760" w:hanging="360"/>
      </w:pPr>
    </w:lvl>
    <w:lvl w:ilvl="8" w:tplc="926A55A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A227E5A">
      <w:start w:val="1"/>
      <w:numFmt w:val="bullet"/>
      <w:lvlText w:val=""/>
      <w:lvlJc w:val="left"/>
      <w:pPr>
        <w:tabs>
          <w:tab w:val="num" w:pos="5760"/>
        </w:tabs>
        <w:ind w:left="5760" w:hanging="360"/>
      </w:pPr>
      <w:rPr>
        <w:rFonts w:ascii="Symbol" w:hAnsi="Symbol" w:hint="default"/>
        <w:color w:val="auto"/>
        <w:u w:val="none"/>
      </w:rPr>
    </w:lvl>
    <w:lvl w:ilvl="1" w:tplc="B164E9F2" w:tentative="1">
      <w:start w:val="1"/>
      <w:numFmt w:val="bullet"/>
      <w:lvlText w:val="o"/>
      <w:lvlJc w:val="left"/>
      <w:pPr>
        <w:tabs>
          <w:tab w:val="num" w:pos="3600"/>
        </w:tabs>
        <w:ind w:left="3600" w:hanging="360"/>
      </w:pPr>
      <w:rPr>
        <w:rFonts w:ascii="Courier New" w:hAnsi="Courier New" w:hint="default"/>
      </w:rPr>
    </w:lvl>
    <w:lvl w:ilvl="2" w:tplc="AD704FC2" w:tentative="1">
      <w:start w:val="1"/>
      <w:numFmt w:val="bullet"/>
      <w:lvlText w:val=""/>
      <w:lvlJc w:val="left"/>
      <w:pPr>
        <w:tabs>
          <w:tab w:val="num" w:pos="4320"/>
        </w:tabs>
        <w:ind w:left="4320" w:hanging="360"/>
      </w:pPr>
      <w:rPr>
        <w:rFonts w:ascii="Wingdings" w:hAnsi="Wingdings" w:hint="default"/>
      </w:rPr>
    </w:lvl>
    <w:lvl w:ilvl="3" w:tplc="237468B0">
      <w:start w:val="1"/>
      <w:numFmt w:val="bullet"/>
      <w:lvlText w:val=""/>
      <w:lvlJc w:val="left"/>
      <w:pPr>
        <w:tabs>
          <w:tab w:val="num" w:pos="5040"/>
        </w:tabs>
        <w:ind w:left="5040" w:hanging="360"/>
      </w:pPr>
      <w:rPr>
        <w:rFonts w:ascii="Symbol" w:hAnsi="Symbol" w:hint="default"/>
      </w:rPr>
    </w:lvl>
    <w:lvl w:ilvl="4" w:tplc="B8F871C6" w:tentative="1">
      <w:start w:val="1"/>
      <w:numFmt w:val="bullet"/>
      <w:lvlText w:val="o"/>
      <w:lvlJc w:val="left"/>
      <w:pPr>
        <w:tabs>
          <w:tab w:val="num" w:pos="5760"/>
        </w:tabs>
        <w:ind w:left="5760" w:hanging="360"/>
      </w:pPr>
      <w:rPr>
        <w:rFonts w:ascii="Courier New" w:hAnsi="Courier New" w:hint="default"/>
      </w:rPr>
    </w:lvl>
    <w:lvl w:ilvl="5" w:tplc="2EF036E4" w:tentative="1">
      <w:start w:val="1"/>
      <w:numFmt w:val="bullet"/>
      <w:lvlText w:val=""/>
      <w:lvlJc w:val="left"/>
      <w:pPr>
        <w:tabs>
          <w:tab w:val="num" w:pos="6480"/>
        </w:tabs>
        <w:ind w:left="6480" w:hanging="360"/>
      </w:pPr>
      <w:rPr>
        <w:rFonts w:ascii="Wingdings" w:hAnsi="Wingdings" w:hint="default"/>
      </w:rPr>
    </w:lvl>
    <w:lvl w:ilvl="6" w:tplc="0F768726" w:tentative="1">
      <w:start w:val="1"/>
      <w:numFmt w:val="bullet"/>
      <w:lvlText w:val=""/>
      <w:lvlJc w:val="left"/>
      <w:pPr>
        <w:tabs>
          <w:tab w:val="num" w:pos="7200"/>
        </w:tabs>
        <w:ind w:left="7200" w:hanging="360"/>
      </w:pPr>
      <w:rPr>
        <w:rFonts w:ascii="Symbol" w:hAnsi="Symbol" w:hint="default"/>
      </w:rPr>
    </w:lvl>
    <w:lvl w:ilvl="7" w:tplc="5086B874" w:tentative="1">
      <w:start w:val="1"/>
      <w:numFmt w:val="bullet"/>
      <w:lvlText w:val="o"/>
      <w:lvlJc w:val="left"/>
      <w:pPr>
        <w:tabs>
          <w:tab w:val="num" w:pos="7920"/>
        </w:tabs>
        <w:ind w:left="7920" w:hanging="360"/>
      </w:pPr>
      <w:rPr>
        <w:rFonts w:ascii="Courier New" w:hAnsi="Courier New" w:hint="default"/>
      </w:rPr>
    </w:lvl>
    <w:lvl w:ilvl="8" w:tplc="E5847EE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32DB"/>
    <w:rsid w:val="00561C37"/>
    <w:rsid w:val="00BF32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2D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F32DB"/>
    <w:pPr>
      <w:keepNext/>
      <w:spacing w:line="480" w:lineRule="auto"/>
      <w:ind w:left="1440" w:right="-90" w:hanging="720"/>
      <w:outlineLvl w:val="4"/>
    </w:pPr>
    <w:rPr>
      <w:b/>
    </w:rPr>
  </w:style>
  <w:style w:type="paragraph" w:styleId="Heading6">
    <w:name w:val="heading 6"/>
    <w:basedOn w:val="Normal"/>
    <w:next w:val="Normal"/>
    <w:qFormat/>
    <w:rsid w:val="00BF32DB"/>
    <w:pPr>
      <w:keepNext/>
      <w:spacing w:line="480" w:lineRule="auto"/>
      <w:ind w:left="1080" w:right="-90" w:hanging="360"/>
      <w:outlineLvl w:val="5"/>
    </w:pPr>
    <w:rPr>
      <w:b/>
    </w:rPr>
  </w:style>
  <w:style w:type="paragraph" w:styleId="Heading7">
    <w:name w:val="heading 7"/>
    <w:basedOn w:val="Normal"/>
    <w:next w:val="Normal"/>
    <w:qFormat/>
    <w:rsid w:val="00BF32DB"/>
    <w:pPr>
      <w:keepNext/>
      <w:spacing w:line="480" w:lineRule="auto"/>
      <w:ind w:left="720" w:right="630"/>
      <w:outlineLvl w:val="6"/>
    </w:pPr>
    <w:rPr>
      <w:b/>
    </w:rPr>
  </w:style>
  <w:style w:type="paragraph" w:styleId="Heading8">
    <w:name w:val="heading 8"/>
    <w:basedOn w:val="Normal"/>
    <w:next w:val="Normal"/>
    <w:qFormat/>
    <w:rsid w:val="00BF32DB"/>
    <w:pPr>
      <w:keepNext/>
      <w:spacing w:line="480" w:lineRule="auto"/>
      <w:ind w:left="720" w:right="-90"/>
      <w:outlineLvl w:val="7"/>
    </w:pPr>
    <w:rPr>
      <w:b/>
    </w:rPr>
  </w:style>
  <w:style w:type="paragraph" w:styleId="Heading9">
    <w:name w:val="heading 9"/>
    <w:basedOn w:val="Normal"/>
    <w:next w:val="Normal"/>
    <w:qFormat/>
    <w:rsid w:val="00BF32D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F32D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F32DB"/>
    <w:pPr>
      <w:widowControl/>
      <w:tabs>
        <w:tab w:val="center" w:pos="4680"/>
        <w:tab w:val="right" w:pos="9360"/>
      </w:tabs>
    </w:pPr>
    <w:rPr>
      <w:snapToGrid/>
      <w:szCs w:val="24"/>
    </w:rPr>
  </w:style>
  <w:style w:type="paragraph" w:styleId="Date">
    <w:name w:val="Date"/>
    <w:basedOn w:val="Normal"/>
    <w:next w:val="Normal"/>
    <w:rsid w:val="00BF32D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