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FC014A" w:rsidP="00CA43B9">
      <w:pPr>
        <w:pStyle w:val="Heading2"/>
      </w:pPr>
      <w:bookmarkStart w:id="0" w:name="_Toc261444337"/>
      <w:r>
        <w:t>1.15</w:t>
      </w:r>
      <w:r>
        <w:tab/>
        <w:t>Definitions - O</w:t>
      </w:r>
      <w:bookmarkEnd w:id="0"/>
    </w:p>
    <w:p w:rsidR="00A8398A" w:rsidRDefault="00FC014A"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FC014A"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Pr="00A9659B" w:rsidRDefault="00FC014A"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A8398A" w:rsidRPr="00A9659B" w:rsidRDefault="00FC014A" w:rsidP="00FE1767">
      <w:pPr>
        <w:pStyle w:val="Definition"/>
      </w:pPr>
      <w:r w:rsidRPr="00A9659B">
        <w:rPr>
          <w:b/>
        </w:rPr>
        <w:t>Operating Capacity:</w:t>
      </w:r>
      <w:r w:rsidRPr="00A9659B">
        <w:t xml:space="preserve">  Capacity that is readily converted to Energy and is measured in MW.</w:t>
      </w:r>
    </w:p>
    <w:p w:rsidR="00A8398A" w:rsidRPr="00A9659B" w:rsidRDefault="00FC014A" w:rsidP="00FE1767">
      <w:pPr>
        <w:pStyle w:val="Definition"/>
      </w:pPr>
      <w:r w:rsidRPr="00A9659B">
        <w:rPr>
          <w:b/>
        </w:rPr>
        <w:t>O</w:t>
      </w:r>
      <w:r w:rsidRPr="00A9659B">
        <w:rPr>
          <w:b/>
        </w:rPr>
        <w:t>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FC014A"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FC014A"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Article 4 and Rate Sched</w:t>
      </w:r>
      <w:r>
        <w:t xml:space="preserve">ule 4 of this ISO Services Tariff, to satisfy the various Operating Reserves requirements, including locational requirements, established by the Reliability rules and other applicable reliability standards.  The basic Operating Reserves products that will </w:t>
      </w:r>
      <w:r>
        <w:t>be procured by the ISO on behalf of the market are classified as follows:</w:t>
      </w:r>
    </w:p>
    <w:p w:rsidR="00A8398A" w:rsidRPr="000B2BA7" w:rsidRDefault="00FC014A"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 ISO Services Tarif</w:t>
      </w:r>
      <w:r>
        <w:t>f that are already synchronized to the NYS Power System and can respond to instructions to change their output level, or reduce t</w:t>
      </w:r>
      <w:r w:rsidRPr="004A7D7E">
        <w:t>heir Energy usage, within ten (10) minutes</w:t>
      </w:r>
      <w:r w:rsidRPr="000B2BA7">
        <w:t>.  Spinning Reserves may not be provided by Demand Side Resources that are Local Gene</w:t>
      </w:r>
      <w:r w:rsidRPr="000B2BA7">
        <w:t>rators;</w:t>
      </w:r>
    </w:p>
    <w:p w:rsidR="00C51100" w:rsidRDefault="00FC014A" w:rsidP="006E5482">
      <w:pPr>
        <w:pStyle w:val="Definitionindent"/>
      </w:pPr>
      <w:r>
        <w:t xml:space="preserve">(2) </w:t>
      </w:r>
      <w:r>
        <w:tab/>
      </w:r>
      <w:r>
        <w:t xml:space="preserve">10-Minute Non-Synchronized Reserve:  Operating Reserve provided </w:t>
      </w:r>
      <w:r w:rsidRPr="00D76A3F">
        <w:t>by Generators, or Demand Side Resources, including Demand Side Resources using Local Generators, that meet the eligibility criteria set forth in Rate Schedule</w:t>
      </w:r>
      <w:r>
        <w:t xml:space="preserve"> 4 of this ISO Servic</w:t>
      </w:r>
      <w:r>
        <w:t>es Tariff and that can be started, synchronized and can change their output level within ten (10) minutes; and</w:t>
      </w:r>
    </w:p>
    <w:p w:rsidR="00C51100" w:rsidRDefault="00FC014A" w:rsidP="006E5482">
      <w:pPr>
        <w:pStyle w:val="Definitionindent"/>
      </w:pPr>
      <w:r>
        <w:lastRenderedPageBreak/>
        <w:t xml:space="preserve">(3) </w:t>
      </w:r>
      <w:r>
        <w:tab/>
      </w:r>
      <w:r>
        <w:t xml:space="preserve">30-Minute Reserve:  Synchronized Operating Reserves provided by </w:t>
      </w:r>
      <w:r w:rsidRPr="00D76A3F">
        <w:t>Generators and Demand Side Resources that are not Local Generators; or non-</w:t>
      </w:r>
      <w:r>
        <w:t>s</w:t>
      </w:r>
      <w:r>
        <w:t xml:space="preserve">ynchronized Operating Reserves provided by Generators or Demand Side Resources that meet the eligibility criteria set forth in Rate Schedule 4 of this ISO Services Tariff and that can respond to instructions to change their output level within thirty (30) </w:t>
      </w:r>
      <w:r>
        <w:t>minutes, including starting and synchronizing to the NYS Power System.</w:t>
      </w:r>
    </w:p>
    <w:p w:rsidR="00C51100" w:rsidRDefault="00FC014A" w:rsidP="00FE1767">
      <w:pPr>
        <w:pStyle w:val="Definition"/>
        <w:rPr>
          <w:bCs/>
        </w:rPr>
      </w:pPr>
      <w:r>
        <w:rPr>
          <w:b/>
        </w:rPr>
        <w:t>Operating Reserve Demand Curve:</w:t>
      </w:r>
      <w:r>
        <w:rPr>
          <w:bCs/>
        </w:rPr>
        <w:t xml:space="preserve">  A series of quantity/price points that defines the maximum Shadow Price for Operating Reserves meeting a particular Operating Reserve requirement corres</w:t>
      </w:r>
      <w:r>
        <w:rPr>
          <w:bCs/>
        </w:rPr>
        <w:t>ponding to each possible quantity of Resources that the ISO’s software may schedule to meet that requirement.  A single Operating Reserve Demand Curve will apply to both the Day-Ahead Market and the Real-Time Market for each of the ISO’s nine Operating Res</w:t>
      </w:r>
      <w:r>
        <w:rPr>
          <w:bCs/>
        </w:rPr>
        <w:t>erve requirements.</w:t>
      </w:r>
    </w:p>
    <w:p w:rsidR="00C51100" w:rsidRDefault="00FC014A" w:rsidP="00FE1767">
      <w:pPr>
        <w:pStyle w:val="Definition"/>
      </w:pPr>
      <w:r>
        <w:rPr>
          <w:b/>
        </w:rPr>
        <w:t>Operating Study Power Flow</w:t>
      </w:r>
      <w:r>
        <w:t>: A Power Flow analysis that is performed at least once before each Capability Period that is used to determine each Interface Transfer Capability for the Capability Period (</w:t>
      </w:r>
      <w:r>
        <w:rPr>
          <w:u w:val="single"/>
        </w:rPr>
        <w:t>See</w:t>
      </w:r>
      <w:r>
        <w:t xml:space="preserve"> Attachment M).</w:t>
      </w:r>
    </w:p>
    <w:p w:rsidR="00345EB5" w:rsidRDefault="00FC014A" w:rsidP="00FE1767">
      <w:pPr>
        <w:pStyle w:val="Definition"/>
      </w:pPr>
      <w:r>
        <w:rPr>
          <w:b/>
        </w:rPr>
        <w:t xml:space="preserve">Operational Control:  </w:t>
      </w:r>
      <w:r>
        <w:t xml:space="preserve">Directing the operation of the Transmission Facilities Under ISO Operational Control to maintain these facilities in a reliable state, as defined by the Reliability Rules.  The ISO shall approve operational decisions concerning these </w:t>
      </w:r>
      <w:r>
        <w:t xml:space="preserve">facilities, made by each Transmission Owner before the Transmission Owner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w:t>
      </w:r>
      <w:r>
        <w:t>ional Control includes security</w:t>
      </w:r>
      <w:r>
        <w:t xml:space="preserve"> </w:t>
      </w:r>
      <w:r>
        <w:t>monitoring, adjustment of generation and transmission resources, coordination and approval of changes in transmission status for maintenance, determination of changes in transmission status for reliability, coordination with</w:t>
      </w:r>
      <w:r>
        <w:t xml:space="preserve"> other Control Areas, voltage reductions and Load Shedding, except that each Transmission Owner continues to physically operate and maintain its facilities.</w:t>
      </w:r>
    </w:p>
    <w:p w:rsidR="00345EB5" w:rsidRDefault="00FC014A" w:rsidP="00FE1767">
      <w:pPr>
        <w:pStyle w:val="Definition"/>
      </w:pPr>
      <w:r w:rsidRPr="008E5B36">
        <w:rPr>
          <w:b/>
          <w:bCs/>
        </w:rPr>
        <w:t>Optimal Power Flow (“OPF”):</w:t>
      </w:r>
      <w:r w:rsidRPr="008E5B36">
        <w:t xml:space="preserve"> The Power Flow analysis that is performed during the administration of </w:t>
      </w:r>
      <w:r w:rsidRPr="008E5B36">
        <w:t>the Centralized TCC Auction to determine the most efficient simultaneously feasible allocation of TCCs to bidders</w:t>
      </w:r>
      <w:r w:rsidRPr="008E5B36">
        <w:t>.</w:t>
      </w:r>
      <w:r w:rsidRPr="008E5B36">
        <w:t xml:space="preserve"> </w:t>
      </w:r>
    </w:p>
    <w:p w:rsidR="00345EB5" w:rsidRDefault="00FC014A" w:rsidP="00FE1767">
      <w:pPr>
        <w:pStyle w:val="Definition"/>
      </w:pPr>
      <w:r>
        <w:rPr>
          <w:b/>
          <w:bCs/>
        </w:rPr>
        <w:t>Original Residual TCC:</w:t>
      </w:r>
      <w:r>
        <w:t xml:space="preserve"> A TCC converted from Residual Transmission Capacity estimated prior to the first Centralized TCC Auction and allocate</w:t>
      </w:r>
      <w:r>
        <w:t>d among the Transmission Owners utilizing the Interface MW</w:t>
      </w:r>
      <w:r>
        <w:t>-</w:t>
      </w:r>
      <w:r>
        <w:t>Mile Methodology prior to the first Centralized TCC Auction.</w:t>
      </w:r>
    </w:p>
    <w:p w:rsidR="00345EB5" w:rsidRDefault="00FC014A"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Competition Through Open Access Non</w:t>
      </w:r>
      <w:r w:rsidRPr="00FF4F1F">
        <w:rPr>
          <w:u w:val="single"/>
        </w:rPr>
        <w:noBreakHyphen/>
        <w:t>discriminatory Transmission Ser</w:t>
      </w:r>
      <w:r w:rsidRPr="00FF4F1F">
        <w:rPr>
          <w:u w:val="single"/>
        </w:rPr>
        <w:t>vices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w:t>
      </w:r>
      <w:r>
        <w:lastRenderedPageBreak/>
        <w:t xml:space="preserve">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FC014A" w:rsidP="00FE1767">
      <w:pPr>
        <w:pStyle w:val="Definition"/>
      </w:pPr>
      <w:r>
        <w:rPr>
          <w:b/>
          <w:bCs/>
        </w:rPr>
        <w:t>Order</w:t>
      </w:r>
      <w:r>
        <w:rPr>
          <w:b/>
          <w:bCs/>
        </w:rPr>
        <w:t xml:space="preserve">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w:t>
      </w:r>
      <w:r>
        <w:t xml:space="preserve">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81 FERC ¶ 61,253 (1997) (“Order No. 889</w:t>
      </w:r>
      <w:r>
        <w:noBreakHyphen/>
        <w:t xml:space="preserve">B”)). </w:t>
      </w:r>
    </w:p>
    <w:p w:rsidR="00345EB5" w:rsidRPr="002573A4" w:rsidRDefault="00FC014A"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security constrained economic commitment and/or dispatch.</w:t>
      </w:r>
    </w:p>
    <w:p w:rsidR="00CA4F49" w:rsidRPr="00CA4F49" w:rsidRDefault="00FC014A"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587" w:rsidRDefault="006F4587" w:rsidP="006F4587">
      <w:r>
        <w:separator/>
      </w:r>
    </w:p>
  </w:endnote>
  <w:endnote w:type="continuationSeparator" w:id="0">
    <w:p w:rsidR="006F4587" w:rsidRDefault="006F4587" w:rsidP="006F45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87" w:rsidRDefault="00FC014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F4587">
      <w:rPr>
        <w:rFonts w:ascii="Arial" w:eastAsia="Arial" w:hAnsi="Arial" w:cs="Arial"/>
        <w:color w:val="000000"/>
        <w:sz w:val="16"/>
      </w:rPr>
      <w:fldChar w:fldCharType="begin"/>
    </w:r>
    <w:r>
      <w:rPr>
        <w:rFonts w:ascii="Arial" w:eastAsia="Arial" w:hAnsi="Arial" w:cs="Arial"/>
        <w:color w:val="000000"/>
        <w:sz w:val="16"/>
      </w:rPr>
      <w:instrText>PAGE</w:instrText>
    </w:r>
    <w:r w:rsidR="006F458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87" w:rsidRDefault="00FC014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F458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F458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87" w:rsidRDefault="00FC014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F4587">
      <w:rPr>
        <w:rFonts w:ascii="Arial" w:eastAsia="Arial" w:hAnsi="Arial" w:cs="Arial"/>
        <w:color w:val="000000"/>
        <w:sz w:val="16"/>
      </w:rPr>
      <w:fldChar w:fldCharType="begin"/>
    </w:r>
    <w:r>
      <w:rPr>
        <w:rFonts w:ascii="Arial" w:eastAsia="Arial" w:hAnsi="Arial" w:cs="Arial"/>
        <w:color w:val="000000"/>
        <w:sz w:val="16"/>
      </w:rPr>
      <w:instrText>PAGE</w:instrText>
    </w:r>
    <w:r w:rsidR="006F458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587" w:rsidRDefault="006F4587" w:rsidP="006F4587">
      <w:r>
        <w:separator/>
      </w:r>
    </w:p>
  </w:footnote>
  <w:footnote w:type="continuationSeparator" w:id="0">
    <w:p w:rsidR="006F4587" w:rsidRDefault="006F4587" w:rsidP="006F4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87" w:rsidRDefault="00FC014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87" w:rsidRDefault="00FC014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w:t>
    </w:r>
    <w:r>
      <w:rPr>
        <w:rFonts w:ascii="Arial" w:eastAsia="Arial" w:hAnsi="Arial" w:cs="Arial"/>
        <w:color w:val="000000"/>
        <w:sz w:val="16"/>
      </w:rPr>
      <w:t xml:space="preserve">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87" w:rsidRDefault="00FC014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1.15 OATT </w:t>
    </w:r>
    <w:r>
      <w:rPr>
        <w:rFonts w:ascii="Arial" w:eastAsia="Arial" w:hAnsi="Arial" w:cs="Arial"/>
        <w:color w:val="000000"/>
        <w:sz w:val="16"/>
      </w:rPr>
      <w:t>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02AE9FA">
      <w:start w:val="1"/>
      <w:numFmt w:val="bullet"/>
      <w:pStyle w:val="Bulletpara"/>
      <w:lvlText w:val=""/>
      <w:lvlJc w:val="left"/>
      <w:pPr>
        <w:tabs>
          <w:tab w:val="num" w:pos="720"/>
        </w:tabs>
        <w:ind w:left="720" w:hanging="360"/>
      </w:pPr>
      <w:rPr>
        <w:rFonts w:ascii="Symbol" w:hAnsi="Symbol" w:hint="default"/>
      </w:rPr>
    </w:lvl>
    <w:lvl w:ilvl="1" w:tplc="D8689608" w:tentative="1">
      <w:start w:val="1"/>
      <w:numFmt w:val="bullet"/>
      <w:lvlText w:val="o"/>
      <w:lvlJc w:val="left"/>
      <w:pPr>
        <w:tabs>
          <w:tab w:val="num" w:pos="1440"/>
        </w:tabs>
        <w:ind w:left="1440" w:hanging="360"/>
      </w:pPr>
      <w:rPr>
        <w:rFonts w:ascii="Courier New" w:hAnsi="Courier New" w:cs="Courier New" w:hint="default"/>
      </w:rPr>
    </w:lvl>
    <w:lvl w:ilvl="2" w:tplc="1F263ED0" w:tentative="1">
      <w:start w:val="1"/>
      <w:numFmt w:val="bullet"/>
      <w:lvlText w:val=""/>
      <w:lvlJc w:val="left"/>
      <w:pPr>
        <w:tabs>
          <w:tab w:val="num" w:pos="2160"/>
        </w:tabs>
        <w:ind w:left="2160" w:hanging="360"/>
      </w:pPr>
      <w:rPr>
        <w:rFonts w:ascii="Wingdings" w:hAnsi="Wingdings" w:hint="default"/>
      </w:rPr>
    </w:lvl>
    <w:lvl w:ilvl="3" w:tplc="075252F8" w:tentative="1">
      <w:start w:val="1"/>
      <w:numFmt w:val="bullet"/>
      <w:lvlText w:val=""/>
      <w:lvlJc w:val="left"/>
      <w:pPr>
        <w:tabs>
          <w:tab w:val="num" w:pos="2880"/>
        </w:tabs>
        <w:ind w:left="2880" w:hanging="360"/>
      </w:pPr>
      <w:rPr>
        <w:rFonts w:ascii="Symbol" w:hAnsi="Symbol" w:hint="default"/>
      </w:rPr>
    </w:lvl>
    <w:lvl w:ilvl="4" w:tplc="8ABA86F4" w:tentative="1">
      <w:start w:val="1"/>
      <w:numFmt w:val="bullet"/>
      <w:lvlText w:val="o"/>
      <w:lvlJc w:val="left"/>
      <w:pPr>
        <w:tabs>
          <w:tab w:val="num" w:pos="3600"/>
        </w:tabs>
        <w:ind w:left="3600" w:hanging="360"/>
      </w:pPr>
      <w:rPr>
        <w:rFonts w:ascii="Courier New" w:hAnsi="Courier New" w:cs="Courier New" w:hint="default"/>
      </w:rPr>
    </w:lvl>
    <w:lvl w:ilvl="5" w:tplc="CF5A5CA0" w:tentative="1">
      <w:start w:val="1"/>
      <w:numFmt w:val="bullet"/>
      <w:lvlText w:val=""/>
      <w:lvlJc w:val="left"/>
      <w:pPr>
        <w:tabs>
          <w:tab w:val="num" w:pos="4320"/>
        </w:tabs>
        <w:ind w:left="4320" w:hanging="360"/>
      </w:pPr>
      <w:rPr>
        <w:rFonts w:ascii="Wingdings" w:hAnsi="Wingdings" w:hint="default"/>
      </w:rPr>
    </w:lvl>
    <w:lvl w:ilvl="6" w:tplc="037E30E0" w:tentative="1">
      <w:start w:val="1"/>
      <w:numFmt w:val="bullet"/>
      <w:lvlText w:val=""/>
      <w:lvlJc w:val="left"/>
      <w:pPr>
        <w:tabs>
          <w:tab w:val="num" w:pos="5040"/>
        </w:tabs>
        <w:ind w:left="5040" w:hanging="360"/>
      </w:pPr>
      <w:rPr>
        <w:rFonts w:ascii="Symbol" w:hAnsi="Symbol" w:hint="default"/>
      </w:rPr>
    </w:lvl>
    <w:lvl w:ilvl="7" w:tplc="6668062C" w:tentative="1">
      <w:start w:val="1"/>
      <w:numFmt w:val="bullet"/>
      <w:lvlText w:val="o"/>
      <w:lvlJc w:val="left"/>
      <w:pPr>
        <w:tabs>
          <w:tab w:val="num" w:pos="5760"/>
        </w:tabs>
        <w:ind w:left="5760" w:hanging="360"/>
      </w:pPr>
      <w:rPr>
        <w:rFonts w:ascii="Courier New" w:hAnsi="Courier New" w:cs="Courier New" w:hint="default"/>
      </w:rPr>
    </w:lvl>
    <w:lvl w:ilvl="8" w:tplc="2E24A33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9DAEF6A">
      <w:start w:val="1"/>
      <w:numFmt w:val="bullet"/>
      <w:lvlText w:val="­"/>
      <w:lvlJc w:val="left"/>
      <w:pPr>
        <w:tabs>
          <w:tab w:val="num" w:pos="720"/>
        </w:tabs>
        <w:ind w:left="720" w:hanging="360"/>
      </w:pPr>
      <w:rPr>
        <w:rFonts w:ascii="Courier New" w:hAnsi="Courier New" w:hint="default"/>
      </w:rPr>
    </w:lvl>
    <w:lvl w:ilvl="1" w:tplc="56D0E5B0" w:tentative="1">
      <w:start w:val="1"/>
      <w:numFmt w:val="bullet"/>
      <w:lvlText w:val="o"/>
      <w:lvlJc w:val="left"/>
      <w:pPr>
        <w:tabs>
          <w:tab w:val="num" w:pos="1440"/>
        </w:tabs>
        <w:ind w:left="1440" w:hanging="360"/>
      </w:pPr>
      <w:rPr>
        <w:rFonts w:ascii="Courier New" w:hAnsi="Courier New" w:cs="Courier New" w:hint="default"/>
      </w:rPr>
    </w:lvl>
    <w:lvl w:ilvl="2" w:tplc="47EEEE18" w:tentative="1">
      <w:start w:val="1"/>
      <w:numFmt w:val="bullet"/>
      <w:lvlText w:val=""/>
      <w:lvlJc w:val="left"/>
      <w:pPr>
        <w:tabs>
          <w:tab w:val="num" w:pos="2160"/>
        </w:tabs>
        <w:ind w:left="2160" w:hanging="360"/>
      </w:pPr>
      <w:rPr>
        <w:rFonts w:ascii="Wingdings" w:hAnsi="Wingdings" w:hint="default"/>
      </w:rPr>
    </w:lvl>
    <w:lvl w:ilvl="3" w:tplc="B97439A4" w:tentative="1">
      <w:start w:val="1"/>
      <w:numFmt w:val="bullet"/>
      <w:lvlText w:val=""/>
      <w:lvlJc w:val="left"/>
      <w:pPr>
        <w:tabs>
          <w:tab w:val="num" w:pos="2880"/>
        </w:tabs>
        <w:ind w:left="2880" w:hanging="360"/>
      </w:pPr>
      <w:rPr>
        <w:rFonts w:ascii="Symbol" w:hAnsi="Symbol" w:hint="default"/>
      </w:rPr>
    </w:lvl>
    <w:lvl w:ilvl="4" w:tplc="9E9426B6" w:tentative="1">
      <w:start w:val="1"/>
      <w:numFmt w:val="bullet"/>
      <w:lvlText w:val="o"/>
      <w:lvlJc w:val="left"/>
      <w:pPr>
        <w:tabs>
          <w:tab w:val="num" w:pos="3600"/>
        </w:tabs>
        <w:ind w:left="3600" w:hanging="360"/>
      </w:pPr>
      <w:rPr>
        <w:rFonts w:ascii="Courier New" w:hAnsi="Courier New" w:cs="Courier New" w:hint="default"/>
      </w:rPr>
    </w:lvl>
    <w:lvl w:ilvl="5" w:tplc="69B47530" w:tentative="1">
      <w:start w:val="1"/>
      <w:numFmt w:val="bullet"/>
      <w:lvlText w:val=""/>
      <w:lvlJc w:val="left"/>
      <w:pPr>
        <w:tabs>
          <w:tab w:val="num" w:pos="4320"/>
        </w:tabs>
        <w:ind w:left="4320" w:hanging="360"/>
      </w:pPr>
      <w:rPr>
        <w:rFonts w:ascii="Wingdings" w:hAnsi="Wingdings" w:hint="default"/>
      </w:rPr>
    </w:lvl>
    <w:lvl w:ilvl="6" w:tplc="349476CE" w:tentative="1">
      <w:start w:val="1"/>
      <w:numFmt w:val="bullet"/>
      <w:lvlText w:val=""/>
      <w:lvlJc w:val="left"/>
      <w:pPr>
        <w:tabs>
          <w:tab w:val="num" w:pos="5040"/>
        </w:tabs>
        <w:ind w:left="5040" w:hanging="360"/>
      </w:pPr>
      <w:rPr>
        <w:rFonts w:ascii="Symbol" w:hAnsi="Symbol" w:hint="default"/>
      </w:rPr>
    </w:lvl>
    <w:lvl w:ilvl="7" w:tplc="44FCE634" w:tentative="1">
      <w:start w:val="1"/>
      <w:numFmt w:val="bullet"/>
      <w:lvlText w:val="o"/>
      <w:lvlJc w:val="left"/>
      <w:pPr>
        <w:tabs>
          <w:tab w:val="num" w:pos="5760"/>
        </w:tabs>
        <w:ind w:left="5760" w:hanging="360"/>
      </w:pPr>
      <w:rPr>
        <w:rFonts w:ascii="Courier New" w:hAnsi="Courier New" w:cs="Courier New" w:hint="default"/>
      </w:rPr>
    </w:lvl>
    <w:lvl w:ilvl="8" w:tplc="F3B292A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CE28D62">
      <w:start w:val="1"/>
      <w:numFmt w:val="lowerRoman"/>
      <w:lvlText w:val="(%1)"/>
      <w:lvlJc w:val="left"/>
      <w:pPr>
        <w:tabs>
          <w:tab w:val="num" w:pos="2448"/>
        </w:tabs>
        <w:ind w:left="2448" w:hanging="648"/>
      </w:pPr>
      <w:rPr>
        <w:rFonts w:hint="default"/>
        <w:b w:val="0"/>
        <w:i w:val="0"/>
        <w:u w:val="none"/>
      </w:rPr>
    </w:lvl>
    <w:lvl w:ilvl="1" w:tplc="8F787E30" w:tentative="1">
      <w:start w:val="1"/>
      <w:numFmt w:val="lowerLetter"/>
      <w:lvlText w:val="%2."/>
      <w:lvlJc w:val="left"/>
      <w:pPr>
        <w:tabs>
          <w:tab w:val="num" w:pos="1440"/>
        </w:tabs>
        <w:ind w:left="1440" w:hanging="360"/>
      </w:pPr>
    </w:lvl>
    <w:lvl w:ilvl="2" w:tplc="5A48FB82" w:tentative="1">
      <w:start w:val="1"/>
      <w:numFmt w:val="lowerRoman"/>
      <w:lvlText w:val="%3."/>
      <w:lvlJc w:val="right"/>
      <w:pPr>
        <w:tabs>
          <w:tab w:val="num" w:pos="2160"/>
        </w:tabs>
        <w:ind w:left="2160" w:hanging="180"/>
      </w:pPr>
    </w:lvl>
    <w:lvl w:ilvl="3" w:tplc="75245280" w:tentative="1">
      <w:start w:val="1"/>
      <w:numFmt w:val="decimal"/>
      <w:lvlText w:val="%4."/>
      <w:lvlJc w:val="left"/>
      <w:pPr>
        <w:tabs>
          <w:tab w:val="num" w:pos="2880"/>
        </w:tabs>
        <w:ind w:left="2880" w:hanging="360"/>
      </w:pPr>
    </w:lvl>
    <w:lvl w:ilvl="4" w:tplc="8578C114" w:tentative="1">
      <w:start w:val="1"/>
      <w:numFmt w:val="lowerLetter"/>
      <w:lvlText w:val="%5."/>
      <w:lvlJc w:val="left"/>
      <w:pPr>
        <w:tabs>
          <w:tab w:val="num" w:pos="3600"/>
        </w:tabs>
        <w:ind w:left="3600" w:hanging="360"/>
      </w:pPr>
    </w:lvl>
    <w:lvl w:ilvl="5" w:tplc="C4DCE58E" w:tentative="1">
      <w:start w:val="1"/>
      <w:numFmt w:val="lowerRoman"/>
      <w:lvlText w:val="%6."/>
      <w:lvlJc w:val="right"/>
      <w:pPr>
        <w:tabs>
          <w:tab w:val="num" w:pos="4320"/>
        </w:tabs>
        <w:ind w:left="4320" w:hanging="180"/>
      </w:pPr>
    </w:lvl>
    <w:lvl w:ilvl="6" w:tplc="26F2723E" w:tentative="1">
      <w:start w:val="1"/>
      <w:numFmt w:val="decimal"/>
      <w:lvlText w:val="%7."/>
      <w:lvlJc w:val="left"/>
      <w:pPr>
        <w:tabs>
          <w:tab w:val="num" w:pos="5040"/>
        </w:tabs>
        <w:ind w:left="5040" w:hanging="360"/>
      </w:pPr>
    </w:lvl>
    <w:lvl w:ilvl="7" w:tplc="144044E2" w:tentative="1">
      <w:start w:val="1"/>
      <w:numFmt w:val="lowerLetter"/>
      <w:lvlText w:val="%8."/>
      <w:lvlJc w:val="left"/>
      <w:pPr>
        <w:tabs>
          <w:tab w:val="num" w:pos="5760"/>
        </w:tabs>
        <w:ind w:left="5760" w:hanging="360"/>
      </w:pPr>
    </w:lvl>
    <w:lvl w:ilvl="8" w:tplc="130AEA8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AC0B030">
      <w:start w:val="1"/>
      <w:numFmt w:val="bullet"/>
      <w:lvlText w:val=""/>
      <w:lvlJc w:val="left"/>
      <w:pPr>
        <w:tabs>
          <w:tab w:val="num" w:pos="5760"/>
        </w:tabs>
        <w:ind w:left="5760" w:hanging="360"/>
      </w:pPr>
      <w:rPr>
        <w:rFonts w:ascii="Symbol" w:hAnsi="Symbol" w:hint="default"/>
        <w:color w:val="auto"/>
        <w:u w:val="none"/>
      </w:rPr>
    </w:lvl>
    <w:lvl w:ilvl="1" w:tplc="A00C736E" w:tentative="1">
      <w:start w:val="1"/>
      <w:numFmt w:val="bullet"/>
      <w:lvlText w:val="o"/>
      <w:lvlJc w:val="left"/>
      <w:pPr>
        <w:tabs>
          <w:tab w:val="num" w:pos="3600"/>
        </w:tabs>
        <w:ind w:left="3600" w:hanging="360"/>
      </w:pPr>
      <w:rPr>
        <w:rFonts w:ascii="Courier New" w:hAnsi="Courier New" w:hint="default"/>
      </w:rPr>
    </w:lvl>
    <w:lvl w:ilvl="2" w:tplc="C23CFAB6" w:tentative="1">
      <w:start w:val="1"/>
      <w:numFmt w:val="bullet"/>
      <w:lvlText w:val=""/>
      <w:lvlJc w:val="left"/>
      <w:pPr>
        <w:tabs>
          <w:tab w:val="num" w:pos="4320"/>
        </w:tabs>
        <w:ind w:left="4320" w:hanging="360"/>
      </w:pPr>
      <w:rPr>
        <w:rFonts w:ascii="Wingdings" w:hAnsi="Wingdings" w:hint="default"/>
      </w:rPr>
    </w:lvl>
    <w:lvl w:ilvl="3" w:tplc="A1AA6660">
      <w:start w:val="1"/>
      <w:numFmt w:val="bullet"/>
      <w:lvlText w:val=""/>
      <w:lvlJc w:val="left"/>
      <w:pPr>
        <w:tabs>
          <w:tab w:val="num" w:pos="5040"/>
        </w:tabs>
        <w:ind w:left="5040" w:hanging="360"/>
      </w:pPr>
      <w:rPr>
        <w:rFonts w:ascii="Symbol" w:hAnsi="Symbol" w:hint="default"/>
      </w:rPr>
    </w:lvl>
    <w:lvl w:ilvl="4" w:tplc="D4206AF6" w:tentative="1">
      <w:start w:val="1"/>
      <w:numFmt w:val="bullet"/>
      <w:lvlText w:val="o"/>
      <w:lvlJc w:val="left"/>
      <w:pPr>
        <w:tabs>
          <w:tab w:val="num" w:pos="5760"/>
        </w:tabs>
        <w:ind w:left="5760" w:hanging="360"/>
      </w:pPr>
      <w:rPr>
        <w:rFonts w:ascii="Courier New" w:hAnsi="Courier New" w:hint="default"/>
      </w:rPr>
    </w:lvl>
    <w:lvl w:ilvl="5" w:tplc="DD1408CE" w:tentative="1">
      <w:start w:val="1"/>
      <w:numFmt w:val="bullet"/>
      <w:lvlText w:val=""/>
      <w:lvlJc w:val="left"/>
      <w:pPr>
        <w:tabs>
          <w:tab w:val="num" w:pos="6480"/>
        </w:tabs>
        <w:ind w:left="6480" w:hanging="360"/>
      </w:pPr>
      <w:rPr>
        <w:rFonts w:ascii="Wingdings" w:hAnsi="Wingdings" w:hint="default"/>
      </w:rPr>
    </w:lvl>
    <w:lvl w:ilvl="6" w:tplc="420636A8" w:tentative="1">
      <w:start w:val="1"/>
      <w:numFmt w:val="bullet"/>
      <w:lvlText w:val=""/>
      <w:lvlJc w:val="left"/>
      <w:pPr>
        <w:tabs>
          <w:tab w:val="num" w:pos="7200"/>
        </w:tabs>
        <w:ind w:left="7200" w:hanging="360"/>
      </w:pPr>
      <w:rPr>
        <w:rFonts w:ascii="Symbol" w:hAnsi="Symbol" w:hint="default"/>
      </w:rPr>
    </w:lvl>
    <w:lvl w:ilvl="7" w:tplc="206E7920" w:tentative="1">
      <w:start w:val="1"/>
      <w:numFmt w:val="bullet"/>
      <w:lvlText w:val="o"/>
      <w:lvlJc w:val="left"/>
      <w:pPr>
        <w:tabs>
          <w:tab w:val="num" w:pos="7920"/>
        </w:tabs>
        <w:ind w:left="7920" w:hanging="360"/>
      </w:pPr>
      <w:rPr>
        <w:rFonts w:ascii="Courier New" w:hAnsi="Courier New" w:hint="default"/>
      </w:rPr>
    </w:lvl>
    <w:lvl w:ilvl="8" w:tplc="285A591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4587"/>
    <w:rsid w:val="006F4587"/>
    <w:rsid w:val="00FC01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587"/>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6F4587"/>
    <w:pPr>
      <w:keepNext/>
      <w:spacing w:line="480" w:lineRule="auto"/>
      <w:ind w:left="1440" w:right="-90" w:hanging="720"/>
      <w:outlineLvl w:val="4"/>
    </w:pPr>
    <w:rPr>
      <w:b/>
    </w:rPr>
  </w:style>
  <w:style w:type="paragraph" w:styleId="Heading6">
    <w:name w:val="heading 6"/>
    <w:basedOn w:val="Normal"/>
    <w:next w:val="Normal"/>
    <w:qFormat/>
    <w:rsid w:val="006F4587"/>
    <w:pPr>
      <w:keepNext/>
      <w:spacing w:line="480" w:lineRule="auto"/>
      <w:ind w:left="1080" w:right="-90" w:hanging="360"/>
      <w:outlineLvl w:val="5"/>
    </w:pPr>
    <w:rPr>
      <w:b/>
    </w:rPr>
  </w:style>
  <w:style w:type="paragraph" w:styleId="Heading7">
    <w:name w:val="heading 7"/>
    <w:basedOn w:val="Normal"/>
    <w:next w:val="Normal"/>
    <w:qFormat/>
    <w:rsid w:val="006F4587"/>
    <w:pPr>
      <w:keepNext/>
      <w:spacing w:line="480" w:lineRule="auto"/>
      <w:ind w:left="720" w:right="630"/>
      <w:outlineLvl w:val="6"/>
    </w:pPr>
    <w:rPr>
      <w:b/>
    </w:rPr>
  </w:style>
  <w:style w:type="paragraph" w:styleId="Heading8">
    <w:name w:val="heading 8"/>
    <w:basedOn w:val="Normal"/>
    <w:next w:val="Normal"/>
    <w:qFormat/>
    <w:rsid w:val="006F4587"/>
    <w:pPr>
      <w:keepNext/>
      <w:spacing w:line="480" w:lineRule="auto"/>
      <w:ind w:left="720" w:right="-90"/>
      <w:outlineLvl w:val="7"/>
    </w:pPr>
    <w:rPr>
      <w:b/>
    </w:rPr>
  </w:style>
  <w:style w:type="paragraph" w:styleId="Heading9">
    <w:name w:val="heading 9"/>
    <w:basedOn w:val="Normal"/>
    <w:next w:val="Normal"/>
    <w:qFormat/>
    <w:rsid w:val="006F458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6F4587"/>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6F4587"/>
    <w:pPr>
      <w:widowControl/>
      <w:tabs>
        <w:tab w:val="center" w:pos="4680"/>
        <w:tab w:val="right" w:pos="9360"/>
      </w:tabs>
    </w:pPr>
    <w:rPr>
      <w:snapToGrid/>
      <w:szCs w:val="24"/>
    </w:rPr>
  </w:style>
  <w:style w:type="paragraph" w:styleId="Date">
    <w:name w:val="Date"/>
    <w:basedOn w:val="Normal"/>
    <w:next w:val="Normal"/>
    <w:rsid w:val="006F4587"/>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5392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2017-12-13T19:14:00Z</dcterms:created>
  <dcterms:modified xsi:type="dcterms:W3CDTF">2017-12-13T19:14:00Z</dcterms:modified>
</cp:coreProperties>
</file>