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35C" w:rsidRPr="0066094B" w:rsidRDefault="0050600D" w:rsidP="0002749F">
      <w:pPr>
        <w:pStyle w:val="Heading2"/>
        <w:pageBreakBefore/>
      </w:pPr>
      <w:bookmarkStart w:id="0" w:name="_Toc56827029"/>
      <w:bookmarkStart w:id="1" w:name="_Toc56827304"/>
      <w:bookmarkStart w:id="2" w:name="_Toc56827579"/>
      <w:bookmarkStart w:id="3" w:name="_Toc56830339"/>
      <w:bookmarkStart w:id="4" w:name="_Toc57111664"/>
      <w:bookmarkStart w:id="5" w:name="_Toc57111944"/>
      <w:bookmarkStart w:id="6" w:name="_Toc57365397"/>
      <w:bookmarkStart w:id="7" w:name="_Toc57365577"/>
      <w:bookmarkStart w:id="8" w:name="_Toc57366937"/>
      <w:bookmarkStart w:id="9" w:name="_Toc57367043"/>
      <w:bookmarkStart w:id="10" w:name="_Toc57483152"/>
      <w:bookmarkStart w:id="11" w:name="_Toc58968505"/>
      <w:bookmarkStart w:id="12" w:name="_Toc59813838"/>
      <w:bookmarkStart w:id="13" w:name="_Toc59967859"/>
      <w:bookmarkStart w:id="14" w:name="_Toc59970456"/>
      <w:bookmarkStart w:id="15" w:name="_Toc61695491"/>
      <w:bookmarkStart w:id="16" w:name="_Toc262657409"/>
      <w:r>
        <w:t>30.</w:t>
      </w:r>
      <w:r>
        <w:t>12</w:t>
      </w:r>
      <w:r w:rsidRPr="0066094B">
        <w:tab/>
        <w:t>Construction of Connecting Transmission Owner’s Attachment Facilities and System Facilities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FB035C" w:rsidRPr="00D638C4" w:rsidRDefault="0050600D" w:rsidP="003812A1">
      <w:pPr>
        <w:pStyle w:val="Heading3"/>
      </w:pPr>
      <w:bookmarkStart w:id="17" w:name="_Toc56827030"/>
      <w:bookmarkStart w:id="18" w:name="_Toc56827305"/>
      <w:bookmarkStart w:id="19" w:name="_Toc56827580"/>
      <w:bookmarkStart w:id="20" w:name="_Toc56830340"/>
      <w:bookmarkStart w:id="21" w:name="_Toc57111665"/>
      <w:bookmarkStart w:id="22" w:name="_Toc57111945"/>
      <w:bookmarkStart w:id="23" w:name="_Toc57365398"/>
      <w:bookmarkStart w:id="24" w:name="_Toc57365578"/>
      <w:bookmarkStart w:id="25" w:name="_Toc57366938"/>
      <w:bookmarkStart w:id="26" w:name="_Toc57367044"/>
      <w:bookmarkStart w:id="27" w:name="_Toc57483153"/>
      <w:bookmarkStart w:id="28" w:name="_Toc58968506"/>
      <w:bookmarkStart w:id="29" w:name="_Toc59813839"/>
      <w:bookmarkStart w:id="30" w:name="_Toc59967860"/>
      <w:bookmarkStart w:id="31" w:name="_Toc59970457"/>
      <w:bookmarkStart w:id="32" w:name="_Toc61695492"/>
      <w:bookmarkStart w:id="33" w:name="_Toc262657410"/>
      <w:r>
        <w:t>30.</w:t>
      </w:r>
      <w:r w:rsidRPr="00D638C4">
        <w:t>12.1</w:t>
      </w:r>
      <w:r w:rsidRPr="00D638C4">
        <w:tab/>
        <w:t>Schedule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:rsidR="00FB035C" w:rsidRPr="00D638C4" w:rsidRDefault="0050600D" w:rsidP="00F138FA">
      <w:pPr>
        <w:pStyle w:val="Bodypara"/>
      </w:pPr>
      <w:r w:rsidRPr="00D638C4">
        <w:t xml:space="preserve">The Connecting Transmission Owner and the Developer shall negotiate in good faith concerning a schedule for the construction of the </w:t>
      </w:r>
      <w:r w:rsidRPr="00D638C4">
        <w:t>Connecting Transmission Owner’s Attachment Facilities and the System Upgrade Facilities and the System Deliverability Upgrades.</w:t>
      </w:r>
    </w:p>
    <w:p w:rsidR="00FB035C" w:rsidRPr="009E0962" w:rsidRDefault="0050600D" w:rsidP="009E0962">
      <w:pPr>
        <w:pStyle w:val="Heading3"/>
      </w:pPr>
      <w:bookmarkStart w:id="34" w:name="_Toc56827031"/>
      <w:bookmarkStart w:id="35" w:name="_Toc56827306"/>
      <w:bookmarkStart w:id="36" w:name="_Toc56827581"/>
      <w:bookmarkStart w:id="37" w:name="_Toc56830341"/>
      <w:bookmarkStart w:id="38" w:name="_Toc57111666"/>
      <w:bookmarkStart w:id="39" w:name="_Toc57111946"/>
      <w:bookmarkStart w:id="40" w:name="_Toc57365399"/>
      <w:bookmarkStart w:id="41" w:name="_Toc57365579"/>
      <w:bookmarkStart w:id="42" w:name="_Toc57366939"/>
      <w:bookmarkStart w:id="43" w:name="_Toc57367045"/>
      <w:bookmarkStart w:id="44" w:name="_Toc57483154"/>
      <w:bookmarkStart w:id="45" w:name="_Toc58968507"/>
      <w:bookmarkStart w:id="46" w:name="_Toc59813840"/>
      <w:bookmarkStart w:id="47" w:name="_Toc59967861"/>
      <w:bookmarkStart w:id="48" w:name="_Toc59970458"/>
      <w:bookmarkStart w:id="49" w:name="_Toc61695493"/>
      <w:bookmarkStart w:id="50" w:name="_Toc262657411"/>
      <w:r>
        <w:t>30.</w:t>
      </w:r>
      <w:r w:rsidRPr="009E0962">
        <w:t>12.2</w:t>
      </w:r>
      <w:r w:rsidRPr="009E0962">
        <w:tab/>
        <w:t>Construction Sequencing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p w:rsidR="00FB035C" w:rsidRPr="009E0962" w:rsidRDefault="0050600D" w:rsidP="009E0962">
      <w:pPr>
        <w:pStyle w:val="Heading4"/>
      </w:pPr>
      <w:bookmarkStart w:id="51" w:name="_Toc56827032"/>
      <w:bookmarkStart w:id="52" w:name="_Toc56827307"/>
      <w:bookmarkStart w:id="53" w:name="_Toc56827582"/>
      <w:bookmarkStart w:id="54" w:name="_Toc56830342"/>
      <w:bookmarkStart w:id="55" w:name="_Toc57111667"/>
      <w:bookmarkStart w:id="56" w:name="_Toc57111947"/>
      <w:bookmarkStart w:id="57" w:name="_Toc57365400"/>
      <w:bookmarkStart w:id="58" w:name="_Toc57365580"/>
      <w:bookmarkStart w:id="59" w:name="_Toc57366940"/>
      <w:bookmarkStart w:id="60" w:name="_Toc262657412"/>
      <w:r>
        <w:t>30.</w:t>
      </w:r>
      <w:r w:rsidRPr="009E0962">
        <w:t>12.2.1</w:t>
      </w:r>
      <w:r w:rsidRPr="009E0962">
        <w:tab/>
        <w:t>General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 w:rsidR="00FB035C" w:rsidRPr="00D638C4" w:rsidRDefault="0050600D" w:rsidP="00F138FA">
      <w:pPr>
        <w:pStyle w:val="Bodypara"/>
      </w:pPr>
      <w:r w:rsidRPr="00D638C4">
        <w:t xml:space="preserve">In general, the In-Service Dates of the Developers in each Class Year seeking </w:t>
      </w:r>
      <w:r w:rsidRPr="00D638C4">
        <w:t>interconnection to the New York State Transmission System will determine the sequence of construction of System Upgrade Facilities and System Deliverability Upgrades.</w:t>
      </w:r>
    </w:p>
    <w:p w:rsidR="00FB035C" w:rsidRPr="009E0962" w:rsidRDefault="0050600D" w:rsidP="009E0962">
      <w:pPr>
        <w:pStyle w:val="Heading4"/>
      </w:pPr>
      <w:bookmarkStart w:id="61" w:name="_Toc56827033"/>
      <w:bookmarkStart w:id="62" w:name="_Toc56827308"/>
      <w:bookmarkStart w:id="63" w:name="_Toc56827583"/>
      <w:bookmarkStart w:id="64" w:name="_Toc56830343"/>
      <w:bookmarkStart w:id="65" w:name="_Toc57111668"/>
      <w:bookmarkStart w:id="66" w:name="_Toc57111948"/>
      <w:bookmarkStart w:id="67" w:name="_Toc57365401"/>
      <w:bookmarkStart w:id="68" w:name="_Toc57365581"/>
      <w:bookmarkStart w:id="69" w:name="_Toc57366941"/>
      <w:bookmarkStart w:id="70" w:name="_Toc262657413"/>
      <w:r>
        <w:t>30.</w:t>
      </w:r>
      <w:r w:rsidRPr="009E0962">
        <w:t>12.2.2</w:t>
      </w:r>
      <w:r w:rsidRPr="009E0962">
        <w:tab/>
        <w:t xml:space="preserve">Advance Construction of System Upgrade Facilities and System </w:t>
      </w:r>
      <w:r w:rsidRPr="00F138FA">
        <w:t>Deliverability</w:t>
      </w:r>
      <w:r w:rsidRPr="009E0962">
        <w:t xml:space="preserve"> Upg</w:t>
      </w:r>
      <w:r w:rsidRPr="009E0962">
        <w:t>rades that are an Obligation of an Entity other than the Developer</w:t>
      </w:r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</w:p>
    <w:p w:rsidR="00FB035C" w:rsidRPr="00D638C4" w:rsidRDefault="0050600D" w:rsidP="00F138FA">
      <w:pPr>
        <w:pStyle w:val="Bodypara"/>
      </w:pPr>
      <w:r w:rsidRPr="00D638C4">
        <w:t>A Developer with a Standard Large Generator Interconnection Agreement, in order to maintain its In-Service Date, may request that the Connecting Transmission Owner advance to the extent nec</w:t>
      </w:r>
      <w:r w:rsidRPr="00D638C4">
        <w:t xml:space="preserve">essary the completion of System Upgrade Facilities, and System Deliverability Upgrades that: (i) were assumed in the Interconnection Studies for such Developer, (ii) are necessary to support </w:t>
      </w:r>
      <w:r w:rsidRPr="00FB035C">
        <w:t>such In-Service Date, and (iii) would otherwise not be completed,</w:t>
      </w:r>
      <w:r w:rsidRPr="00FB035C">
        <w:t xml:space="preserve"> pursuant to a contractual obligation of an entity other than the </w:t>
      </w:r>
      <w:r w:rsidRPr="00D638C4">
        <w:t>Developer that is seeking interconnection to the New York State Transmission System, in time to support such In-Service Date.  Upon such request, Connecting Transmission Owner will use Reaso</w:t>
      </w:r>
      <w:r w:rsidRPr="00D638C4">
        <w:t>nable Efforts to advance the construction of such System Upgrade Facilities and System Deliverability Upgrades to accommodate such request; provided that the Developer commits in writing to pay Connecting Transmission Owner any associated expediting costs.</w:t>
      </w:r>
    </w:p>
    <w:p w:rsidR="00FB035C" w:rsidRPr="009E0962" w:rsidRDefault="0050600D" w:rsidP="009E0962">
      <w:pPr>
        <w:pStyle w:val="Heading4"/>
      </w:pPr>
      <w:bookmarkStart w:id="71" w:name="_Toc56827034"/>
      <w:bookmarkStart w:id="72" w:name="_Toc56827309"/>
      <w:bookmarkStart w:id="73" w:name="_Toc56827584"/>
      <w:bookmarkStart w:id="74" w:name="_Toc56830344"/>
      <w:bookmarkStart w:id="75" w:name="_Toc57111669"/>
      <w:bookmarkStart w:id="76" w:name="_Toc57111949"/>
      <w:bookmarkStart w:id="77" w:name="_Toc57365402"/>
      <w:bookmarkStart w:id="78" w:name="_Toc57365582"/>
      <w:bookmarkStart w:id="79" w:name="_Toc57366942"/>
      <w:bookmarkStart w:id="80" w:name="_Toc262657414"/>
      <w:r>
        <w:lastRenderedPageBreak/>
        <w:t>30.</w:t>
      </w:r>
      <w:r w:rsidRPr="009E0962">
        <w:t>12.2.3</w:t>
      </w:r>
      <w:r w:rsidRPr="009E0962">
        <w:tab/>
        <w:t xml:space="preserve">Advancing Construction of System Upgrade Facilities or System Deliverability Upgrades that are Part of an Expansion Plan of the NYISO </w:t>
      </w:r>
      <w:r w:rsidRPr="00F138FA">
        <w:t>or</w:t>
      </w:r>
      <w:r w:rsidRPr="009E0962">
        <w:t xml:space="preserve"> Connecting Transmission Owner</w:t>
      </w:r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</w:p>
    <w:p w:rsidR="00FB035C" w:rsidRPr="001F6836" w:rsidRDefault="0050600D" w:rsidP="00F138FA">
      <w:pPr>
        <w:pStyle w:val="Bodypara"/>
      </w:pPr>
      <w:r w:rsidRPr="00D638C4">
        <w:t>A Developer with an Standard Large Generator Interconnection Agreement, in ord</w:t>
      </w:r>
      <w:r w:rsidRPr="00D638C4">
        <w:t>er to maintain its In-Service Date, may request th</w:t>
      </w:r>
      <w:r w:rsidRPr="00FB035C">
        <w:t xml:space="preserve">at </w:t>
      </w:r>
      <w:r w:rsidRPr="00D638C4">
        <w:t>the Connecting Transmission Owner advance to the extent necessary the completion of System Upgrade Facilities and System Deliverability Upgrades that: (i) are necessary to support such In-Service Date an</w:t>
      </w:r>
      <w:r w:rsidRPr="00D638C4">
        <w:t>d (ii) would otherwise not be completed, pursuant to an expansion plan of the NYISO or Connecting Transmission Owner, in time to support such In-Service Date.  Upon such request, Connecting Transmission</w:t>
      </w:r>
      <w:r w:rsidRPr="00FB035C">
        <w:t xml:space="preserve"> Owner will </w:t>
      </w:r>
      <w:r w:rsidRPr="00D638C4">
        <w:t>use Reasonable Efforts to advance the cons</w:t>
      </w:r>
      <w:r w:rsidRPr="00D638C4">
        <w:t>truction of such System Upgrade Facilities and System Deliverability Upgrades to accommodate such request; provided that th</w:t>
      </w:r>
      <w:r>
        <w:t xml:space="preserve">e </w:t>
      </w:r>
      <w:r w:rsidRPr="001F6836">
        <w:t xml:space="preserve">Developer commits in writing to pay Connecting Transmission Owner any associated expediting costs.  </w:t>
      </w:r>
    </w:p>
    <w:p w:rsidR="00FB035C" w:rsidRPr="001F6836" w:rsidRDefault="0050600D" w:rsidP="009E0962">
      <w:pPr>
        <w:pStyle w:val="Heading4"/>
      </w:pPr>
      <w:bookmarkStart w:id="81" w:name="_Toc262657415"/>
      <w:r>
        <w:t>30.</w:t>
      </w:r>
      <w:r w:rsidRPr="001F6836">
        <w:t>12.2.4</w:t>
      </w:r>
      <w:r w:rsidRPr="001F6836">
        <w:tab/>
        <w:t>Amended Interconnect</w:t>
      </w:r>
      <w:r w:rsidRPr="001F6836">
        <w:t>ion System Reliability Impact Study</w:t>
      </w:r>
      <w:bookmarkEnd w:id="81"/>
    </w:p>
    <w:p w:rsidR="00FB035C" w:rsidRPr="001F6836" w:rsidRDefault="0050600D" w:rsidP="00F138FA">
      <w:pPr>
        <w:pStyle w:val="Bodypara"/>
      </w:pPr>
      <w:r w:rsidRPr="001F6836">
        <w:t xml:space="preserve">An Interconnection System Reliability Impact Study will be amended to determine the facilities necessary to support the requested In-Service Date.  This amended study will include those transmission and Large Generating </w:t>
      </w:r>
      <w:r w:rsidRPr="001F6836">
        <w:t>Facilities that are expected to be in service on or before the requested In-Service Date.</w:t>
      </w:r>
    </w:p>
    <w:sectPr w:rsidR="00FB035C" w:rsidRPr="001F6836" w:rsidSect="00AA02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47B" w:rsidRDefault="0059747B" w:rsidP="0059747B">
      <w:pPr>
        <w:spacing w:after="0" w:line="240" w:lineRule="auto"/>
      </w:pPr>
      <w:r>
        <w:separator/>
      </w:r>
    </w:p>
  </w:endnote>
  <w:endnote w:type="continuationSeparator" w:id="0">
    <w:p w:rsidR="0059747B" w:rsidRDefault="0059747B" w:rsidP="00597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47B" w:rsidRDefault="0050600D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59747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9747B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47B" w:rsidRDefault="0050600D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59747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59747B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47B" w:rsidRDefault="0050600D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59747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9747B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47B" w:rsidRDefault="0059747B" w:rsidP="0059747B">
      <w:pPr>
        <w:spacing w:after="0" w:line="240" w:lineRule="auto"/>
      </w:pPr>
      <w:r>
        <w:separator/>
      </w:r>
    </w:p>
  </w:footnote>
  <w:footnote w:type="continuationSeparator" w:id="0">
    <w:p w:rsidR="0059747B" w:rsidRDefault="0059747B" w:rsidP="00597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47B" w:rsidRDefault="0050600D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30 OATT Attachment X - Standard Large F</w:t>
    </w:r>
    <w:r>
      <w:rPr>
        <w:rFonts w:ascii="Arial" w:eastAsia="Arial" w:hAnsi="Arial" w:cs="Arial"/>
        <w:color w:val="000000"/>
        <w:sz w:val="16"/>
      </w:rPr>
      <w:t>acility Interconnecti --&gt; 30.12 OATT Att X Construction of Connecting Transmission Own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47B" w:rsidRDefault="0050600D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30 OATT Attachment X - Standard Large Facility Interconnecti --&gt; 30.12 OATT Att X Construction of Connecting</w:t>
    </w:r>
    <w:r>
      <w:rPr>
        <w:rFonts w:ascii="Arial" w:eastAsia="Arial" w:hAnsi="Arial" w:cs="Arial"/>
        <w:color w:val="000000"/>
        <w:sz w:val="16"/>
      </w:rPr>
      <w:t xml:space="preserve"> Transmission Own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47B" w:rsidRDefault="0050600D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30 OATT Attachment X - Standard Large </w:t>
    </w:r>
    <w:r>
      <w:rPr>
        <w:rFonts w:ascii="Arial" w:eastAsia="Arial" w:hAnsi="Arial" w:cs="Arial"/>
        <w:color w:val="000000"/>
        <w:sz w:val="16"/>
      </w:rPr>
      <w:t>Facility Interconnecti --&gt; 30.12 OATT Att X Construction of Connecting Transmission Own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8343F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6F79C0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">
    <w:nsid w:val="0775374A"/>
    <w:multiLevelType w:val="hybridMultilevel"/>
    <w:tmpl w:val="F5EC19CC"/>
    <w:lvl w:ilvl="0" w:tplc="6C48824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184F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94AFD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E2C1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DC46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784E6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0445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3EBE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5A041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0A2169"/>
    <w:multiLevelType w:val="multilevel"/>
    <w:tmpl w:val="0E2C270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D8A1A7D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>
    <w:nsid w:val="1C1D4090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>
    <w:nsid w:val="1FDF6FFA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7">
    <w:nsid w:val="28DA71D1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8">
    <w:nsid w:val="2A43079F"/>
    <w:multiLevelType w:val="multilevel"/>
    <w:tmpl w:val="366ACD78"/>
    <w:lvl w:ilvl="0">
      <w:start w:val="2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>
    <w:nsid w:val="372A749B"/>
    <w:multiLevelType w:val="hybridMultilevel"/>
    <w:tmpl w:val="EBD879C0"/>
    <w:lvl w:ilvl="0" w:tplc="031A4C72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0DB4EE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BE58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4C7F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B466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78F2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1E39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94CF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9E94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3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4">
    <w:nsid w:val="3F304712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5">
    <w:nsid w:val="41AE733B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6">
    <w:nsid w:val="430F4DC8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46B71B17"/>
    <w:multiLevelType w:val="multilevel"/>
    <w:tmpl w:val="0E2C270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>
    <w:nsid w:val="4A8C2206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0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1">
    <w:nsid w:val="57616A8A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2">
    <w:nsid w:val="5E3721DA"/>
    <w:multiLevelType w:val="multilevel"/>
    <w:tmpl w:val="0E2C270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>
    <w:nsid w:val="671739E9"/>
    <w:multiLevelType w:val="hybridMultilevel"/>
    <w:tmpl w:val="B29C98A0"/>
    <w:lvl w:ilvl="0" w:tplc="6AA23D4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9AE261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E850F8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2342E0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B6BE15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28409B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606804B2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680C1F90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2DC65E26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4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5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6">
    <w:nsid w:val="702A3B68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7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8">
    <w:nsid w:val="78273EC4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9">
    <w:nsid w:val="7A962351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0">
    <w:nsid w:val="7ADD5345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1">
    <w:nsid w:val="7B2462A7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2">
    <w:nsid w:val="7B35687E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0"/>
  </w:num>
  <w:num w:numId="2">
    <w:abstractNumId w:val="5"/>
  </w:num>
  <w:num w:numId="3">
    <w:abstractNumId w:val="18"/>
  </w:num>
  <w:num w:numId="4">
    <w:abstractNumId w:val="15"/>
  </w:num>
  <w:num w:numId="5">
    <w:abstractNumId w:val="16"/>
  </w:num>
  <w:num w:numId="6">
    <w:abstractNumId w:val="32"/>
  </w:num>
  <w:num w:numId="7">
    <w:abstractNumId w:val="30"/>
  </w:num>
  <w:num w:numId="8">
    <w:abstractNumId w:val="28"/>
  </w:num>
  <w:num w:numId="9">
    <w:abstractNumId w:val="1"/>
  </w:num>
  <w:num w:numId="10">
    <w:abstractNumId w:val="29"/>
  </w:num>
  <w:num w:numId="11">
    <w:abstractNumId w:val="14"/>
  </w:num>
  <w:num w:numId="12">
    <w:abstractNumId w:val="7"/>
  </w:num>
  <w:num w:numId="13">
    <w:abstractNumId w:val="4"/>
  </w:num>
  <w:num w:numId="14">
    <w:abstractNumId w:val="26"/>
  </w:num>
  <w:num w:numId="15">
    <w:abstractNumId w:val="19"/>
  </w:num>
  <w:num w:numId="16">
    <w:abstractNumId w:val="21"/>
  </w:num>
  <w:num w:numId="17">
    <w:abstractNumId w:val="31"/>
  </w:num>
  <w:num w:numId="18">
    <w:abstractNumId w:val="6"/>
  </w:num>
  <w:num w:numId="19">
    <w:abstractNumId w:val="5"/>
  </w:num>
  <w:num w:numId="20">
    <w:abstractNumId w:val="5"/>
  </w:num>
  <w:num w:numId="21">
    <w:abstractNumId w:val="22"/>
  </w:num>
  <w:num w:numId="22">
    <w:abstractNumId w:val="3"/>
  </w:num>
  <w:num w:numId="23">
    <w:abstractNumId w:val="5"/>
  </w:num>
  <w:num w:numId="24">
    <w:abstractNumId w:val="8"/>
  </w:num>
  <w:num w:numId="25">
    <w:abstractNumId w:val="27"/>
  </w:num>
  <w:num w:numId="26">
    <w:abstractNumId w:val="11"/>
  </w:num>
  <w:num w:numId="27">
    <w:abstractNumId w:val="12"/>
  </w:num>
  <w:num w:numId="28">
    <w:abstractNumId w:val="24"/>
  </w:num>
  <w:num w:numId="29">
    <w:abstractNumId w:val="10"/>
  </w:num>
  <w:num w:numId="30">
    <w:abstractNumId w:val="25"/>
  </w:num>
  <w:num w:numId="31">
    <w:abstractNumId w:val="20"/>
  </w:num>
  <w:num w:numId="32">
    <w:abstractNumId w:val="17"/>
  </w:num>
  <w:num w:numId="33">
    <w:abstractNumId w:val="13"/>
  </w:num>
  <w:num w:numId="34">
    <w:abstractNumId w:val="2"/>
  </w:num>
  <w:num w:numId="35">
    <w:abstractNumId w:val="9"/>
  </w:num>
  <w:num w:numId="3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proofState w:spelling="clean" w:grammar="clean"/>
  <w:stylePaneFormatFilter w:val="3F01"/>
  <w:doNotTrackMoves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OCX97_66" w:val="GoodQuotes"/>
    <w:docVar w:name="SWAllFollowNumberWith" w:val="2|3|3|3|3|3|3|"/>
    <w:docVar w:name="SWAllLegalNumbering" w:val="0|1|0|0|0|0|0|"/>
    <w:docVar w:name="SWAllNumberFont" w:val="1|||10000000000000~~0|0|0|100|0|0|@@2|||10000000000000~~0|0|0|100|0|0|@@3|||10000000000000~~0|0|0|100|0|0|@@4|||10000000000000~~0|0|0|100|0|0|@@5|||00000000000000~~0|0|0|100|0|0|@@6|||00000000000000~~0|0|0|100|0|0|@@7|||00000000000000~~0|0|0|100|0|0|@@"/>
    <w:docVar w:name="SWAllNumberStyle" w:val="1|1|1|1|5|1|3|"/>
    <w:docVar w:name="SWAllRestartAfterHigher" w:val="1|1|1|1|1|1|1|"/>
    <w:docVar w:name="SWAllStyleThatFollows" w:val="Heading 2|Heading 2|Heading 3|Heading 4|Heading 5|Heading 6|Heading 7|"/>
    <w:docVar w:name="SWAllTextAfter" w:val=".||||)|)|)|"/>
    <w:docVar w:name="SWAllTextBefore" w:val="ARTICLEº|%1.|%1.%2.|%1.%2.%3.|(|(|(|"/>
    <w:docVar w:name="SWAllTOCLevels" w:val="2|Heading 1|.ºº|2|0|0|@@2|Heading 2|.ºº|2|0|0|@@0|Heading 3|.ºº|2|0|0|@@0|Heading 4|.ºº|2|0|0|@@0|Heading 5|.ºº|3|0|0|@@0|Heading 6|.ºº|3|0|0|@@0|Heading 7|.ºº|3|0|0|@@0|SWNone|.ºº|3|0|0|@@0|SWNone|.ºº|3|0|0|@@"/>
    <w:docVar w:name="SWAllTOCMisc" w:val="2|0|1|0|0|"/>
    <w:docVar w:name="SWConformFont" w:val="1|Arial|12"/>
    <w:docVar w:name="SWDocIDLocation" w:val="0"/>
    <w:docVar w:name="SWHdrFtrTextOverride" w:val="1"/>
    <w:docVar w:name="SWRunTOCUtility" w:val="0"/>
  </w:docVars>
  <w:rsids>
    <w:rsidRoot w:val="0059747B"/>
    <w:rsid w:val="0050600D"/>
    <w:rsid w:val="00597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75A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rsid w:val="00965676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965676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965676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965676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5676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965676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965676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965676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965676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65676"/>
    <w:rPr>
      <w:b/>
      <w:snapToGrid w:val="0"/>
      <w:sz w:val="24"/>
      <w:lang w:val="en-US" w:eastAsia="en-US" w:bidi="ar-SA"/>
    </w:rPr>
  </w:style>
  <w:style w:type="paragraph" w:styleId="FootnoteText">
    <w:name w:val="footnote text"/>
    <w:basedOn w:val="Normal"/>
    <w:semiHidden/>
    <w:rsid w:val="0059747B"/>
    <w:pPr>
      <w:spacing w:after="240"/>
      <w:ind w:firstLine="720"/>
    </w:pPr>
    <w:rPr>
      <w:szCs w:val="20"/>
    </w:rPr>
  </w:style>
  <w:style w:type="paragraph" w:styleId="ListBullet">
    <w:name w:val="List Bullet"/>
    <w:basedOn w:val="Normal"/>
    <w:rsid w:val="0059747B"/>
    <w:pPr>
      <w:numPr>
        <w:numId w:val="1"/>
      </w:numPr>
      <w:spacing w:after="240"/>
    </w:pPr>
  </w:style>
  <w:style w:type="character" w:styleId="FootnoteReference">
    <w:name w:val="footnote reference"/>
    <w:semiHidden/>
    <w:rsid w:val="00965676"/>
  </w:style>
  <w:style w:type="paragraph" w:styleId="TOC1">
    <w:name w:val="toc 1"/>
    <w:basedOn w:val="Normal"/>
    <w:next w:val="Normal"/>
    <w:semiHidden/>
    <w:rsid w:val="00965676"/>
  </w:style>
  <w:style w:type="paragraph" w:styleId="TOC2">
    <w:name w:val="toc 2"/>
    <w:basedOn w:val="Normal"/>
    <w:next w:val="Normal"/>
    <w:semiHidden/>
    <w:rsid w:val="00965676"/>
    <w:pPr>
      <w:ind w:left="240"/>
    </w:pPr>
  </w:style>
  <w:style w:type="paragraph" w:styleId="TOC3">
    <w:name w:val="toc 3"/>
    <w:basedOn w:val="Normal"/>
    <w:next w:val="Normal"/>
    <w:semiHidden/>
    <w:rsid w:val="00965676"/>
    <w:pPr>
      <w:ind w:left="480"/>
    </w:pPr>
  </w:style>
  <w:style w:type="paragraph" w:styleId="TOC4">
    <w:name w:val="toc 4"/>
    <w:basedOn w:val="Normal"/>
    <w:next w:val="Normal"/>
    <w:semiHidden/>
    <w:rsid w:val="00965676"/>
    <w:pPr>
      <w:ind w:left="720"/>
    </w:pPr>
  </w:style>
  <w:style w:type="paragraph" w:styleId="TOC5">
    <w:name w:val="toc 5"/>
    <w:basedOn w:val="Normal"/>
    <w:next w:val="Normal"/>
    <w:semiHidden/>
    <w:rsid w:val="0059747B"/>
    <w:pPr>
      <w:ind w:left="960"/>
    </w:pPr>
  </w:style>
  <w:style w:type="paragraph" w:styleId="TOC6">
    <w:name w:val="toc 6"/>
    <w:basedOn w:val="Normal"/>
    <w:next w:val="Normal"/>
    <w:semiHidden/>
    <w:rsid w:val="0059747B"/>
    <w:pPr>
      <w:ind w:left="1200"/>
    </w:pPr>
  </w:style>
  <w:style w:type="paragraph" w:styleId="TOC7">
    <w:name w:val="toc 7"/>
    <w:basedOn w:val="Normal"/>
    <w:next w:val="Normal"/>
    <w:semiHidden/>
    <w:rsid w:val="0059747B"/>
    <w:pPr>
      <w:ind w:left="1440"/>
    </w:pPr>
  </w:style>
  <w:style w:type="paragraph" w:styleId="TOC8">
    <w:name w:val="toc 8"/>
    <w:basedOn w:val="Normal"/>
    <w:next w:val="Normal"/>
    <w:semiHidden/>
    <w:rsid w:val="0059747B"/>
    <w:pPr>
      <w:ind w:left="1680"/>
    </w:pPr>
  </w:style>
  <w:style w:type="paragraph" w:styleId="TOC9">
    <w:name w:val="toc 9"/>
    <w:basedOn w:val="Normal"/>
    <w:next w:val="Normal"/>
    <w:semiHidden/>
    <w:rsid w:val="0059747B"/>
    <w:pPr>
      <w:ind w:left="1920"/>
    </w:pPr>
  </w:style>
  <w:style w:type="character" w:styleId="PageNumber">
    <w:name w:val="page number"/>
    <w:basedOn w:val="DefaultParagraphFont"/>
    <w:rsid w:val="0059747B"/>
  </w:style>
  <w:style w:type="paragraph" w:styleId="DocumentMap">
    <w:name w:val="Document Map"/>
    <w:basedOn w:val="Normal"/>
    <w:semiHidden/>
    <w:rsid w:val="00965676"/>
    <w:pPr>
      <w:shd w:val="clear" w:color="auto" w:fill="000080"/>
    </w:pPr>
    <w:rPr>
      <w:rFonts w:ascii="Tahoma" w:hAnsi="Tahoma" w:cs="Tahoma"/>
      <w:sz w:val="20"/>
    </w:rPr>
  </w:style>
  <w:style w:type="paragraph" w:styleId="EndnoteText">
    <w:name w:val="endnote text"/>
    <w:basedOn w:val="Normal"/>
    <w:semiHidden/>
    <w:rsid w:val="0059747B"/>
    <w:rPr>
      <w:sz w:val="20"/>
      <w:szCs w:val="20"/>
    </w:rPr>
  </w:style>
  <w:style w:type="paragraph" w:styleId="CommentText">
    <w:name w:val="annotation text"/>
    <w:basedOn w:val="Normal"/>
    <w:semiHidden/>
    <w:rsid w:val="0059747B"/>
    <w:rPr>
      <w:sz w:val="20"/>
      <w:szCs w:val="20"/>
    </w:rPr>
  </w:style>
  <w:style w:type="paragraph" w:customStyle="1" w:styleId="Numberpara">
    <w:name w:val="Number para"/>
    <w:basedOn w:val="Bodypara"/>
    <w:rsid w:val="00EF15CF"/>
    <w:pPr>
      <w:ind w:left="720" w:hanging="720"/>
    </w:pPr>
  </w:style>
  <w:style w:type="paragraph" w:customStyle="1" w:styleId="Level1">
    <w:name w:val="Level 1"/>
    <w:basedOn w:val="Normal"/>
    <w:rsid w:val="00965676"/>
    <w:pPr>
      <w:ind w:left="1890" w:hanging="720"/>
    </w:pPr>
  </w:style>
  <w:style w:type="paragraph" w:customStyle="1" w:styleId="Definition">
    <w:name w:val="Definition"/>
    <w:basedOn w:val="Normal"/>
    <w:rsid w:val="00965676"/>
    <w:pPr>
      <w:spacing w:before="240" w:after="240"/>
    </w:pPr>
  </w:style>
  <w:style w:type="paragraph" w:customStyle="1" w:styleId="Definitionindent">
    <w:name w:val="Definition indent"/>
    <w:basedOn w:val="Definition"/>
    <w:rsid w:val="00965676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965676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965676"/>
    <w:pPr>
      <w:ind w:left="1440" w:hanging="720"/>
    </w:pPr>
  </w:style>
  <w:style w:type="paragraph" w:customStyle="1" w:styleId="TOCheading">
    <w:name w:val="TOC heading"/>
    <w:basedOn w:val="Normal"/>
    <w:rsid w:val="00965676"/>
    <w:pPr>
      <w:spacing w:before="240" w:after="240"/>
    </w:pPr>
    <w:rPr>
      <w:b/>
    </w:rPr>
  </w:style>
  <w:style w:type="paragraph" w:styleId="BalloonText">
    <w:name w:val="Balloon Text"/>
    <w:basedOn w:val="Normal"/>
    <w:semiHidden/>
    <w:rsid w:val="00965676"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rsid w:val="00965676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965676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965676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965676"/>
    <w:pPr>
      <w:numPr>
        <w:numId w:val="34"/>
      </w:numPr>
      <w:tabs>
        <w:tab w:val="left" w:pos="900"/>
      </w:tabs>
      <w:spacing w:before="120" w:after="120"/>
    </w:pPr>
    <w:rPr>
      <w:szCs w:val="24"/>
    </w:rPr>
  </w:style>
  <w:style w:type="paragraph" w:customStyle="1" w:styleId="Tarifftitle">
    <w:name w:val="Tariff title"/>
    <w:basedOn w:val="Normal"/>
    <w:rsid w:val="00965676"/>
    <w:rPr>
      <w:b/>
      <w:sz w:val="28"/>
      <w:szCs w:val="28"/>
    </w:rPr>
  </w:style>
  <w:style w:type="character" w:styleId="Hyperlink">
    <w:name w:val="Hyperlink"/>
    <w:basedOn w:val="DefaultParagraphFont"/>
    <w:rsid w:val="00965676"/>
    <w:rPr>
      <w:color w:val="0000FF"/>
      <w:u w:val="single"/>
    </w:rPr>
  </w:style>
  <w:style w:type="paragraph" w:customStyle="1" w:styleId="appendixhead">
    <w:name w:val="appendix head"/>
    <w:basedOn w:val="Normal"/>
    <w:rsid w:val="00B54715"/>
    <w:pPr>
      <w:keepNext/>
      <w:pageBreakBefore/>
      <w:spacing w:before="240" w:after="240"/>
    </w:pPr>
    <w:rPr>
      <w:b/>
    </w:rPr>
  </w:style>
  <w:style w:type="character" w:customStyle="1" w:styleId="BodyparaChar">
    <w:name w:val="Body para Char"/>
    <w:basedOn w:val="DefaultParagraphFont"/>
    <w:link w:val="Bodypara"/>
    <w:rsid w:val="009E0962"/>
    <w:rPr>
      <w:snapToGrid w:val="0"/>
      <w:sz w:val="24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rsid w:val="00440DC3"/>
    <w:rPr>
      <w:b/>
      <w:snapToGrid w:val="0"/>
      <w:sz w:val="24"/>
      <w:lang w:val="en-US" w:eastAsia="en-US" w:bidi="ar-SA"/>
    </w:rPr>
  </w:style>
  <w:style w:type="paragraph" w:styleId="Header">
    <w:name w:val="header"/>
    <w:basedOn w:val="Normal"/>
    <w:rsid w:val="00965676"/>
    <w:pPr>
      <w:tabs>
        <w:tab w:val="center" w:pos="4680"/>
        <w:tab w:val="right" w:pos="9360"/>
      </w:tabs>
    </w:pPr>
    <w:rPr>
      <w:szCs w:val="24"/>
    </w:rPr>
  </w:style>
  <w:style w:type="paragraph" w:styleId="Date">
    <w:name w:val="Date"/>
    <w:basedOn w:val="Normal"/>
    <w:next w:val="Normal"/>
    <w:rsid w:val="00965676"/>
  </w:style>
  <w:style w:type="paragraph" w:customStyle="1" w:styleId="Footers">
    <w:name w:val="Footers"/>
    <w:basedOn w:val="Heading1"/>
    <w:rsid w:val="00965676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appendixsubhead">
    <w:name w:val="appendix subhead"/>
    <w:basedOn w:val="Heading4"/>
    <w:rsid w:val="0078281F"/>
    <w:pPr>
      <w:tabs>
        <w:tab w:val="clear" w:pos="1800"/>
      </w:tabs>
      <w:ind w:left="1080"/>
    </w:pPr>
  </w:style>
  <w:style w:type="paragraph" w:styleId="Footer">
    <w:name w:val="footer"/>
    <w:basedOn w:val="Normal"/>
    <w:rsid w:val="0002749F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2683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30</vt:lpstr>
    </vt:vector>
  </TitlesOfParts>
  <Company/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</dc:title>
  <cp:lastModifiedBy/>
  <cp:revision>1</cp:revision>
  <cp:lastPrinted>2010-05-26T22:13:00Z</cp:lastPrinted>
  <dcterms:created xsi:type="dcterms:W3CDTF">2017-12-13T19:25:00Z</dcterms:created>
  <dcterms:modified xsi:type="dcterms:W3CDTF">2017-12-13T19:25:00Z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</Properties>
</file>