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E0" w:rsidRPr="003D1BE4" w:rsidRDefault="00C6231E" w:rsidP="0063427A">
      <w:pPr>
        <w:pStyle w:val="Heading1"/>
      </w:pPr>
      <w:bookmarkStart w:id="0" w:name="_Toc260838485"/>
      <w:r>
        <w:rPr>
          <w:bCs/>
        </w:rPr>
        <w:t>2</w:t>
      </w:r>
      <w:r>
        <w:rPr>
          <w:bCs/>
        </w:rPr>
        <w:t>3</w:t>
      </w:r>
      <w:r>
        <w:rPr>
          <w:bCs/>
        </w:rPr>
        <w:tab/>
      </w:r>
      <w:r w:rsidRPr="003D1BE4">
        <w:rPr>
          <w:bCs/>
        </w:rPr>
        <w:t>Attachment Q</w:t>
      </w:r>
      <w:r>
        <w:rPr>
          <w:bCs/>
        </w:rPr>
        <w:t xml:space="preserve"> – </w:t>
      </w:r>
      <w:r w:rsidRPr="003D1BE4">
        <w:t xml:space="preserve">Procedures </w:t>
      </w:r>
      <w:r>
        <w:t>f</w:t>
      </w:r>
      <w:r w:rsidRPr="003D1BE4">
        <w:t>or</w:t>
      </w:r>
      <w:r>
        <w:t xml:space="preserve"> </w:t>
      </w:r>
      <w:r w:rsidRPr="003D1BE4">
        <w:t xml:space="preserve">Reserving </w:t>
      </w:r>
      <w:r>
        <w:t>a</w:t>
      </w:r>
      <w:r w:rsidRPr="003D1BE4">
        <w:t>nd Correcting</w:t>
      </w:r>
      <w:r>
        <w:t xml:space="preserve"> </w:t>
      </w:r>
      <w:r w:rsidRPr="003D1BE4">
        <w:t xml:space="preserve">Erroneous Energy </w:t>
      </w:r>
      <w:r>
        <w:t>a</w:t>
      </w:r>
      <w:r w:rsidRPr="003D1BE4">
        <w:t>nd Ancillary Services Prices</w:t>
      </w:r>
      <w:bookmarkEnd w:id="0"/>
    </w:p>
    <w:p w:rsidR="00706CE0" w:rsidRPr="003D1BE4" w:rsidRDefault="00C6231E" w:rsidP="009E31B9">
      <w:pPr>
        <w:pStyle w:val="Bodypara"/>
      </w:pPr>
      <w:r w:rsidRPr="003D1BE4">
        <w:t xml:space="preserve">The ISO shall review market clearing prices calculated for Energy and Ancillary Services and shall correct any price it determines not to have been </w:t>
      </w:r>
      <w:r w:rsidRPr="003D1BE4">
        <w:t>calculated in accordance with the ISO tariffs as established in this Attachment Q.   These provisions shall control the reservation and correction of Energy and Ancillary Services prices that are posted on OASIS and used in ISO settlements.</w:t>
      </w:r>
    </w:p>
    <w:p w:rsidR="00706CE0" w:rsidRPr="00EA61DF" w:rsidRDefault="00C6231E" w:rsidP="00EA61DF">
      <w:pPr>
        <w:pStyle w:val="subheadwH2formatting"/>
      </w:pPr>
      <w:bookmarkStart w:id="1" w:name="_Toc260838486"/>
      <w:r w:rsidRPr="00EA61DF">
        <w:lastRenderedPageBreak/>
        <w:t>23.</w:t>
      </w:r>
      <w:r w:rsidRPr="00EA61DF">
        <w:t>1</w:t>
      </w:r>
      <w:r w:rsidRPr="00EA61DF">
        <w:tab/>
        <w:t>Market Cle</w:t>
      </w:r>
      <w:r w:rsidRPr="00EA61DF">
        <w:t>aring Price Errors Requiring Correction</w:t>
      </w:r>
      <w:bookmarkEnd w:id="1"/>
    </w:p>
    <w:p w:rsidR="00706CE0" w:rsidRPr="003D1BE4" w:rsidRDefault="00C6231E" w:rsidP="009E31B9">
      <w:pPr>
        <w:pStyle w:val="Bodypara"/>
      </w:pPr>
      <w:r w:rsidRPr="003D1BE4">
        <w:t>To be determined in accordance with the ISO tariffs, an Energy and Ancillary Service clearing price must be: (i) calculated correctly according to the relevant provision(s) of the ISO tariffs and (ii) based on the ap</w:t>
      </w:r>
      <w:r w:rsidRPr="003D1BE4">
        <w:t>propriate price-setting resource (</w:t>
      </w:r>
      <w:r w:rsidRPr="003D1BE4">
        <w:rPr>
          <w:i/>
          <w:iCs/>
        </w:rPr>
        <w:t>i.e.</w:t>
      </w:r>
      <w:r w:rsidRPr="003D1BE4">
        <w:t>, the marginal resource, except as otherwise provided by the ISO tariffs).</w:t>
      </w:r>
    </w:p>
    <w:p w:rsidR="00706CE0" w:rsidRPr="003D1BE4" w:rsidRDefault="00C6231E" w:rsidP="009E31B9">
      <w:pPr>
        <w:pStyle w:val="Heading3"/>
      </w:pPr>
      <w:bookmarkStart w:id="2" w:name="_Toc260838487"/>
      <w:r>
        <w:t>23.</w:t>
      </w:r>
      <w:r>
        <w:t>1.1</w:t>
      </w:r>
      <w:r w:rsidRPr="003D1BE4">
        <w:tab/>
        <w:t>Calculation Errors</w:t>
      </w:r>
      <w:bookmarkEnd w:id="2"/>
    </w:p>
    <w:p w:rsidR="00706CE0" w:rsidRPr="003D1BE4" w:rsidRDefault="00C6231E" w:rsidP="0063427A">
      <w:pPr>
        <w:pStyle w:val="Bodypara"/>
      </w:pPr>
      <w:r w:rsidRPr="003D1BE4">
        <w:t>A calculation error occurs when, notwithstanding the selection of the correct price-setting unit, an Energy or Ancill</w:t>
      </w:r>
      <w:r w:rsidRPr="003D1BE4">
        <w:t>ary Service market clearing price is computed in a manner that is inconsistent with the ISO tariffs.  In addition, a calculation error occurs when no price is calculated or a price is not timely posted to OASIS.  Subject to the deadlines established in Sec</w:t>
      </w:r>
      <w:r w:rsidRPr="003D1BE4">
        <w:t>tion C of this Attachment Q, the ISO shall correct a price that it determines to have resulted from a calculation error.</w:t>
      </w:r>
    </w:p>
    <w:p w:rsidR="00706CE0" w:rsidRPr="009E31B9" w:rsidRDefault="00C6231E" w:rsidP="009E31B9">
      <w:pPr>
        <w:pStyle w:val="Heading3"/>
      </w:pPr>
      <w:bookmarkStart w:id="3" w:name="_Toc260838488"/>
      <w:r>
        <w:t>23.</w:t>
      </w:r>
      <w:r>
        <w:t>1.2</w:t>
      </w:r>
      <w:r w:rsidRPr="009E31B9">
        <w:tab/>
        <w:t>Errors in Selecting the Price-Setting Resource</w:t>
      </w:r>
      <w:bookmarkEnd w:id="3"/>
    </w:p>
    <w:p w:rsidR="00706CE0" w:rsidRPr="003D1BE4" w:rsidRDefault="00C6231E" w:rsidP="009E31B9">
      <w:pPr>
        <w:pStyle w:val="Bodypara"/>
      </w:pPr>
      <w:r w:rsidRPr="003D1BE4">
        <w:t>The ISO shall schedule, commit, and dispatch supply resources on a least total bi</w:t>
      </w:r>
      <w:r w:rsidRPr="003D1BE4">
        <w:t>d production cost basis.   An Energy or Ancillary Services market clearing price must be based on the appropriate price-setting resource (</w:t>
      </w:r>
      <w:r w:rsidRPr="003D1BE4">
        <w:rPr>
          <w:i/>
          <w:iCs/>
        </w:rPr>
        <w:t>i.e.</w:t>
      </w:r>
      <w:r w:rsidRPr="003D1BE4">
        <w:t>, the marginal resource, unless otherwise provided by the tariffs).  Subject to the deadlines established in Secti</w:t>
      </w:r>
      <w:r w:rsidRPr="003D1BE4">
        <w:t xml:space="preserve">on C of this Attachment Q, the ISO shall correct a price that it determines to have resulted from an error in selecting the appropriate price-setting resource. </w:t>
      </w:r>
    </w:p>
    <w:p w:rsidR="00706CE0" w:rsidRPr="003D1BE4" w:rsidRDefault="00C6231E" w:rsidP="0063427A">
      <w:pPr>
        <w:pStyle w:val="subheadwH2formatting"/>
      </w:pPr>
      <w:bookmarkStart w:id="4" w:name="_Toc260838489"/>
      <w:r>
        <w:lastRenderedPageBreak/>
        <w:t>23.</w:t>
      </w:r>
      <w:r>
        <w:t>2</w:t>
      </w:r>
      <w:r w:rsidRPr="003D1BE4">
        <w:tab/>
        <w:t>Methodology for Correcting Prices</w:t>
      </w:r>
      <w:bookmarkEnd w:id="4"/>
      <w:r w:rsidRPr="003D1BE4">
        <w:t xml:space="preserve"> </w:t>
      </w:r>
    </w:p>
    <w:p w:rsidR="00706CE0" w:rsidRPr="003D1BE4" w:rsidRDefault="00C6231E" w:rsidP="009E31B9">
      <w:pPr>
        <w:pStyle w:val="Bodypara"/>
      </w:pPr>
      <w:r w:rsidRPr="003D1BE4">
        <w:t>The ISO shall recalculate an erroneous price in accorda</w:t>
      </w:r>
      <w:r w:rsidRPr="003D1BE4">
        <w:t>nce with the relevant provision(s) of the ISO tariffs.  In the event that the ISO cannot practicably recalculate an erroneous price, due to the unavailability of necessary data or otherwise, the ISO shall determine a price as close as reasonably possible t</w:t>
      </w:r>
      <w:r w:rsidRPr="003D1BE4">
        <w:t xml:space="preserve">o the price that should have resulted from the operation of the relevant tariff provisions consistent with system conditions by drawing as appropriate from: (i) prices calculated for electrically similar points, (ii) prices in surrounding intervals, (iii) </w:t>
      </w:r>
      <w:r w:rsidRPr="003D1BE4">
        <w:t xml:space="preserve">Real-Time Commitment prices, (iv) Day-Ahead Market prices, or (v) Real-Time Dispatch prices for the affected interval(s).  </w:t>
      </w:r>
    </w:p>
    <w:p w:rsidR="007B63EE" w:rsidRDefault="00C6231E" w:rsidP="009E31B9">
      <w:pPr>
        <w:pStyle w:val="Bodypara"/>
      </w:pPr>
      <w:r>
        <w:t>In the event of a catastrophic failure of the ISO’s price calculation software, the ISO shall provide notice of the problem to the C</w:t>
      </w:r>
      <w:r>
        <w:t>ommission and Transmission Customers as soon as possible, but in no event later than</w:t>
      </w:r>
      <w:r>
        <w:t xml:space="preserve"> the next business day.  </w:t>
      </w:r>
      <w:r>
        <w:t>Within two additional business days, the ISO shall inform the Commission and Transmission Customers regarding the nature of the problem and the sch</w:t>
      </w:r>
      <w:r>
        <w:t>edule for determining the procedures to be used by the ISO to construct prices</w:t>
      </w:r>
      <w:r w:rsidRPr="00BD0E78">
        <w:t xml:space="preserve">.  Following consultation with Transmission Customers regarding the procedures to be used, the ISO shall construct prices </w:t>
      </w:r>
      <w:r>
        <w:t>as close as possible to the prices that should have resu</w:t>
      </w:r>
      <w:r>
        <w:t>lted from the application of the market rules established in the tariffs to prevailing system conditions.</w:t>
      </w:r>
    </w:p>
    <w:p w:rsidR="007B63EE" w:rsidRDefault="00C6231E" w:rsidP="0063427A">
      <w:pPr>
        <w:pStyle w:val="subheadwH2formatting"/>
      </w:pPr>
      <w:bookmarkStart w:id="5" w:name="_Toc260838490"/>
      <w:r>
        <w:t>23.</w:t>
      </w:r>
      <w:r>
        <w:t>3</w:t>
      </w:r>
      <w:r w:rsidRPr="0063427A">
        <w:tab/>
      </w:r>
      <w:r>
        <w:t>Deadlines for Price Corrections</w:t>
      </w:r>
      <w:bookmarkEnd w:id="5"/>
    </w:p>
    <w:p w:rsidR="007B63EE" w:rsidRDefault="00C6231E" w:rsidP="009E31B9">
      <w:pPr>
        <w:pStyle w:val="Bodypara"/>
      </w:pPr>
      <w:r>
        <w:t>The ISO shall provide notice reserving a potentially erroneous Real-Time Commitment or Real-Time Dispatch price n</w:t>
      </w:r>
      <w:r>
        <w:t xml:space="preserve">ot later than </w:t>
      </w:r>
      <w:smartTag w:uri="urn:schemas-microsoft-com:office:smarttags" w:element="time">
        <w:smartTagPr>
          <w:attr w:name="Hour" w:val="17"/>
          <w:attr w:name="Minute" w:val="0"/>
        </w:smartTagPr>
        <w:r>
          <w:t>17:00</w:t>
        </w:r>
      </w:smartTag>
      <w:r>
        <w:t xml:space="preserve"> of the calendar day following the operating day for which the price was calculated.  The ISO shall provide notice reserving a potentially erroneous Day-Ahead price prior to the start of the operating day for which the price was calculat</w:t>
      </w:r>
      <w:r>
        <w:t xml:space="preserve">ed. </w:t>
      </w:r>
    </w:p>
    <w:p w:rsidR="007B4130" w:rsidRDefault="00C6231E" w:rsidP="009E31B9">
      <w:pPr>
        <w:pStyle w:val="Bodypara"/>
      </w:pPr>
      <w:r>
        <w:t xml:space="preserve">The ISO shall correct a price it has timely reserved and determines to be erroneous and shall provide notice of the correction as soon as possible, but not later than </w:t>
      </w:r>
      <w:r w:rsidRPr="00BD0E78">
        <w:t xml:space="preserve">three </w:t>
      </w:r>
      <w:r>
        <w:t>days after the price reservation deadline.  Whenever possible, the ISO will make price corrections prior to the reservation deadline and will provide notice of those corrections along with the reservation notices.</w:t>
      </w:r>
    </w:p>
    <w:p w:rsidR="007B63EE" w:rsidRDefault="00C6231E" w:rsidP="009E31B9">
      <w:pPr>
        <w:pStyle w:val="Bodypara"/>
        <w:rPr>
          <w:sz w:val="20"/>
        </w:rPr>
      </w:pPr>
      <w:r>
        <w:t>Erroneous prices not reserved and correcte</w:t>
      </w:r>
      <w:r>
        <w:t xml:space="preserve">d within these timeframes shall not be corrected by the ISO except as directed by the Commission or a court of competent jurisdiction.  Nothing herein shall be construed to restrict any stakeholder’s right to seek redress from the Commission in accordance </w:t>
      </w:r>
      <w:r>
        <w:t>with the Federal Power Act.</w:t>
      </w:r>
    </w:p>
    <w:p w:rsidR="007B63EE" w:rsidRPr="00BD0E78" w:rsidRDefault="00C6231E" w:rsidP="0063427A">
      <w:pPr>
        <w:pStyle w:val="subheadwH2formatting"/>
      </w:pPr>
      <w:bookmarkStart w:id="6" w:name="_Toc260838491"/>
      <w:r>
        <w:t>23.</w:t>
      </w:r>
      <w:r>
        <w:t>4</w:t>
      </w:r>
      <w:r w:rsidRPr="00BD0E78">
        <w:tab/>
        <w:t>Reporting Requirements</w:t>
      </w:r>
      <w:bookmarkEnd w:id="6"/>
    </w:p>
    <w:p w:rsidR="007B63EE" w:rsidRPr="00BD0E78" w:rsidRDefault="00C6231E" w:rsidP="009E31B9">
      <w:pPr>
        <w:pStyle w:val="Bodypara"/>
      </w:pPr>
      <w:r w:rsidRPr="00BD0E78">
        <w:t>In the event that the ISO corrects a price, it shall provide Transmission Custom</w:t>
      </w:r>
      <w:r>
        <w:t>ers with</w:t>
      </w:r>
      <w:r w:rsidRPr="00BD0E78">
        <w:rPr>
          <w:strike/>
        </w:rPr>
        <w:t xml:space="preserve"> </w:t>
      </w:r>
      <w:r w:rsidRPr="00BD0E78">
        <w:t>supporting tariff references and information regarding:</w:t>
      </w:r>
    </w:p>
    <w:p w:rsidR="007B63EE" w:rsidRPr="00BD0E78" w:rsidRDefault="00C6231E" w:rsidP="009E31B9">
      <w:pPr>
        <w:pStyle w:val="romannumeralpara"/>
      </w:pPr>
      <w:r w:rsidRPr="00BD0E78">
        <w:t>(i)  the affected price intervals;</w:t>
      </w:r>
    </w:p>
    <w:p w:rsidR="007B63EE" w:rsidRPr="00BD0E78" w:rsidRDefault="00C6231E" w:rsidP="009E31B9">
      <w:pPr>
        <w:pStyle w:val="romannumeralpara"/>
      </w:pPr>
      <w:r w:rsidRPr="00BD0E78">
        <w:t>(ii)  the affected L</w:t>
      </w:r>
      <w:r w:rsidRPr="00BD0E78">
        <w:t>BMP zone(s);</w:t>
      </w:r>
    </w:p>
    <w:p w:rsidR="007B63EE" w:rsidRPr="00BD0E78" w:rsidRDefault="00C6231E" w:rsidP="009E31B9">
      <w:pPr>
        <w:pStyle w:val="romannumeralpara"/>
      </w:pPr>
      <w:r w:rsidRPr="00BD0E78">
        <w:t>(iii)  the type of pricing error (either a calculation error or an error in selecting the price-setting resource);</w:t>
      </w:r>
    </w:p>
    <w:p w:rsidR="007B63EE" w:rsidRPr="00BD0E78" w:rsidRDefault="00C6231E" w:rsidP="009E31B9">
      <w:pPr>
        <w:pStyle w:val="romannumeralpara"/>
      </w:pPr>
      <w:r w:rsidRPr="00BD0E78">
        <w:t>(iv)  a description of the nature of the pricing error;</w:t>
      </w:r>
    </w:p>
    <w:p w:rsidR="007B63EE" w:rsidRPr="00BD0E78" w:rsidRDefault="00C6231E" w:rsidP="009E31B9">
      <w:pPr>
        <w:pStyle w:val="romannumeralpara"/>
      </w:pPr>
      <w:r w:rsidRPr="00BD0E78">
        <w:t>(v)  a description of the underlying cause of the pricing error; and</w:t>
      </w:r>
    </w:p>
    <w:p w:rsidR="007B63EE" w:rsidRPr="00BD0E78" w:rsidRDefault="00C6231E" w:rsidP="009E31B9">
      <w:pPr>
        <w:pStyle w:val="romannumeralpara"/>
      </w:pPr>
      <w:r w:rsidRPr="00BD0E78">
        <w:t>(vi</w:t>
      </w:r>
      <w:r w:rsidRPr="00BD0E78">
        <w:t>)  the price correction method used.</w:t>
      </w:r>
    </w:p>
    <w:p w:rsidR="007B63EE" w:rsidRDefault="00C6231E" w:rsidP="009E31B9">
      <w:pPr>
        <w:pStyle w:val="Bodypara"/>
      </w:pPr>
      <w:r w:rsidRPr="00BD0E78">
        <w:t>The ISO shall provide this information to Transmission Customers as soon as possible</w:t>
      </w:r>
      <w:r>
        <w:t xml:space="preserve"> but within ten days following the price correction unless extraordinary circumstances necessitate additional time to provide this info</w:t>
      </w:r>
      <w:r>
        <w:t>rmation, in which case the ISO shall provide this information as soon as possible, but no later than 30 days following the price correction.</w:t>
      </w:r>
    </w:p>
    <w:p w:rsidR="007B63EE" w:rsidRDefault="00C6231E" w:rsidP="009E31B9">
      <w:pPr>
        <w:pStyle w:val="Bodypara"/>
      </w:pPr>
      <w:r>
        <w:t>The ISO shall provide quarterly reports to Transmission Customers regarding the cause of each error requiring corre</w:t>
      </w:r>
      <w:r>
        <w:t>ction and steps taken or planned by the ISO to eliminate or diminish the incidence of the error in the future.  In its quarterly reports, the ISO shall also detail any price errors of which it becomes aware after the deadlines for reservation or correction</w:t>
      </w:r>
      <w:r>
        <w:t xml:space="preserve"> of the price error.</w:t>
      </w:r>
    </w:p>
    <w:p w:rsidR="007B63EE" w:rsidRDefault="00C6231E" w:rsidP="0063427A">
      <w:pPr>
        <w:pStyle w:val="subheadwH2formatting"/>
      </w:pPr>
      <w:bookmarkStart w:id="7" w:name="_Toc260838492"/>
      <w:r>
        <w:t>23.</w:t>
      </w:r>
      <w:r>
        <w:t>5</w:t>
      </w:r>
      <w:r>
        <w:tab/>
        <w:t>Liability</w:t>
      </w:r>
      <w:bookmarkEnd w:id="7"/>
      <w:r>
        <w:t xml:space="preserve"> </w:t>
      </w:r>
    </w:p>
    <w:p w:rsidR="00181690" w:rsidRDefault="00C6231E" w:rsidP="00D34F28">
      <w:pPr>
        <w:spacing w:line="480" w:lineRule="auto"/>
        <w:ind w:firstLine="720"/>
        <w:rPr>
          <w:sz w:val="20"/>
        </w:rPr>
      </w:pPr>
      <w:r>
        <w:t>The ISO shall not be liable for errors of commission or omission relating to price errors that are left uncorrected by operation of these rules except in cases of gross negligence or intentional misconduct.</w:t>
      </w:r>
    </w:p>
    <w:sectPr w:rsidR="00181690" w:rsidSect="00EF53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0B9" w:rsidRDefault="00A840B9" w:rsidP="00A840B9">
      <w:pPr>
        <w:spacing w:after="0" w:line="240" w:lineRule="auto"/>
      </w:pPr>
      <w:r>
        <w:separator/>
      </w:r>
    </w:p>
  </w:endnote>
  <w:endnote w:type="continuationSeparator" w:id="0">
    <w:p w:rsidR="00A840B9" w:rsidRDefault="00A840B9" w:rsidP="00A84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B9" w:rsidRDefault="00C6231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840B9">
      <w:rPr>
        <w:rFonts w:ascii="Arial" w:eastAsia="Arial" w:hAnsi="Arial" w:cs="Arial"/>
        <w:color w:val="000000"/>
        <w:sz w:val="16"/>
      </w:rPr>
      <w:fldChar w:fldCharType="begin"/>
    </w:r>
    <w:r>
      <w:rPr>
        <w:rFonts w:ascii="Arial" w:eastAsia="Arial" w:hAnsi="Arial" w:cs="Arial"/>
        <w:color w:val="000000"/>
        <w:sz w:val="16"/>
      </w:rPr>
      <w:instrText>PAGE</w:instrText>
    </w:r>
    <w:r w:rsidR="00A840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B9" w:rsidRDefault="00C6231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840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840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B9" w:rsidRDefault="00C6231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840B9">
      <w:rPr>
        <w:rFonts w:ascii="Arial" w:eastAsia="Arial" w:hAnsi="Arial" w:cs="Arial"/>
        <w:color w:val="000000"/>
        <w:sz w:val="16"/>
      </w:rPr>
      <w:fldChar w:fldCharType="begin"/>
    </w:r>
    <w:r>
      <w:rPr>
        <w:rFonts w:ascii="Arial" w:eastAsia="Arial" w:hAnsi="Arial" w:cs="Arial"/>
        <w:color w:val="000000"/>
        <w:sz w:val="16"/>
      </w:rPr>
      <w:instrText>PAGE</w:instrText>
    </w:r>
    <w:r w:rsidR="00A840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0B9" w:rsidRDefault="00A840B9" w:rsidP="00A840B9">
      <w:pPr>
        <w:spacing w:after="0" w:line="240" w:lineRule="auto"/>
      </w:pPr>
      <w:r>
        <w:separator/>
      </w:r>
    </w:p>
  </w:footnote>
  <w:footnote w:type="continuationSeparator" w:id="0">
    <w:p w:rsidR="00A840B9" w:rsidRDefault="00A840B9" w:rsidP="00A84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B9" w:rsidRDefault="00C6231E">
    <w:pPr>
      <w:rPr>
        <w:rFonts w:ascii="Arial" w:eastAsia="Arial" w:hAnsi="Arial" w:cs="Arial"/>
        <w:color w:val="000000"/>
        <w:sz w:val="16"/>
      </w:rPr>
    </w:pPr>
    <w:r>
      <w:rPr>
        <w:rFonts w:ascii="Arial" w:eastAsia="Arial" w:hAnsi="Arial" w:cs="Arial"/>
        <w:color w:val="000000"/>
        <w:sz w:val="16"/>
      </w:rPr>
      <w:t>NYISO Tariffs --&gt; Open Access Transmission Tariff (OATT) --&gt; 23 OATT Attachment Q - Procedures For Reserving And Correcti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B9" w:rsidRDefault="00C6231E">
    <w:pPr>
      <w:rPr>
        <w:rFonts w:ascii="Arial" w:eastAsia="Arial" w:hAnsi="Arial" w:cs="Arial"/>
        <w:color w:val="000000"/>
        <w:sz w:val="16"/>
      </w:rPr>
    </w:pPr>
    <w:r>
      <w:rPr>
        <w:rFonts w:ascii="Arial" w:eastAsia="Arial" w:hAnsi="Arial" w:cs="Arial"/>
        <w:color w:val="000000"/>
        <w:sz w:val="16"/>
      </w:rPr>
      <w:t>NYISO Tariffs --&gt; Open Access Transmission Tariff (OATT) --&gt; 23 OATT</w:t>
    </w:r>
    <w:r>
      <w:rPr>
        <w:rFonts w:ascii="Arial" w:eastAsia="Arial" w:hAnsi="Arial" w:cs="Arial"/>
        <w:color w:val="000000"/>
        <w:sz w:val="16"/>
      </w:rPr>
      <w:t xml:space="preserve"> Attachment Q - Procedures For Reserving And Correcti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B9" w:rsidRDefault="00C6231E">
    <w:pPr>
      <w:rPr>
        <w:rFonts w:ascii="Arial" w:eastAsia="Arial" w:hAnsi="Arial" w:cs="Arial"/>
        <w:color w:val="000000"/>
        <w:sz w:val="16"/>
      </w:rPr>
    </w:pPr>
    <w:r>
      <w:rPr>
        <w:rFonts w:ascii="Arial" w:eastAsia="Arial" w:hAnsi="Arial" w:cs="Arial"/>
        <w:color w:val="000000"/>
        <w:sz w:val="16"/>
      </w:rPr>
      <w:t>NYISO Tariffs --&gt; Open Access Transmission Tariff (OATT) --&gt; 23 OATT A</w:t>
    </w:r>
    <w:r>
      <w:rPr>
        <w:rFonts w:ascii="Arial" w:eastAsia="Arial" w:hAnsi="Arial" w:cs="Arial"/>
        <w:color w:val="000000"/>
        <w:sz w:val="16"/>
      </w:rPr>
      <w:t>ttachment Q - Procedures For Reserving And Correcti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lowerLetter"/>
      <w:lvlText w:val="%2."/>
      <w:lvlJc w:val="left"/>
      <w:pPr>
        <w:tabs>
          <w:tab w:val="num" w:pos="1440"/>
        </w:tabs>
        <w:ind w:left="1440" w:hanging="720"/>
      </w:pPr>
      <w:rPr>
        <w:rFonts w:ascii="Andale Mono" w:hAnsi="Andale Mono"/>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775374A"/>
    <w:multiLevelType w:val="hybridMultilevel"/>
    <w:tmpl w:val="F5EC19CC"/>
    <w:lvl w:ilvl="0" w:tplc="37146856">
      <w:start w:val="1"/>
      <w:numFmt w:val="bullet"/>
      <w:pStyle w:val="Bulletpara"/>
      <w:lvlText w:val=""/>
      <w:lvlJc w:val="left"/>
      <w:pPr>
        <w:tabs>
          <w:tab w:val="num" w:pos="720"/>
        </w:tabs>
        <w:ind w:left="720" w:hanging="360"/>
      </w:pPr>
      <w:rPr>
        <w:rFonts w:ascii="Symbol" w:hAnsi="Symbol" w:hint="default"/>
      </w:rPr>
    </w:lvl>
    <w:lvl w:ilvl="1" w:tplc="0B8E9A0E" w:tentative="1">
      <w:start w:val="1"/>
      <w:numFmt w:val="bullet"/>
      <w:lvlText w:val="o"/>
      <w:lvlJc w:val="left"/>
      <w:pPr>
        <w:tabs>
          <w:tab w:val="num" w:pos="1440"/>
        </w:tabs>
        <w:ind w:left="1440" w:hanging="360"/>
      </w:pPr>
      <w:rPr>
        <w:rFonts w:ascii="Courier New" w:hAnsi="Courier New" w:cs="Courier New" w:hint="default"/>
      </w:rPr>
    </w:lvl>
    <w:lvl w:ilvl="2" w:tplc="7C9A9056" w:tentative="1">
      <w:start w:val="1"/>
      <w:numFmt w:val="bullet"/>
      <w:lvlText w:val=""/>
      <w:lvlJc w:val="left"/>
      <w:pPr>
        <w:tabs>
          <w:tab w:val="num" w:pos="2160"/>
        </w:tabs>
        <w:ind w:left="2160" w:hanging="360"/>
      </w:pPr>
      <w:rPr>
        <w:rFonts w:ascii="Wingdings" w:hAnsi="Wingdings" w:hint="default"/>
      </w:rPr>
    </w:lvl>
    <w:lvl w:ilvl="3" w:tplc="C7DE1904" w:tentative="1">
      <w:start w:val="1"/>
      <w:numFmt w:val="bullet"/>
      <w:lvlText w:val=""/>
      <w:lvlJc w:val="left"/>
      <w:pPr>
        <w:tabs>
          <w:tab w:val="num" w:pos="2880"/>
        </w:tabs>
        <w:ind w:left="2880" w:hanging="360"/>
      </w:pPr>
      <w:rPr>
        <w:rFonts w:ascii="Symbol" w:hAnsi="Symbol" w:hint="default"/>
      </w:rPr>
    </w:lvl>
    <w:lvl w:ilvl="4" w:tplc="21BA3F10" w:tentative="1">
      <w:start w:val="1"/>
      <w:numFmt w:val="bullet"/>
      <w:lvlText w:val="o"/>
      <w:lvlJc w:val="left"/>
      <w:pPr>
        <w:tabs>
          <w:tab w:val="num" w:pos="3600"/>
        </w:tabs>
        <w:ind w:left="3600" w:hanging="360"/>
      </w:pPr>
      <w:rPr>
        <w:rFonts w:ascii="Courier New" w:hAnsi="Courier New" w:cs="Courier New" w:hint="default"/>
      </w:rPr>
    </w:lvl>
    <w:lvl w:ilvl="5" w:tplc="B44C4EC4" w:tentative="1">
      <w:start w:val="1"/>
      <w:numFmt w:val="bullet"/>
      <w:lvlText w:val=""/>
      <w:lvlJc w:val="left"/>
      <w:pPr>
        <w:tabs>
          <w:tab w:val="num" w:pos="4320"/>
        </w:tabs>
        <w:ind w:left="4320" w:hanging="360"/>
      </w:pPr>
      <w:rPr>
        <w:rFonts w:ascii="Wingdings" w:hAnsi="Wingdings" w:hint="default"/>
      </w:rPr>
    </w:lvl>
    <w:lvl w:ilvl="6" w:tplc="0CF2E1E0" w:tentative="1">
      <w:start w:val="1"/>
      <w:numFmt w:val="bullet"/>
      <w:lvlText w:val=""/>
      <w:lvlJc w:val="left"/>
      <w:pPr>
        <w:tabs>
          <w:tab w:val="num" w:pos="5040"/>
        </w:tabs>
        <w:ind w:left="5040" w:hanging="360"/>
      </w:pPr>
      <w:rPr>
        <w:rFonts w:ascii="Symbol" w:hAnsi="Symbol" w:hint="default"/>
      </w:rPr>
    </w:lvl>
    <w:lvl w:ilvl="7" w:tplc="EAE62290" w:tentative="1">
      <w:start w:val="1"/>
      <w:numFmt w:val="bullet"/>
      <w:lvlText w:val="o"/>
      <w:lvlJc w:val="left"/>
      <w:pPr>
        <w:tabs>
          <w:tab w:val="num" w:pos="5760"/>
        </w:tabs>
        <w:ind w:left="5760" w:hanging="360"/>
      </w:pPr>
      <w:rPr>
        <w:rFonts w:ascii="Courier New" w:hAnsi="Courier New" w:cs="Courier New" w:hint="default"/>
      </w:rPr>
    </w:lvl>
    <w:lvl w:ilvl="8" w:tplc="79227E62" w:tentative="1">
      <w:start w:val="1"/>
      <w:numFmt w:val="bullet"/>
      <w:lvlText w:val=""/>
      <w:lvlJc w:val="left"/>
      <w:pPr>
        <w:tabs>
          <w:tab w:val="num" w:pos="6480"/>
        </w:tabs>
        <w:ind w:left="6480" w:hanging="360"/>
      </w:pPr>
      <w:rPr>
        <w:rFonts w:ascii="Wingdings" w:hAnsi="Wingdings" w:hint="default"/>
      </w:rPr>
    </w:lvl>
  </w:abstractNum>
  <w:abstractNum w:abstractNumId="12">
    <w:nsid w:val="29820EFF"/>
    <w:multiLevelType w:val="singleLevel"/>
    <w:tmpl w:val="DEB44DD4"/>
    <w:lvl w:ilvl="0">
      <w:start w:val="3"/>
      <w:numFmt w:val="lowerLetter"/>
      <w:lvlText w:val="%1."/>
      <w:lvlJc w:val="left"/>
      <w:pPr>
        <w:tabs>
          <w:tab w:val="num" w:pos="1080"/>
        </w:tabs>
        <w:ind w:left="1080" w:hanging="360"/>
      </w:pPr>
      <w:rPr>
        <w:rFonts w:hint="default"/>
      </w:rPr>
    </w:lvl>
  </w:abstractNum>
  <w:abstractNum w:abstractNumId="13">
    <w:nsid w:val="372A749B"/>
    <w:multiLevelType w:val="hybridMultilevel"/>
    <w:tmpl w:val="EBD879C0"/>
    <w:lvl w:ilvl="0" w:tplc="C5D4C856">
      <w:start w:val="1"/>
      <w:numFmt w:val="lowerRoman"/>
      <w:lvlText w:val="(%1)"/>
      <w:lvlJc w:val="left"/>
      <w:pPr>
        <w:tabs>
          <w:tab w:val="num" w:pos="2448"/>
        </w:tabs>
        <w:ind w:left="2448" w:hanging="648"/>
      </w:pPr>
      <w:rPr>
        <w:rFonts w:hint="default"/>
        <w:b w:val="0"/>
        <w:i w:val="0"/>
        <w:u w:val="none"/>
      </w:rPr>
    </w:lvl>
    <w:lvl w:ilvl="1" w:tplc="2D627536" w:tentative="1">
      <w:start w:val="1"/>
      <w:numFmt w:val="lowerLetter"/>
      <w:lvlText w:val="%2."/>
      <w:lvlJc w:val="left"/>
      <w:pPr>
        <w:tabs>
          <w:tab w:val="num" w:pos="1440"/>
        </w:tabs>
        <w:ind w:left="1440" w:hanging="360"/>
      </w:pPr>
    </w:lvl>
    <w:lvl w:ilvl="2" w:tplc="0624E3C6" w:tentative="1">
      <w:start w:val="1"/>
      <w:numFmt w:val="lowerRoman"/>
      <w:lvlText w:val="%3."/>
      <w:lvlJc w:val="right"/>
      <w:pPr>
        <w:tabs>
          <w:tab w:val="num" w:pos="2160"/>
        </w:tabs>
        <w:ind w:left="2160" w:hanging="180"/>
      </w:pPr>
    </w:lvl>
    <w:lvl w:ilvl="3" w:tplc="D9D0A430" w:tentative="1">
      <w:start w:val="1"/>
      <w:numFmt w:val="decimal"/>
      <w:lvlText w:val="%4."/>
      <w:lvlJc w:val="left"/>
      <w:pPr>
        <w:tabs>
          <w:tab w:val="num" w:pos="2880"/>
        </w:tabs>
        <w:ind w:left="2880" w:hanging="360"/>
      </w:pPr>
    </w:lvl>
    <w:lvl w:ilvl="4" w:tplc="7302B8DA" w:tentative="1">
      <w:start w:val="1"/>
      <w:numFmt w:val="lowerLetter"/>
      <w:lvlText w:val="%5."/>
      <w:lvlJc w:val="left"/>
      <w:pPr>
        <w:tabs>
          <w:tab w:val="num" w:pos="3600"/>
        </w:tabs>
        <w:ind w:left="3600" w:hanging="360"/>
      </w:pPr>
    </w:lvl>
    <w:lvl w:ilvl="5" w:tplc="01CAEAB6" w:tentative="1">
      <w:start w:val="1"/>
      <w:numFmt w:val="lowerRoman"/>
      <w:lvlText w:val="%6."/>
      <w:lvlJc w:val="right"/>
      <w:pPr>
        <w:tabs>
          <w:tab w:val="num" w:pos="4320"/>
        </w:tabs>
        <w:ind w:left="4320" w:hanging="180"/>
      </w:pPr>
    </w:lvl>
    <w:lvl w:ilvl="6" w:tplc="D9AE65E8" w:tentative="1">
      <w:start w:val="1"/>
      <w:numFmt w:val="decimal"/>
      <w:lvlText w:val="%7."/>
      <w:lvlJc w:val="left"/>
      <w:pPr>
        <w:tabs>
          <w:tab w:val="num" w:pos="5040"/>
        </w:tabs>
        <w:ind w:left="5040" w:hanging="360"/>
      </w:pPr>
    </w:lvl>
    <w:lvl w:ilvl="7" w:tplc="FD80AD16" w:tentative="1">
      <w:start w:val="1"/>
      <w:numFmt w:val="lowerLetter"/>
      <w:lvlText w:val="%8."/>
      <w:lvlJc w:val="left"/>
      <w:pPr>
        <w:tabs>
          <w:tab w:val="num" w:pos="5760"/>
        </w:tabs>
        <w:ind w:left="5760" w:hanging="360"/>
      </w:pPr>
    </w:lvl>
    <w:lvl w:ilvl="8" w:tplc="D050353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B70D31"/>
    <w:multiLevelType w:val="singleLevel"/>
    <w:tmpl w:val="73E209A0"/>
    <w:lvl w:ilvl="0">
      <w:start w:val="1"/>
      <w:numFmt w:val="lowerLetter"/>
      <w:lvlText w:val="%1."/>
      <w:lvlJc w:val="left"/>
      <w:pPr>
        <w:tabs>
          <w:tab w:val="num" w:pos="1080"/>
        </w:tabs>
        <w:ind w:left="1080" w:hanging="36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07F1750"/>
    <w:multiLevelType w:val="singleLevel"/>
    <w:tmpl w:val="2CB475FA"/>
    <w:lvl w:ilvl="0">
      <w:start w:val="2"/>
      <w:numFmt w:val="lowerLetter"/>
      <w:lvlText w:val="%1."/>
      <w:lvlJc w:val="left"/>
      <w:pPr>
        <w:tabs>
          <w:tab w:val="num" w:pos="1080"/>
        </w:tabs>
        <w:ind w:left="1080" w:hanging="360"/>
      </w:pPr>
      <w:rPr>
        <w:rFonts w:hint="default"/>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426AC66">
      <w:start w:val="1"/>
      <w:numFmt w:val="bullet"/>
      <w:lvlText w:val=""/>
      <w:lvlJc w:val="left"/>
      <w:pPr>
        <w:tabs>
          <w:tab w:val="num" w:pos="5760"/>
        </w:tabs>
        <w:ind w:left="5760" w:hanging="360"/>
      </w:pPr>
      <w:rPr>
        <w:rFonts w:ascii="Symbol" w:hAnsi="Symbol" w:hint="default"/>
        <w:color w:val="auto"/>
        <w:u w:val="none"/>
      </w:rPr>
    </w:lvl>
    <w:lvl w:ilvl="1" w:tplc="3692CCEA" w:tentative="1">
      <w:start w:val="1"/>
      <w:numFmt w:val="bullet"/>
      <w:lvlText w:val="o"/>
      <w:lvlJc w:val="left"/>
      <w:pPr>
        <w:tabs>
          <w:tab w:val="num" w:pos="3600"/>
        </w:tabs>
        <w:ind w:left="3600" w:hanging="360"/>
      </w:pPr>
      <w:rPr>
        <w:rFonts w:ascii="Courier New" w:hAnsi="Courier New" w:hint="default"/>
      </w:rPr>
    </w:lvl>
    <w:lvl w:ilvl="2" w:tplc="BA12E080" w:tentative="1">
      <w:start w:val="1"/>
      <w:numFmt w:val="bullet"/>
      <w:lvlText w:val=""/>
      <w:lvlJc w:val="left"/>
      <w:pPr>
        <w:tabs>
          <w:tab w:val="num" w:pos="4320"/>
        </w:tabs>
        <w:ind w:left="4320" w:hanging="360"/>
      </w:pPr>
      <w:rPr>
        <w:rFonts w:ascii="Wingdings" w:hAnsi="Wingdings" w:hint="default"/>
      </w:rPr>
    </w:lvl>
    <w:lvl w:ilvl="3" w:tplc="25D82DB8">
      <w:start w:val="1"/>
      <w:numFmt w:val="bullet"/>
      <w:lvlText w:val=""/>
      <w:lvlJc w:val="left"/>
      <w:pPr>
        <w:tabs>
          <w:tab w:val="num" w:pos="5040"/>
        </w:tabs>
        <w:ind w:left="5040" w:hanging="360"/>
      </w:pPr>
      <w:rPr>
        <w:rFonts w:ascii="Symbol" w:hAnsi="Symbol" w:hint="default"/>
      </w:rPr>
    </w:lvl>
    <w:lvl w:ilvl="4" w:tplc="6E5EA26E" w:tentative="1">
      <w:start w:val="1"/>
      <w:numFmt w:val="bullet"/>
      <w:lvlText w:val="o"/>
      <w:lvlJc w:val="left"/>
      <w:pPr>
        <w:tabs>
          <w:tab w:val="num" w:pos="5760"/>
        </w:tabs>
        <w:ind w:left="5760" w:hanging="360"/>
      </w:pPr>
      <w:rPr>
        <w:rFonts w:ascii="Courier New" w:hAnsi="Courier New" w:hint="default"/>
      </w:rPr>
    </w:lvl>
    <w:lvl w:ilvl="5" w:tplc="BD0267EE" w:tentative="1">
      <w:start w:val="1"/>
      <w:numFmt w:val="bullet"/>
      <w:lvlText w:val=""/>
      <w:lvlJc w:val="left"/>
      <w:pPr>
        <w:tabs>
          <w:tab w:val="num" w:pos="6480"/>
        </w:tabs>
        <w:ind w:left="6480" w:hanging="360"/>
      </w:pPr>
      <w:rPr>
        <w:rFonts w:ascii="Wingdings" w:hAnsi="Wingdings" w:hint="default"/>
      </w:rPr>
    </w:lvl>
    <w:lvl w:ilvl="6" w:tplc="73D8C506" w:tentative="1">
      <w:start w:val="1"/>
      <w:numFmt w:val="bullet"/>
      <w:lvlText w:val=""/>
      <w:lvlJc w:val="left"/>
      <w:pPr>
        <w:tabs>
          <w:tab w:val="num" w:pos="7200"/>
        </w:tabs>
        <w:ind w:left="7200" w:hanging="360"/>
      </w:pPr>
      <w:rPr>
        <w:rFonts w:ascii="Symbol" w:hAnsi="Symbol" w:hint="default"/>
      </w:rPr>
    </w:lvl>
    <w:lvl w:ilvl="7" w:tplc="17706C34" w:tentative="1">
      <w:start w:val="1"/>
      <w:numFmt w:val="bullet"/>
      <w:lvlText w:val="o"/>
      <w:lvlJc w:val="left"/>
      <w:pPr>
        <w:tabs>
          <w:tab w:val="num" w:pos="7920"/>
        </w:tabs>
        <w:ind w:left="7920" w:hanging="360"/>
      </w:pPr>
      <w:rPr>
        <w:rFonts w:ascii="Courier New" w:hAnsi="Courier New" w:hint="default"/>
      </w:rPr>
    </w:lvl>
    <w:lvl w:ilvl="8" w:tplc="634A83AE"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5"/>
  </w:num>
  <w:num w:numId="13">
    <w:abstractNumId w:val="19"/>
  </w:num>
  <w:num w:numId="14">
    <w:abstractNumId w:val="12"/>
  </w:num>
  <w:num w:numId="15">
    <w:abstractNumId w:val="25"/>
  </w:num>
  <w:num w:numId="16">
    <w:abstractNumId w:val="16"/>
  </w:num>
  <w:num w:numId="17">
    <w:abstractNumId w:val="17"/>
  </w:num>
  <w:num w:numId="18">
    <w:abstractNumId w:val="23"/>
  </w:num>
  <w:num w:numId="19">
    <w:abstractNumId w:val="14"/>
  </w:num>
  <w:num w:numId="20">
    <w:abstractNumId w:val="24"/>
  </w:num>
  <w:num w:numId="21">
    <w:abstractNumId w:val="21"/>
  </w:num>
  <w:num w:numId="22">
    <w:abstractNumId w:val="20"/>
  </w:num>
  <w:num w:numId="23">
    <w:abstractNumId w:val="18"/>
  </w:num>
  <w:num w:numId="24">
    <w:abstractNumId w:val="11"/>
  </w:num>
  <w:num w:numId="25">
    <w:abstractNumId w:val="1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40B9"/>
    <w:rsid w:val="00A840B9"/>
    <w:rsid w:val="00C6231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B4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D7EDE"/>
    <w:pPr>
      <w:keepNext/>
      <w:spacing w:before="240" w:after="240"/>
      <w:ind w:left="720" w:hanging="720"/>
      <w:outlineLvl w:val="0"/>
    </w:pPr>
    <w:rPr>
      <w:b/>
    </w:rPr>
  </w:style>
  <w:style w:type="paragraph" w:styleId="Heading2">
    <w:name w:val="heading 2"/>
    <w:basedOn w:val="Normal"/>
    <w:next w:val="Normal"/>
    <w:qFormat/>
    <w:rsid w:val="004D7E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D7E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D7EDE"/>
    <w:pPr>
      <w:keepNext/>
      <w:tabs>
        <w:tab w:val="left" w:pos="1800"/>
      </w:tabs>
      <w:spacing w:before="240" w:after="240"/>
      <w:ind w:left="1800" w:hanging="1080"/>
      <w:outlineLvl w:val="3"/>
    </w:pPr>
    <w:rPr>
      <w:b/>
    </w:rPr>
  </w:style>
  <w:style w:type="paragraph" w:styleId="Heading5">
    <w:name w:val="heading 5"/>
    <w:basedOn w:val="Normal"/>
    <w:next w:val="Normal"/>
    <w:qFormat/>
    <w:rsid w:val="004D7EDE"/>
    <w:pPr>
      <w:keepNext/>
      <w:spacing w:line="480" w:lineRule="auto"/>
      <w:ind w:left="1440" w:right="-90" w:hanging="720"/>
      <w:outlineLvl w:val="4"/>
    </w:pPr>
    <w:rPr>
      <w:b/>
    </w:rPr>
  </w:style>
  <w:style w:type="paragraph" w:styleId="Heading6">
    <w:name w:val="heading 6"/>
    <w:basedOn w:val="Normal"/>
    <w:next w:val="Normal"/>
    <w:qFormat/>
    <w:rsid w:val="004D7EDE"/>
    <w:pPr>
      <w:keepNext/>
      <w:spacing w:line="480" w:lineRule="auto"/>
      <w:ind w:left="1080" w:right="-90" w:hanging="360"/>
      <w:outlineLvl w:val="5"/>
    </w:pPr>
    <w:rPr>
      <w:b/>
    </w:rPr>
  </w:style>
  <w:style w:type="paragraph" w:styleId="Heading7">
    <w:name w:val="heading 7"/>
    <w:basedOn w:val="Normal"/>
    <w:next w:val="Normal"/>
    <w:qFormat/>
    <w:rsid w:val="004D7EDE"/>
    <w:pPr>
      <w:keepNext/>
      <w:spacing w:line="480" w:lineRule="auto"/>
      <w:ind w:left="720" w:right="630"/>
      <w:outlineLvl w:val="6"/>
    </w:pPr>
    <w:rPr>
      <w:b/>
    </w:rPr>
  </w:style>
  <w:style w:type="paragraph" w:styleId="Heading8">
    <w:name w:val="heading 8"/>
    <w:basedOn w:val="Normal"/>
    <w:next w:val="Normal"/>
    <w:qFormat/>
    <w:rsid w:val="004D7EDE"/>
    <w:pPr>
      <w:keepNext/>
      <w:spacing w:line="480" w:lineRule="auto"/>
      <w:ind w:left="720" w:right="-90"/>
      <w:outlineLvl w:val="7"/>
    </w:pPr>
    <w:rPr>
      <w:b/>
    </w:rPr>
  </w:style>
  <w:style w:type="paragraph" w:styleId="Heading9">
    <w:name w:val="heading 9"/>
    <w:basedOn w:val="Normal"/>
    <w:next w:val="Normal"/>
    <w:qFormat/>
    <w:rsid w:val="004D7E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7EDE"/>
    <w:rPr>
      <w:b/>
      <w:snapToGrid w:val="0"/>
      <w:sz w:val="24"/>
      <w:lang w:val="en-US" w:eastAsia="en-US" w:bidi="ar-SA"/>
    </w:rPr>
  </w:style>
  <w:style w:type="paragraph" w:styleId="BlockText">
    <w:name w:val="Block Text"/>
    <w:basedOn w:val="Normal"/>
    <w:rsid w:val="00A840B9"/>
    <w:pPr>
      <w:spacing w:after="120"/>
      <w:ind w:left="1440" w:right="1440"/>
    </w:pPr>
  </w:style>
  <w:style w:type="paragraph" w:styleId="Header">
    <w:name w:val="header"/>
    <w:basedOn w:val="Normal"/>
    <w:rsid w:val="004D7EDE"/>
    <w:pPr>
      <w:tabs>
        <w:tab w:val="center" w:pos="4680"/>
        <w:tab w:val="right" w:pos="9360"/>
      </w:tabs>
    </w:pPr>
    <w:rPr>
      <w:szCs w:val="24"/>
    </w:rPr>
  </w:style>
  <w:style w:type="paragraph" w:styleId="FootnoteText">
    <w:name w:val="footnote text"/>
    <w:basedOn w:val="Normal"/>
    <w:semiHidden/>
    <w:rsid w:val="00A840B9"/>
    <w:pPr>
      <w:spacing w:after="240"/>
      <w:ind w:firstLine="720"/>
    </w:pPr>
    <w:rPr>
      <w:szCs w:val="20"/>
    </w:rPr>
  </w:style>
  <w:style w:type="paragraph" w:styleId="ListBullet">
    <w:name w:val="List Bullet"/>
    <w:basedOn w:val="Normal"/>
    <w:rsid w:val="00A840B9"/>
    <w:pPr>
      <w:numPr>
        <w:numId w:val="1"/>
      </w:numPr>
      <w:spacing w:after="240"/>
    </w:pPr>
  </w:style>
  <w:style w:type="paragraph" w:styleId="Title">
    <w:name w:val="Title"/>
    <w:basedOn w:val="Normal"/>
    <w:qFormat/>
    <w:rsid w:val="00A840B9"/>
    <w:pPr>
      <w:spacing w:after="240"/>
      <w:jc w:val="center"/>
    </w:pPr>
    <w:rPr>
      <w:rFonts w:cs="Arial"/>
      <w:bCs/>
      <w:szCs w:val="32"/>
    </w:rPr>
  </w:style>
  <w:style w:type="paragraph" w:styleId="Footer">
    <w:name w:val="footer"/>
    <w:basedOn w:val="Normal"/>
    <w:rsid w:val="00A840B9"/>
    <w:pPr>
      <w:tabs>
        <w:tab w:val="center" w:pos="4680"/>
        <w:tab w:val="right" w:pos="9360"/>
      </w:tabs>
    </w:pPr>
  </w:style>
  <w:style w:type="character" w:styleId="FootnoteReference">
    <w:name w:val="footnote reference"/>
    <w:semiHidden/>
    <w:rsid w:val="004D7EDE"/>
  </w:style>
  <w:style w:type="paragraph" w:customStyle="1" w:styleId="WPDefaults">
    <w:name w:val="WP Defaults"/>
    <w:rsid w:val="00A84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Definition">
    <w:name w:val="Definition"/>
    <w:basedOn w:val="Normal"/>
    <w:rsid w:val="004D7EDE"/>
    <w:pPr>
      <w:spacing w:before="240" w:after="240"/>
    </w:pPr>
  </w:style>
  <w:style w:type="paragraph" w:customStyle="1" w:styleId="Definitionindent">
    <w:name w:val="Definition indent"/>
    <w:basedOn w:val="Definition"/>
    <w:rsid w:val="004D7EDE"/>
    <w:pPr>
      <w:spacing w:before="120" w:after="120"/>
      <w:ind w:left="720"/>
    </w:pPr>
  </w:style>
  <w:style w:type="paragraph" w:customStyle="1" w:styleId="Bodypara">
    <w:name w:val="Body para"/>
    <w:basedOn w:val="Normal"/>
    <w:rsid w:val="004D7EDE"/>
    <w:pPr>
      <w:spacing w:line="480" w:lineRule="auto"/>
      <w:ind w:firstLine="720"/>
    </w:pPr>
  </w:style>
  <w:style w:type="paragraph" w:customStyle="1" w:styleId="alphapara">
    <w:name w:val="alpha para"/>
    <w:basedOn w:val="Bodypara"/>
    <w:rsid w:val="004D7EDE"/>
    <w:pPr>
      <w:ind w:left="1440" w:hanging="720"/>
    </w:pPr>
  </w:style>
  <w:style w:type="paragraph" w:customStyle="1" w:styleId="TOCheading">
    <w:name w:val="TOC heading"/>
    <w:basedOn w:val="Normal"/>
    <w:rsid w:val="004D7EDE"/>
    <w:pPr>
      <w:spacing w:before="240" w:after="240"/>
    </w:pPr>
    <w:rPr>
      <w:b/>
    </w:rPr>
  </w:style>
  <w:style w:type="paragraph" w:styleId="DocumentMap">
    <w:name w:val="Document Map"/>
    <w:basedOn w:val="Normal"/>
    <w:semiHidden/>
    <w:rsid w:val="004D7EDE"/>
    <w:pPr>
      <w:shd w:val="clear" w:color="auto" w:fill="000080"/>
    </w:pPr>
    <w:rPr>
      <w:rFonts w:ascii="Tahoma" w:hAnsi="Tahoma" w:cs="Tahoma"/>
      <w:sz w:val="20"/>
    </w:rPr>
  </w:style>
  <w:style w:type="paragraph" w:styleId="BalloonText">
    <w:name w:val="Balloon Text"/>
    <w:basedOn w:val="Normal"/>
    <w:semiHidden/>
    <w:rsid w:val="004D7EDE"/>
    <w:rPr>
      <w:rFonts w:ascii="Tahoma" w:hAnsi="Tahoma" w:cs="Tahoma"/>
      <w:sz w:val="16"/>
      <w:szCs w:val="16"/>
    </w:rPr>
  </w:style>
  <w:style w:type="paragraph" w:customStyle="1" w:styleId="subhead">
    <w:name w:val="subhead"/>
    <w:basedOn w:val="Heading4"/>
    <w:rsid w:val="004D7EDE"/>
    <w:pPr>
      <w:tabs>
        <w:tab w:val="clear" w:pos="1800"/>
      </w:tabs>
      <w:ind w:left="720" w:firstLine="0"/>
    </w:pPr>
  </w:style>
  <w:style w:type="paragraph" w:customStyle="1" w:styleId="alphaheading">
    <w:name w:val="alpha heading"/>
    <w:basedOn w:val="Normal"/>
    <w:rsid w:val="004D7EDE"/>
    <w:pPr>
      <w:keepNext/>
      <w:tabs>
        <w:tab w:val="left" w:pos="1440"/>
      </w:tabs>
      <w:spacing w:before="240" w:after="240"/>
      <w:ind w:left="1440" w:hanging="720"/>
    </w:pPr>
    <w:rPr>
      <w:b/>
      <w:szCs w:val="24"/>
    </w:rPr>
  </w:style>
  <w:style w:type="paragraph" w:customStyle="1" w:styleId="romannumeralpara">
    <w:name w:val="roman numeral para"/>
    <w:basedOn w:val="Normal"/>
    <w:rsid w:val="004D7EDE"/>
    <w:pPr>
      <w:spacing w:line="480" w:lineRule="auto"/>
      <w:ind w:left="1440" w:hanging="720"/>
    </w:pPr>
  </w:style>
  <w:style w:type="paragraph" w:customStyle="1" w:styleId="Bulletpara">
    <w:name w:val="Bullet para"/>
    <w:basedOn w:val="Normal"/>
    <w:rsid w:val="004D7EDE"/>
    <w:pPr>
      <w:numPr>
        <w:numId w:val="24"/>
      </w:numPr>
      <w:tabs>
        <w:tab w:val="left" w:pos="900"/>
      </w:tabs>
      <w:spacing w:before="120" w:after="120"/>
    </w:pPr>
    <w:rPr>
      <w:szCs w:val="24"/>
    </w:rPr>
  </w:style>
  <w:style w:type="paragraph" w:styleId="TOC1">
    <w:name w:val="toc 1"/>
    <w:basedOn w:val="Normal"/>
    <w:next w:val="Normal"/>
    <w:semiHidden/>
    <w:rsid w:val="004D7EDE"/>
  </w:style>
  <w:style w:type="paragraph" w:customStyle="1" w:styleId="Tarifftitle">
    <w:name w:val="Tariff title"/>
    <w:basedOn w:val="Normal"/>
    <w:rsid w:val="004D7EDE"/>
    <w:rPr>
      <w:b/>
      <w:sz w:val="28"/>
      <w:szCs w:val="28"/>
    </w:rPr>
  </w:style>
  <w:style w:type="paragraph" w:styleId="TOC2">
    <w:name w:val="toc 2"/>
    <w:basedOn w:val="Normal"/>
    <w:next w:val="Normal"/>
    <w:semiHidden/>
    <w:rsid w:val="004D7EDE"/>
    <w:pPr>
      <w:ind w:left="240"/>
    </w:pPr>
  </w:style>
  <w:style w:type="character" w:styleId="Hyperlink">
    <w:name w:val="Hyperlink"/>
    <w:basedOn w:val="DefaultParagraphFont"/>
    <w:rsid w:val="004D7EDE"/>
    <w:rPr>
      <w:color w:val="0000FF"/>
      <w:u w:val="single"/>
    </w:rPr>
  </w:style>
  <w:style w:type="paragraph" w:styleId="TOC3">
    <w:name w:val="toc 3"/>
    <w:basedOn w:val="Normal"/>
    <w:next w:val="Normal"/>
    <w:semiHidden/>
    <w:rsid w:val="004D7EDE"/>
    <w:pPr>
      <w:ind w:left="480"/>
    </w:pPr>
  </w:style>
  <w:style w:type="paragraph" w:styleId="TOC4">
    <w:name w:val="toc 4"/>
    <w:basedOn w:val="Normal"/>
    <w:next w:val="Normal"/>
    <w:semiHidden/>
    <w:rsid w:val="004D7EDE"/>
    <w:pPr>
      <w:ind w:left="720"/>
    </w:pPr>
  </w:style>
  <w:style w:type="paragraph" w:customStyle="1" w:styleId="Level1">
    <w:name w:val="Level 1"/>
    <w:basedOn w:val="Normal"/>
    <w:rsid w:val="004D7EDE"/>
    <w:pPr>
      <w:ind w:left="1890" w:hanging="720"/>
    </w:pPr>
  </w:style>
  <w:style w:type="paragraph" w:styleId="Date">
    <w:name w:val="Date"/>
    <w:basedOn w:val="Normal"/>
    <w:next w:val="Normal"/>
    <w:rsid w:val="004D7EDE"/>
  </w:style>
  <w:style w:type="paragraph" w:customStyle="1" w:styleId="Footers">
    <w:name w:val="Footers"/>
    <w:basedOn w:val="Heading1"/>
    <w:rsid w:val="004D7EDE"/>
    <w:pPr>
      <w:tabs>
        <w:tab w:val="left" w:pos="1440"/>
        <w:tab w:val="left" w:pos="7020"/>
        <w:tab w:val="right" w:pos="9360"/>
      </w:tabs>
    </w:pPr>
    <w:rPr>
      <w:b w:val="0"/>
      <w:sz w:val="20"/>
    </w:rPr>
  </w:style>
  <w:style w:type="paragraph" w:customStyle="1" w:styleId="subheadwH2formatting">
    <w:name w:val="subhead w H2 formatting"/>
    <w:basedOn w:val="Heading2"/>
    <w:rsid w:val="00EA61DF"/>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2007-03-13T20:09:00Z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