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5D" w:rsidRDefault="008940D6" w:rsidP="009445A8">
      <w:pPr>
        <w:pStyle w:val="Heading1"/>
      </w:pPr>
      <w:r>
        <w:t>2</w:t>
      </w:r>
      <w:r>
        <w:t>2</w:t>
      </w:r>
      <w:r>
        <w:tab/>
        <w:t xml:space="preserve">Attachment P </w:t>
      </w:r>
      <w:r>
        <w:t>–</w:t>
      </w:r>
      <w:r>
        <w:t xml:space="preserve"> Data Requirements for Bilateral Transactions</w:t>
      </w:r>
    </w:p>
    <w:p w:rsidR="00E8775D" w:rsidRDefault="008940D6"/>
    <w:tbl>
      <w:tblPr>
        <w:tblW w:w="10890" w:type="dxa"/>
        <w:tblInd w:w="-638" w:type="dxa"/>
        <w:tblLayout w:type="fixed"/>
        <w:tblCellMar>
          <w:left w:w="82" w:type="dxa"/>
          <w:right w:w="82" w:type="dxa"/>
        </w:tblCellMar>
        <w:tblLook w:val="0000"/>
      </w:tblPr>
      <w:tblGrid>
        <w:gridCol w:w="1620"/>
        <w:gridCol w:w="810"/>
        <w:gridCol w:w="1800"/>
        <w:gridCol w:w="1530"/>
        <w:gridCol w:w="5130"/>
      </w:tblGrid>
      <w:tr w:rsidR="00951285" w:rsidTr="0077446A">
        <w:tc>
          <w:tcPr>
            <w:tcW w:w="10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sz w:val="18"/>
                <w:szCs w:val="18"/>
              </w:rPr>
            </w:pPr>
          </w:p>
          <w:p w:rsidR="00732E26" w:rsidRPr="0077446A" w:rsidRDefault="008940D6" w:rsidP="00987296">
            <w:pPr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Data Requirements for Bilateral Transaction Schedule Requests</w:t>
            </w:r>
          </w:p>
          <w:p w:rsidR="00732E26" w:rsidRPr="0077446A" w:rsidRDefault="008940D6" w:rsidP="00987296">
            <w:pPr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(Generators Associated with Bilateral Transaction Schedule Requests Must Also</w:t>
            </w: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 xml:space="preserve">Comply with All Applicable Requirements Set Forth </w:t>
            </w:r>
            <w:r w:rsidRPr="0077446A">
              <w:rPr>
                <w:b/>
                <w:sz w:val="18"/>
                <w:szCs w:val="18"/>
              </w:rPr>
              <w:t>in Attachment D to the ISO Services Tariff)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Data Item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Cat.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Bid Parameters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Variability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jc w:val="center"/>
              <w:rPr>
                <w:b/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>Comments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Company Names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G/P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Static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Both the buyer (LSE receiving the Transaction or Trading Hub Energy Owner) and seller (actual Generator supplying the </w:t>
            </w:r>
            <w:r w:rsidRPr="0077446A">
              <w:rPr>
                <w:sz w:val="18"/>
                <w:szCs w:val="18"/>
              </w:rPr>
              <w:t>Transaction or Trading Hub Energy Owner) must be identified.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Point of Injection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 (Source) Location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For Internal Generators: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Gen I.D.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</w:rPr>
              <w:t xml:space="preserve">  or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For External Generators: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Proxy Gen I.D.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Vary Daily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Specific location of Internal Generator or Trading Hub </w:t>
            </w:r>
            <w:r w:rsidRPr="0077446A">
              <w:rPr>
                <w:sz w:val="18"/>
                <w:szCs w:val="18"/>
              </w:rPr>
              <w:t>within the NYCA; or the identity of the Control Area where an External Generator is located.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Point of Withdrawal 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(Sink Location)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For Internal Loads: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Load I.D.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</w:t>
            </w:r>
            <w:r w:rsidRPr="0077446A">
              <w:rPr>
                <w:b/>
                <w:sz w:val="18"/>
                <w:szCs w:val="18"/>
              </w:rPr>
              <w:t xml:space="preserve"> or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For External Loads: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Proxy Load I.D.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Vary Daily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Specific location of Internal </w:t>
            </w:r>
            <w:r w:rsidRPr="0077446A">
              <w:rPr>
                <w:sz w:val="18"/>
                <w:szCs w:val="18"/>
              </w:rPr>
              <w:t>Load or Trading Hub within the NYCA; or the identity of the Control Area where an External Load is located.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Submitted By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vary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Firm vs. Non-Firm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Transmission Service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Designate whether Firm or non-Firm Transmission Service is desired: </w:t>
            </w:r>
            <w:r w:rsidRPr="0077446A">
              <w:rPr>
                <w:sz w:val="18"/>
                <w:szCs w:val="18"/>
              </w:rPr>
              <w:t>also designate NERC Contract Priority.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vary daily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Firm transmission service may be subject to Congestion charges; non-Firm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Transmission Service will avoid Congestion (to the extent feasible.)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Desired Schedule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MW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May vary for Day-Ahead by hour; if not scheduled may request RTC Schedule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Decremental Bid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Generally the same as Energy Bids from Internal and External Generators, bid may </w:t>
            </w:r>
            <w:r w:rsidRPr="0077446A">
              <w:rPr>
                <w:sz w:val="18"/>
                <w:szCs w:val="18"/>
              </w:rPr>
              <w:lastRenderedPageBreak/>
              <w:t>be negative.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lastRenderedPageBreak/>
              <w:t xml:space="preserve">May vary for Day-Ahead by hour; if not scheduled may submit </w:t>
            </w:r>
            <w:r w:rsidRPr="0077446A">
              <w:rPr>
                <w:sz w:val="18"/>
                <w:szCs w:val="18"/>
              </w:rPr>
              <w:lastRenderedPageBreak/>
              <w:t>diffe</w:t>
            </w:r>
            <w:r w:rsidRPr="0077446A">
              <w:rPr>
                <w:sz w:val="18"/>
                <w:szCs w:val="18"/>
              </w:rPr>
              <w:t>rent RTC Decremental Bid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lastRenderedPageBreak/>
              <w:t>Decremental Bids may consist of a single price block.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lastRenderedPageBreak/>
              <w:t>Price Capped Energy Block Bid for Load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Generally the same as Energy Bids from Internal and External Generators, bid may be negative.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vary for Day-Ahead by hour.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May </w:t>
            </w:r>
            <w:r w:rsidRPr="0077446A">
              <w:rPr>
                <w:sz w:val="18"/>
                <w:szCs w:val="18"/>
              </w:rPr>
              <w:t>consist of a single price block.</w:t>
            </w:r>
          </w:p>
        </w:tc>
      </w:tr>
      <w:tr w:rsidR="00951285" w:rsidTr="0077446A"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Minimum Run Time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jc w:val="center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C/B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line="120" w:lineRule="exact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Hours: Minutes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May be changed for any Day-Ahead Commitment.</w:t>
            </w:r>
          </w:p>
          <w:p w:rsidR="00732E26" w:rsidRPr="0077446A" w:rsidRDefault="008940D6" w:rsidP="00987296">
            <w:pPr>
              <w:rPr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Required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For Day-Ahead multi-hour block transactions only.  Duration of time that Transaction must run once started before it can </w:t>
            </w:r>
            <w:r w:rsidRPr="0077446A">
              <w:rPr>
                <w:sz w:val="18"/>
                <w:szCs w:val="18"/>
              </w:rPr>
              <w:t>subsequently be decommitted.  Minimum Run Time cannot be honored past the end of the Dispatch Day.</w:t>
            </w:r>
          </w:p>
          <w:p w:rsidR="00732E26" w:rsidRPr="0077446A" w:rsidRDefault="008940D6" w:rsidP="00987296">
            <w:pPr>
              <w:spacing w:line="120" w:lineRule="exact"/>
              <w:rPr>
                <w:sz w:val="18"/>
                <w:szCs w:val="18"/>
              </w:rPr>
            </w:pP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>MW and Bid must be constant over the Bid time period.</w:t>
            </w:r>
          </w:p>
          <w:p w:rsidR="00732E26" w:rsidRPr="0077446A" w:rsidRDefault="008940D6" w:rsidP="00987296">
            <w:pPr>
              <w:spacing w:line="120" w:lineRule="exact"/>
              <w:rPr>
                <w:sz w:val="18"/>
                <w:szCs w:val="18"/>
              </w:rPr>
            </w:pPr>
          </w:p>
        </w:tc>
      </w:tr>
      <w:tr w:rsidR="00951285" w:rsidTr="0077446A">
        <w:tc>
          <w:tcPr>
            <w:tcW w:w="10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2E26" w:rsidRPr="0077446A" w:rsidRDefault="008940D6" w:rsidP="00987296">
            <w:pPr>
              <w:rPr>
                <w:sz w:val="18"/>
                <w:szCs w:val="18"/>
              </w:rPr>
            </w:pPr>
            <w:r w:rsidRPr="0077446A">
              <w:rPr>
                <w:b/>
                <w:sz w:val="18"/>
                <w:szCs w:val="18"/>
                <w:u w:val="single"/>
              </w:rPr>
              <w:t>Notes:</w:t>
            </w:r>
          </w:p>
          <w:p w:rsidR="00732E26" w:rsidRPr="0077446A" w:rsidRDefault="008940D6" w:rsidP="00987296">
            <w:pPr>
              <w:spacing w:after="28"/>
              <w:rPr>
                <w:sz w:val="18"/>
                <w:szCs w:val="18"/>
              </w:rPr>
            </w:pPr>
            <w:r w:rsidRPr="0077446A">
              <w:rPr>
                <w:sz w:val="18"/>
                <w:szCs w:val="18"/>
              </w:rPr>
              <w:t xml:space="preserve"> Cat. = Data Categories: </w:t>
            </w:r>
            <w:r w:rsidRPr="0077446A">
              <w:rPr>
                <w:b/>
                <w:sz w:val="18"/>
                <w:szCs w:val="18"/>
              </w:rPr>
              <w:t>G</w:t>
            </w:r>
            <w:r w:rsidRPr="0077446A">
              <w:rPr>
                <w:sz w:val="18"/>
                <w:szCs w:val="18"/>
              </w:rPr>
              <w:t xml:space="preserve"> = General; </w:t>
            </w:r>
            <w:r w:rsidRPr="0077446A">
              <w:rPr>
                <w:b/>
                <w:sz w:val="18"/>
                <w:szCs w:val="18"/>
              </w:rPr>
              <w:t>P</w:t>
            </w:r>
            <w:r w:rsidRPr="0077446A">
              <w:rPr>
                <w:sz w:val="18"/>
                <w:szCs w:val="18"/>
              </w:rPr>
              <w:t xml:space="preserve"> = Pre-Qualification; </w:t>
            </w:r>
            <w:r w:rsidRPr="0077446A">
              <w:rPr>
                <w:b/>
                <w:sz w:val="18"/>
                <w:szCs w:val="18"/>
              </w:rPr>
              <w:t>C</w:t>
            </w:r>
            <w:r w:rsidRPr="0077446A">
              <w:rPr>
                <w:sz w:val="18"/>
                <w:szCs w:val="18"/>
              </w:rPr>
              <w:t xml:space="preserve"> = Commitment; </w:t>
            </w:r>
            <w:r w:rsidRPr="0077446A">
              <w:rPr>
                <w:b/>
                <w:sz w:val="18"/>
                <w:szCs w:val="18"/>
              </w:rPr>
              <w:t>B</w:t>
            </w:r>
            <w:r w:rsidRPr="0077446A">
              <w:rPr>
                <w:sz w:val="18"/>
                <w:szCs w:val="18"/>
              </w:rPr>
              <w:t xml:space="preserve"> = Balancing; </w:t>
            </w:r>
            <w:r w:rsidRPr="0077446A">
              <w:rPr>
                <w:b/>
                <w:sz w:val="18"/>
                <w:szCs w:val="18"/>
              </w:rPr>
              <w:t>D</w:t>
            </w:r>
            <w:r w:rsidRPr="0077446A">
              <w:rPr>
                <w:sz w:val="18"/>
                <w:szCs w:val="18"/>
              </w:rPr>
              <w:t xml:space="preserve"> = Dispatch; </w:t>
            </w:r>
            <w:r w:rsidRPr="0077446A">
              <w:rPr>
                <w:b/>
                <w:sz w:val="18"/>
                <w:szCs w:val="18"/>
              </w:rPr>
              <w:t>I</w:t>
            </w:r>
            <w:r w:rsidRPr="0077446A">
              <w:rPr>
                <w:sz w:val="18"/>
                <w:szCs w:val="18"/>
              </w:rPr>
              <w:t xml:space="preserve"> = Installed Capacity.</w:t>
            </w:r>
          </w:p>
        </w:tc>
      </w:tr>
    </w:tbl>
    <w:p w:rsidR="00732E26" w:rsidRDefault="008940D6" w:rsidP="00732E26">
      <w:pPr>
        <w:tabs>
          <w:tab w:val="left" w:pos="1440"/>
          <w:tab w:val="left" w:pos="6480"/>
          <w:tab w:val="right" w:pos="9360"/>
        </w:tabs>
        <w:rPr>
          <w:sz w:val="20"/>
        </w:rPr>
      </w:pPr>
    </w:p>
    <w:p w:rsidR="00732E26" w:rsidRDefault="008940D6" w:rsidP="00732E26">
      <w:pPr>
        <w:tabs>
          <w:tab w:val="left" w:pos="1440"/>
          <w:tab w:val="left" w:pos="6480"/>
          <w:tab w:val="right" w:pos="9360"/>
        </w:tabs>
        <w:rPr>
          <w:sz w:val="20"/>
        </w:rPr>
      </w:pPr>
    </w:p>
    <w:p w:rsidR="00E8775D" w:rsidRDefault="008940D6" w:rsidP="0060307A">
      <w:pPr>
        <w:tabs>
          <w:tab w:val="left" w:pos="1440"/>
          <w:tab w:val="left" w:pos="6480"/>
          <w:tab w:val="right" w:pos="9360"/>
        </w:tabs>
      </w:pPr>
    </w:p>
    <w:sectPr w:rsidR="00E8775D" w:rsidSect="00951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85" w:rsidRDefault="00951285" w:rsidP="00951285">
      <w:pPr>
        <w:spacing w:after="0" w:line="240" w:lineRule="auto"/>
      </w:pPr>
      <w:r>
        <w:separator/>
      </w:r>
    </w:p>
  </w:endnote>
  <w:endnote w:type="continuationSeparator" w:id="0">
    <w:p w:rsidR="00951285" w:rsidRDefault="00951285" w:rsidP="0095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512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5128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512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5128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512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5128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85" w:rsidRDefault="00951285" w:rsidP="00951285">
      <w:pPr>
        <w:spacing w:after="0" w:line="240" w:lineRule="auto"/>
      </w:pPr>
      <w:r>
        <w:separator/>
      </w:r>
    </w:p>
  </w:footnote>
  <w:footnote w:type="continuationSeparator" w:id="0">
    <w:p w:rsidR="00951285" w:rsidRDefault="00951285" w:rsidP="0095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Data Requirements For Bilateral Trans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22 OATT Attachment P - Data Requirements For Bilateral Trans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85" w:rsidRDefault="008940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</w:t>
    </w:r>
    <w:r>
      <w:rPr>
        <w:rFonts w:ascii="Arial" w:eastAsia="Arial" w:hAnsi="Arial" w:cs="Arial"/>
        <w:color w:val="000000"/>
        <w:sz w:val="16"/>
      </w:rPr>
      <w:t>cess Transmission Tariff (OATT) --&gt; 22 OATT Attachment P - Data Requirements For Bilateral Trans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0A8C65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E9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D86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C0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4B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01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CC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C6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A3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F76C9A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FB26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CD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1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EA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B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68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69AA33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5C86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2BA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15E82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D3A8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29EF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7B0025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FEEAD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50606D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951285"/>
    <w:rsid w:val="008940D6"/>
    <w:rsid w:val="0095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C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C077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C077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C077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077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C077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C077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C077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C077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C077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0774"/>
  </w:style>
  <w:style w:type="paragraph" w:styleId="BodyText">
    <w:name w:val="Body Text"/>
    <w:basedOn w:val="Normal"/>
    <w:rsid w:val="00951285"/>
    <w:rPr>
      <w:sz w:val="20"/>
    </w:rPr>
  </w:style>
  <w:style w:type="paragraph" w:styleId="Header">
    <w:name w:val="header"/>
    <w:basedOn w:val="Normal"/>
    <w:rsid w:val="001C0774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951285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1C0774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1C0774"/>
    <w:pPr>
      <w:ind w:left="1890" w:hanging="720"/>
    </w:pPr>
  </w:style>
  <w:style w:type="paragraph" w:customStyle="1" w:styleId="Definition">
    <w:name w:val="Definition"/>
    <w:basedOn w:val="Normal"/>
    <w:rsid w:val="001C0774"/>
    <w:pPr>
      <w:spacing w:before="240" w:after="240"/>
    </w:pPr>
  </w:style>
  <w:style w:type="paragraph" w:customStyle="1" w:styleId="Definitionindent">
    <w:name w:val="Definition indent"/>
    <w:basedOn w:val="Definition"/>
    <w:rsid w:val="001C0774"/>
    <w:pPr>
      <w:spacing w:before="120" w:after="120"/>
      <w:ind w:left="720"/>
    </w:pPr>
  </w:style>
  <w:style w:type="paragraph" w:customStyle="1" w:styleId="Bodypara">
    <w:name w:val="Body para"/>
    <w:basedOn w:val="Normal"/>
    <w:rsid w:val="001C077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C0774"/>
    <w:pPr>
      <w:ind w:left="1440" w:hanging="720"/>
    </w:pPr>
  </w:style>
  <w:style w:type="paragraph" w:styleId="Date">
    <w:name w:val="Date"/>
    <w:basedOn w:val="Normal"/>
    <w:next w:val="Normal"/>
    <w:rsid w:val="001C0774"/>
  </w:style>
  <w:style w:type="paragraph" w:customStyle="1" w:styleId="TOCheading">
    <w:name w:val="TOC heading"/>
    <w:basedOn w:val="Normal"/>
    <w:rsid w:val="001C0774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C077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C0774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C077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C077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C077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C077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C0774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C0774"/>
  </w:style>
  <w:style w:type="paragraph" w:customStyle="1" w:styleId="Tarifftitle">
    <w:name w:val="Tariff title"/>
    <w:basedOn w:val="Normal"/>
    <w:rsid w:val="001C0774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C0774"/>
    <w:pPr>
      <w:ind w:left="240"/>
    </w:pPr>
  </w:style>
  <w:style w:type="character" w:styleId="Hyperlink">
    <w:name w:val="Hyperlink"/>
    <w:basedOn w:val="DefaultParagraphFont"/>
    <w:rsid w:val="001C0774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C0774"/>
    <w:pPr>
      <w:ind w:left="480"/>
    </w:pPr>
  </w:style>
  <w:style w:type="paragraph" w:styleId="TOC4">
    <w:name w:val="toc 4"/>
    <w:basedOn w:val="Normal"/>
    <w:next w:val="Normal"/>
    <w:semiHidden/>
    <w:rsid w:val="001C07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cp:lastModifiedBy/>
  <cp:revision>1</cp:revision>
  <cp:lastPrinted>2005-02-23T19:19:00Z</cp:lastPrinted>
  <dcterms:created xsi:type="dcterms:W3CDTF">2017-12-13T19:23:00Z</dcterms:created>
  <dcterms:modified xsi:type="dcterms:W3CDTF">2017-12-13T19:23:00Z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