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BB51A0"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BB51A0" w:rsidP="00805BCB">
      <w:pPr>
        <w:pStyle w:val="Bodypara"/>
      </w:pPr>
      <w:r>
        <w:t xml:space="preserve">This </w:t>
      </w:r>
      <w:r>
        <w:t>s</w:t>
      </w:r>
      <w:r>
        <w:t xml:space="preserve">ection deals with Confidential Information, including Transmission System Operating Policy OP-18 (or its successor); (2) any commercially sensitive information including, without </w:t>
      </w:r>
      <w:r>
        <w:t>limitation, trade secrets, equipment specific information (</w:t>
      </w:r>
      <w:r w:rsidRPr="00E3782A">
        <w:rPr>
          <w:i/>
        </w:rPr>
        <w:t>e.g.,</w:t>
      </w:r>
      <w:r>
        <w:t xml:space="preserve"> Generator specific data such as heat rates, etc.), and business strategies, affirmatively designated as Confidential Information by its supplier or owner; and (3) Transmission System Informat</w:t>
      </w:r>
      <w:r>
        <w:t>ion (“TSI”) that has not yet been posted on the OASIS or provided in some public forum such as a FERC filing.  TSI is information: (1) that is commercially valuable and (2) access to which is necessary to buy, sell or schedule Energy, Capacity, Ancillary S</w:t>
      </w:r>
      <w:r>
        <w:t>ervices or Transmission Service.  Examples of TSI include, but are not limited to, the following:</w:t>
      </w:r>
    </w:p>
    <w:p w:rsidR="00024CDD" w:rsidRDefault="00BB51A0" w:rsidP="00703311">
      <w:pPr>
        <w:pStyle w:val="Bullettext"/>
      </w:pPr>
      <w:r>
        <w:t>Available Transfer Capability;</w:t>
      </w:r>
    </w:p>
    <w:p w:rsidR="00024CDD" w:rsidRDefault="00BB51A0" w:rsidP="00703311">
      <w:pPr>
        <w:pStyle w:val="Bullettext"/>
      </w:pPr>
      <w:r>
        <w:t>Total Transfer Capability;</w:t>
      </w:r>
    </w:p>
    <w:p w:rsidR="00024CDD" w:rsidRDefault="00BB51A0" w:rsidP="00703311">
      <w:pPr>
        <w:pStyle w:val="Bullettext"/>
      </w:pPr>
      <w:r>
        <w:t>Information regarding physical Curtailments and Interruptions;</w:t>
      </w:r>
    </w:p>
    <w:p w:rsidR="00024CDD" w:rsidRDefault="00BB51A0" w:rsidP="00703311">
      <w:pPr>
        <w:pStyle w:val="Bullettext"/>
      </w:pPr>
      <w:r>
        <w:t>Information regarding Ancillary Servi</w:t>
      </w:r>
      <w:r>
        <w:t>ces;</w:t>
      </w:r>
    </w:p>
    <w:p w:rsidR="00024CDD" w:rsidRDefault="00BB51A0" w:rsidP="00703311">
      <w:pPr>
        <w:pStyle w:val="Bullettext"/>
      </w:pPr>
      <w:r>
        <w:t>Pricing for Transmission Service; and</w:t>
      </w:r>
    </w:p>
    <w:p w:rsidR="00024CDD" w:rsidRDefault="00BB51A0" w:rsidP="00703311">
      <w:pPr>
        <w:pStyle w:val="Bullettext"/>
      </w:pPr>
      <w:r>
        <w:t>Discounts offered.</w:t>
      </w:r>
    </w:p>
    <w:p w:rsidR="00024CDD" w:rsidRDefault="00BB51A0" w:rsidP="006A4F88">
      <w:pPr>
        <w:pStyle w:val="Bodypara"/>
      </w:pPr>
      <w:r>
        <w:t>In the course of responding to requests for Energy, Capacity, Transmission Services or Ancillary Services, the ISO shall not disclose Confidential Information to any Market Participant.  The ISO</w:t>
      </w:r>
      <w:r>
        <w:t xml:space="preserve"> shall disclose data that is not Confidential Information, and information required to be disclosed by FERC, by posting the information on the OASIS.  If an ISO Employee improperly discloses TSI to any Market Participant, the ISO shall immediately post the</w:t>
      </w:r>
      <w:r>
        <w:t xml:space="preserve"> information on the OASIS and notify the Commission.</w:t>
      </w:r>
      <w:r>
        <w:rPr>
          <w:u w:val="double"/>
        </w:rPr>
        <w:t xml:space="preserve"> </w:t>
      </w:r>
    </w:p>
    <w:p w:rsidR="00024CDD" w:rsidRDefault="00BB51A0" w:rsidP="00805BCB">
      <w:pPr>
        <w:pStyle w:val="Bodypara"/>
      </w:pPr>
      <w:r>
        <w:t xml:space="preserve">ISO Employees shall also report all improper disclosures of Confidential Information to </w:t>
      </w:r>
      <w:r>
        <w:lastRenderedPageBreak/>
        <w:t xml:space="preserve">the ISO compliance officer (as described in Section </w:t>
      </w:r>
      <w:r>
        <w:t>12.</w:t>
      </w:r>
      <w:r>
        <w:t>10) or its designee immediately.  In the case of an Emergen</w:t>
      </w:r>
      <w:r>
        <w:t>cy, the ISO may disclose such TSI, and then notify the Commission, posting the information on the OASIS as soon as practicable but no later than twenty-four (24) hours after the information is disclosed.</w:t>
      </w:r>
    </w:p>
    <w:p w:rsidR="00024CDD" w:rsidRDefault="00BB51A0" w:rsidP="00805BCB">
      <w:pPr>
        <w:pStyle w:val="Bodypara"/>
      </w:pPr>
      <w:r>
        <w:t xml:space="preserve">The procedures described in this </w:t>
      </w:r>
      <w:r>
        <w:t>s</w:t>
      </w:r>
      <w:r>
        <w:t>ection does not ap</w:t>
      </w:r>
      <w:r>
        <w:t>ply to the following:</w:t>
      </w:r>
    </w:p>
    <w:p w:rsidR="00024CDD" w:rsidRPr="00C65602" w:rsidRDefault="00BB51A0" w:rsidP="00C65602">
      <w:pPr>
        <w:pStyle w:val="Indent1"/>
      </w:pPr>
      <w:r w:rsidRPr="00C65602">
        <w:t>(1)</w:t>
      </w:r>
      <w:r w:rsidRPr="00C65602">
        <w:tab/>
        <w:t>communication of TSI between the ISO and the Transmission Owner’s control centers, and other power pools or ISOs;</w:t>
      </w:r>
    </w:p>
    <w:p w:rsidR="00024CDD" w:rsidRDefault="00BB51A0" w:rsidP="00C65602">
      <w:pPr>
        <w:pStyle w:val="Indent1"/>
      </w:pPr>
      <w:r>
        <w:t>(2)</w:t>
      </w:r>
      <w:r>
        <w:tab/>
        <w:t>communication of information from a Market Participant to the ISO;</w:t>
      </w:r>
    </w:p>
    <w:p w:rsidR="00024CDD" w:rsidRDefault="00BB51A0" w:rsidP="00C65602">
      <w:pPr>
        <w:pStyle w:val="Indent1"/>
      </w:pPr>
      <w:r>
        <w:t>(3)</w:t>
      </w:r>
      <w:r>
        <w:tab/>
        <w:t>information that is no longer Confidentia</w:t>
      </w:r>
      <w:r>
        <w:t>l Information because it was made public by posting it on the OASIS; or it was legally disclosed by a third party in good faith and without violating a trade secret, secrecy agreement or employment contract with a non-disclosure clause; or it was made publ</w:t>
      </w:r>
      <w:r>
        <w:t>ic by a government agency, court or other process of law;</w:t>
      </w:r>
    </w:p>
    <w:p w:rsidR="00024CDD" w:rsidRDefault="00BB51A0" w:rsidP="00C65602">
      <w:pPr>
        <w:pStyle w:val="Indent1"/>
      </w:pPr>
      <w:r>
        <w:t>(4)</w:t>
      </w:r>
      <w:r>
        <w:tab/>
        <w:t xml:space="preserve">requests by a Market Participant for a report regarding the status of that Market Participant’s particular contracts or transactions.  The ISO shall provide all Market Participants requesting a </w:t>
      </w:r>
      <w:r>
        <w:t>report the same type and level of detail of information; and</w:t>
      </w:r>
    </w:p>
    <w:p w:rsidR="00024CDD" w:rsidRDefault="00BB51A0" w:rsidP="00C65602">
      <w:pPr>
        <w:pStyle w:val="Indent1"/>
      </w:pPr>
      <w:r>
        <w:t>(5)</w:t>
      </w:r>
      <w:r>
        <w:tab/>
        <w:t>information that is not listed in NYPP OP-18 and has not been designated by the supplier or owner as Confidential Information.</w:t>
      </w:r>
    </w:p>
    <w:p w:rsidR="00024CDD" w:rsidRDefault="00BB51A0" w:rsidP="00805BCB">
      <w:pPr>
        <w:pStyle w:val="Bodypara"/>
      </w:pPr>
      <w:r>
        <w:t>If Confidential Information is required to be divulged in compli</w:t>
      </w:r>
      <w:r>
        <w:t>ance with an order or a subpoena of a court or regulatory body other than FERC, the ISO will seek to obtain a protective order or</w:t>
      </w:r>
      <w:r w:rsidRPr="00D47814">
        <w:t xml:space="preserve"> </w:t>
      </w:r>
      <w:r>
        <w:t>other appropriate protective relief from the court or regulatory body, provided, however, that the</w:t>
      </w:r>
      <w:r w:rsidRPr="00D47814">
        <w:t xml:space="preserve"> </w:t>
      </w:r>
      <w:r>
        <w:t>ISO staff shall not be requ</w:t>
      </w:r>
      <w:r>
        <w:t xml:space="preserve">ired to do any additional analysis to produce such information.  </w:t>
      </w:r>
      <w:r>
        <w:lastRenderedPageBreak/>
        <w:t>The ISO shall provide advance written or electronic notice to the parties providing the Confidential Information as soon as practicable upon receipt of such an order or a subpoena from a cour</w:t>
      </w:r>
      <w:r>
        <w:t>t or regulatory body, and the ISO shall not be held liable for any losses, consequential or otherwise, resulting from the ISO divulging such Confidential Information pursuant to a subpoena or an order of a court or regulatory body.</w:t>
      </w:r>
    </w:p>
    <w:p w:rsidR="009E2553" w:rsidRDefault="00BB51A0" w:rsidP="00805BCB">
      <w:pPr>
        <w:pStyle w:val="Bodypara"/>
        <w:rPr>
          <w:szCs w:val="24"/>
        </w:rPr>
      </w:pPr>
      <w:r>
        <w:t>If the FERC or its staff</w:t>
      </w:r>
      <w:r>
        <w:t xml:space="preserve">, during the course of an investigation or otherwise, requests information from the ISO that is otherwise required to be maintained in confidence pursuant to this </w:t>
      </w:r>
      <w:r>
        <w:t>s</w:t>
      </w:r>
      <w:r>
        <w:t xml:space="preserve">ection, the ISO shall provide the requested information to the FERC or its Staff within the </w:t>
      </w:r>
      <w:r>
        <w:t>time provided for in the request for information. In providing the information to the FERC or its staff, the ISO shall, consistent with any FERC rules or regulations that may provide for privileged treatment of that information, request that the informatio</w:t>
      </w:r>
      <w:r>
        <w:t>n be treated as confidential and non-public by the FERC and its staff and that the information be withheld from public disclosure. The ISO shall not be held liable for any losses, consequential or otherwise, resulting from the ISO divulging such</w:t>
      </w:r>
      <w:r>
        <w:t xml:space="preserve"> </w:t>
      </w:r>
      <w:r>
        <w:t>Confidenti</w:t>
      </w:r>
      <w:r>
        <w:t>al Information pursuant to a request under this paragraph.  After the Confidential Information has been provided to the FERC or its staff, the ISO shall immediately notify any affected Market Participant(s) when it becomes aware that a request for disclosu</w:t>
      </w:r>
      <w:r>
        <w:t>re of such</w:t>
      </w:r>
      <w:r>
        <w:rPr>
          <w:u w:val="single"/>
        </w:rPr>
        <w:t xml:space="preserve"> </w:t>
      </w:r>
      <w:r>
        <w:t>confidential information has been received by the FERC or its staff, or a decision to disclose such</w:t>
      </w:r>
      <w:r>
        <w:rPr>
          <w:u w:val="single"/>
        </w:rPr>
        <w:t xml:space="preserve"> </w:t>
      </w:r>
      <w:r>
        <w:t>confidential information has been made by the FERC, at which time the ISO and the affected Market Participant(s) may respond before such informat</w:t>
      </w:r>
      <w:r>
        <w:t xml:space="preserve">ion would be made public, pursuant to the FERC’s rules and regulations that may provide for privileged treatment of information </w:t>
      </w:r>
      <w:r>
        <w:rPr>
          <w:szCs w:val="24"/>
        </w:rPr>
        <w:t>provided to the FERC or its staff.</w:t>
      </w:r>
    </w:p>
    <w:p w:rsidR="009E2553" w:rsidRPr="00C65602" w:rsidRDefault="00BB51A0" w:rsidP="00C65602">
      <w:pPr>
        <w:pStyle w:val="Bodypara"/>
        <w:rPr>
          <w:szCs w:val="24"/>
        </w:rPr>
      </w:pPr>
      <w:r>
        <w:t xml:space="preserve">The ISO shall </w:t>
      </w:r>
      <w:r w:rsidRPr="00805BCB">
        <w:t>establish</w:t>
      </w:r>
      <w:r>
        <w:t xml:space="preserve"> procedures for handling Confidential Information that minimize the po</w:t>
      </w:r>
      <w:r>
        <w:t>ssibility of intentional or accidental improper disclo</w:t>
      </w:r>
      <w:r>
        <w:t>sure.</w:t>
      </w:r>
    </w:p>
    <w:p w:rsidR="009E2553" w:rsidRPr="003F0305" w:rsidRDefault="00BB51A0" w:rsidP="003F0305">
      <w:pPr>
        <w:pStyle w:val="Heading3"/>
      </w:pPr>
      <w:bookmarkStart w:id="1" w:name="_Toc260835667"/>
      <w:r>
        <w:t>12.4.1</w:t>
      </w:r>
      <w:r w:rsidRPr="003F0305">
        <w:tab/>
        <w:t>Insider Trading</w:t>
      </w:r>
      <w:bookmarkEnd w:id="1"/>
    </w:p>
    <w:p w:rsidR="009E2553" w:rsidRDefault="00BB51A0" w:rsidP="00805BCB">
      <w:pPr>
        <w:pStyle w:val="Bodypara"/>
        <w:rPr>
          <w:szCs w:val="24"/>
        </w:rPr>
      </w:pPr>
      <w:r>
        <w:rPr>
          <w:szCs w:val="24"/>
        </w:rPr>
        <w:t xml:space="preserve">This </w:t>
      </w:r>
      <w:r>
        <w:rPr>
          <w:szCs w:val="24"/>
        </w:rPr>
        <w:t>s</w:t>
      </w:r>
      <w:r>
        <w:rPr>
          <w:szCs w:val="24"/>
        </w:rPr>
        <w:t>ection defines insider trading, explain the duties of ISO Employees and describes behavior that is prohibited under securities laws.</w:t>
      </w:r>
    </w:p>
    <w:p w:rsidR="009E2553" w:rsidRPr="003F0305" w:rsidRDefault="00BB51A0" w:rsidP="003F0305">
      <w:pPr>
        <w:pStyle w:val="Heading4"/>
        <w:rPr>
          <w:szCs w:val="24"/>
        </w:rPr>
      </w:pPr>
      <w:r>
        <w:t>12.</w:t>
      </w:r>
      <w:r w:rsidRPr="003F0305">
        <w:t>4.1.</w:t>
      </w:r>
      <w:r w:rsidRPr="003F0305">
        <w:rPr>
          <w:szCs w:val="24"/>
        </w:rPr>
        <w:t>1</w:t>
      </w:r>
      <w:r w:rsidRPr="003F0305">
        <w:rPr>
          <w:szCs w:val="24"/>
        </w:rPr>
        <w:tab/>
        <w:t>Insider Information:</w:t>
      </w:r>
    </w:p>
    <w:p w:rsidR="00024CDD" w:rsidRDefault="00BB51A0"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w:t>
      </w:r>
      <w:r>
        <w:t>s routinely learn of Confidential Information about Market Participants and others.  This circumstance creates two duties for all ISO Employees:  (1) a duty not to trade while in possession of “material, nonpublic information,” also known as “inside inform</w:t>
      </w:r>
      <w:r>
        <w:t>ation” or “insider information,” as defined below, and (2) a duty not to communicate such information to anyone outside of the ISO, also known as “tipping.”  It has been and remains the policy of the ISO that there be scrupulous compliance with each of the</w:t>
      </w:r>
      <w:r>
        <w:t>se duties.</w:t>
      </w:r>
    </w:p>
    <w:p w:rsidR="00024CDD" w:rsidRDefault="00BB51A0" w:rsidP="00805BCB">
      <w:pPr>
        <w:pStyle w:val="Bodypara"/>
      </w:pPr>
      <w:r>
        <w:t xml:space="preserve">Material:  Much of the information obtained about Market Participants and any of their Affiliates may be material information under the law.  Information is material if a reasonable investor would consider it important in determining whether to </w:t>
      </w:r>
      <w:r>
        <w:t>buy or sell the securities of the company involved.  The information may be either positive or negative.  If the information would affect the price of the stock, it is material.  If the information makes you or anyone else think about wanting to buy or sel</w:t>
      </w:r>
      <w:r>
        <w:t>l the stock, that is probably the best indication that it is material.  Some examples of information that could be considered material are key personnel changes, earnings information, fines or assessments that the ISO imposes on the company, and Confidenti</w:t>
      </w:r>
      <w:r>
        <w:t xml:space="preserve">al Information (as described in Section </w:t>
      </w:r>
      <w:r>
        <w:t>12.</w:t>
      </w:r>
      <w:r>
        <w:t xml:space="preserve">4) including information relating to future generation capacity.  If in doubt, one should assume that any information which could have any significance to an investor is material and not purchase or sell or allow </w:t>
      </w:r>
      <w:r>
        <w:t>anyone else to purchase or sell the securities in question until such information has been made public.</w:t>
      </w:r>
    </w:p>
    <w:p w:rsidR="00024CDD" w:rsidRDefault="00BB51A0" w:rsidP="00805BCB">
      <w:pPr>
        <w:pStyle w:val="Bodypara"/>
      </w:pPr>
      <w:r>
        <w:t>Nonpublic:  Information that has not been disclosed to the public generally is nonpublic.  To show that information is public, one should be able to poi</w:t>
      </w:r>
      <w:r>
        <w:t xml:space="preserve">nt to some evidence that it is widely disseminated.  Information would generally be deemed widely disseminated if it has been disclosed, for example, in the Dow Jones broad tape; news wire services such as AP or Reuters; radio or television; newspapers or </w:t>
      </w:r>
      <w:r>
        <w:t>magazines; the OASIS; or widely circulated public disclosure documents filed with the federal Securities and Exchange Commission (“SEC”), such as prospectuses or proxies.</w:t>
      </w:r>
    </w:p>
    <w:p w:rsidR="00024CDD" w:rsidRDefault="00BB51A0" w:rsidP="00805BCB">
      <w:pPr>
        <w:pStyle w:val="Bodypara"/>
      </w:pPr>
      <w:r>
        <w:t xml:space="preserve">Although it is natural to “talk shop,” no Confidential Information should be given to outsiders; for this purpose “outsiders” include one’s immediate family (as defined in Section </w:t>
      </w:r>
      <w:r>
        <w:t>12.</w:t>
      </w:r>
      <w:r>
        <w:t>7), relatives, friends and anyone else other than those working on the ma</w:t>
      </w:r>
      <w:r>
        <w:t>tter at the ISO.  In general, ISO matters should not be discussed with any outside individuals.  Particular care is necessary in discussing ISO matters in elevators, restaurants, taxicabs, trains, commercial aircraft and other public places where names and</w:t>
      </w:r>
      <w:r>
        <w:t xml:space="preserve"> other scraps of information might be overheard.  Care should also be taken not to expose nonpublic papers in such places or leave them lying around in conference rooms or other places even within the ISO.</w:t>
      </w:r>
    </w:p>
    <w:p w:rsidR="00024CDD" w:rsidRPr="003F0305" w:rsidRDefault="00BB51A0" w:rsidP="003F0305">
      <w:pPr>
        <w:pStyle w:val="Heading4"/>
      </w:pPr>
      <w:r>
        <w:t>12.</w:t>
      </w:r>
      <w:r>
        <w:t>4.1</w:t>
      </w:r>
      <w:r w:rsidRPr="003F0305">
        <w:t>.2</w:t>
      </w:r>
      <w:r w:rsidRPr="003F0305">
        <w:tab/>
        <w:t>Penalties for Trading on Insider Informat</w:t>
      </w:r>
      <w:r w:rsidRPr="003F0305">
        <w:t>ion</w:t>
      </w:r>
    </w:p>
    <w:p w:rsidR="00024CDD" w:rsidRDefault="00BB51A0" w:rsidP="006A4F88">
      <w:pPr>
        <w:pStyle w:val="Bodypara"/>
      </w:pPr>
      <w:r>
        <w:t>It is against ISO policy and a violation of law to make use of insider information for personal advantage in securities trading or to disclose such information to an outsider.  ISO Employees who have any knowledge or insider trading activities or impro</w:t>
      </w:r>
      <w:r>
        <w:t xml:space="preserve">per disclosure committed by other ISO Employees must immediately notify the ISO compliance officer (as described in Section </w:t>
      </w:r>
      <w:r>
        <w:t>12.</w:t>
      </w:r>
      <w:r>
        <w:t>10) or his designee.  ISO Employees who have engaged in insider trading or have provided insider information to outsiders will be</w:t>
      </w:r>
      <w:r>
        <w:t xml:space="preserve"> terminated immediately.  In addition, both the ISO and the ISO Employee may be subject to severe civil and criminal penalties as a result of insider trading by the ISO Employee or by an outsider who has received insider information from the ISO Employee.</w:t>
      </w:r>
    </w:p>
    <w:p w:rsidR="00024CDD" w:rsidRDefault="00BB51A0">
      <w:pPr>
        <w:widowControl w:val="0"/>
        <w:jc w:val="both"/>
        <w:rPr>
          <w:sz w:val="24"/>
        </w:rPr>
      </w:pPr>
    </w:p>
    <w:sectPr w:rsidR="00024CDD" w:rsidSect="00E612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D9" w:rsidRDefault="004B2AD9" w:rsidP="004B2AD9">
      <w:r>
        <w:separator/>
      </w:r>
    </w:p>
  </w:endnote>
  <w:endnote w:type="continuationSeparator" w:id="0">
    <w:p w:rsidR="004B2AD9" w:rsidRDefault="004B2AD9" w:rsidP="004B2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B2AD9">
      <w:rPr>
        <w:rFonts w:ascii="Arial" w:eastAsia="Arial" w:hAnsi="Arial" w:cs="Arial"/>
        <w:color w:val="000000"/>
        <w:sz w:val="16"/>
      </w:rPr>
      <w:fldChar w:fldCharType="begin"/>
    </w:r>
    <w:r>
      <w:rPr>
        <w:rFonts w:ascii="Arial" w:eastAsia="Arial" w:hAnsi="Arial" w:cs="Arial"/>
        <w:color w:val="000000"/>
        <w:sz w:val="16"/>
      </w:rPr>
      <w:instrText>PAGE</w:instrText>
    </w:r>
    <w:r w:rsidR="004B2AD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jc w:val="right"/>
      <w:rPr>
        <w:rFonts w:ascii="Arial" w:eastAsia="Arial" w:hAnsi="Arial" w:cs="Arial"/>
        <w:color w:val="000000"/>
        <w:sz w:val="16"/>
      </w:rPr>
    </w:pPr>
    <w:r>
      <w:rPr>
        <w:rFonts w:ascii="Arial" w:eastAsia="Arial" w:hAnsi="Arial" w:cs="Arial"/>
        <w:color w:val="000000"/>
        <w:sz w:val="16"/>
      </w:rPr>
      <w:t>Effective Date: 6/30/2010 - Docket #:</w:t>
    </w:r>
    <w:r>
      <w:rPr>
        <w:rFonts w:ascii="Arial" w:eastAsia="Arial" w:hAnsi="Arial" w:cs="Arial"/>
        <w:color w:val="000000"/>
        <w:sz w:val="16"/>
      </w:rPr>
      <w:t xml:space="preserve"> ER10-1657-000 - Page </w:t>
    </w:r>
    <w:r w:rsidR="004B2AD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2AD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jc w:val="right"/>
      <w:rPr>
        <w:rFonts w:ascii="Arial" w:eastAsia="Arial" w:hAnsi="Arial" w:cs="Arial"/>
        <w:color w:val="000000"/>
        <w:sz w:val="16"/>
      </w:rPr>
    </w:pPr>
    <w:r>
      <w:rPr>
        <w:rFonts w:ascii="Arial" w:eastAsia="Arial" w:hAnsi="Arial" w:cs="Arial"/>
        <w:color w:val="000000"/>
        <w:sz w:val="16"/>
      </w:rPr>
      <w:t>Effective Date: 6/30/2010 - Docket #: ER10-1657-000 - Pa</w:t>
    </w:r>
    <w:r>
      <w:rPr>
        <w:rFonts w:ascii="Arial" w:eastAsia="Arial" w:hAnsi="Arial" w:cs="Arial"/>
        <w:color w:val="000000"/>
        <w:sz w:val="16"/>
      </w:rPr>
      <w:t xml:space="preserve">ge </w:t>
    </w:r>
    <w:r w:rsidR="004B2AD9">
      <w:rPr>
        <w:rFonts w:ascii="Arial" w:eastAsia="Arial" w:hAnsi="Arial" w:cs="Arial"/>
        <w:color w:val="000000"/>
        <w:sz w:val="16"/>
      </w:rPr>
      <w:fldChar w:fldCharType="begin"/>
    </w:r>
    <w:r>
      <w:rPr>
        <w:rFonts w:ascii="Arial" w:eastAsia="Arial" w:hAnsi="Arial" w:cs="Arial"/>
        <w:color w:val="000000"/>
        <w:sz w:val="16"/>
      </w:rPr>
      <w:instrText>PAGE</w:instrText>
    </w:r>
    <w:r w:rsidR="004B2AD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D9" w:rsidRDefault="004B2AD9" w:rsidP="004B2AD9">
      <w:r>
        <w:separator/>
      </w:r>
    </w:p>
  </w:footnote>
  <w:footnote w:type="continuationSeparator" w:id="0">
    <w:p w:rsidR="004B2AD9" w:rsidRDefault="004B2AD9" w:rsidP="004B2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D9" w:rsidRDefault="00BB51A0">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7FBCCA0C">
      <w:start w:val="2"/>
      <w:numFmt w:val="lowerLetter"/>
      <w:lvlText w:val="(%1)"/>
      <w:lvlJc w:val="left"/>
      <w:pPr>
        <w:tabs>
          <w:tab w:val="num" w:pos="1080"/>
        </w:tabs>
        <w:ind w:left="1080" w:hanging="360"/>
      </w:pPr>
    </w:lvl>
    <w:lvl w:ilvl="1" w:tplc="A18CEAC6">
      <w:start w:val="1"/>
      <w:numFmt w:val="decimal"/>
      <w:lvlText w:val="%2."/>
      <w:lvlJc w:val="left"/>
      <w:pPr>
        <w:tabs>
          <w:tab w:val="num" w:pos="1440"/>
        </w:tabs>
        <w:ind w:left="1440" w:hanging="360"/>
      </w:pPr>
    </w:lvl>
    <w:lvl w:ilvl="2" w:tplc="657A89D0">
      <w:start w:val="1"/>
      <w:numFmt w:val="decimal"/>
      <w:lvlText w:val="%3."/>
      <w:lvlJc w:val="left"/>
      <w:pPr>
        <w:tabs>
          <w:tab w:val="num" w:pos="2160"/>
        </w:tabs>
        <w:ind w:left="2160" w:hanging="360"/>
      </w:pPr>
    </w:lvl>
    <w:lvl w:ilvl="3" w:tplc="8B6AD752">
      <w:start w:val="1"/>
      <w:numFmt w:val="decimal"/>
      <w:lvlText w:val="%4."/>
      <w:lvlJc w:val="left"/>
      <w:pPr>
        <w:tabs>
          <w:tab w:val="num" w:pos="2880"/>
        </w:tabs>
        <w:ind w:left="2880" w:hanging="360"/>
      </w:pPr>
    </w:lvl>
    <w:lvl w:ilvl="4" w:tplc="171842E8">
      <w:start w:val="1"/>
      <w:numFmt w:val="decimal"/>
      <w:lvlText w:val="%5."/>
      <w:lvlJc w:val="left"/>
      <w:pPr>
        <w:tabs>
          <w:tab w:val="num" w:pos="3600"/>
        </w:tabs>
        <w:ind w:left="3600" w:hanging="360"/>
      </w:pPr>
    </w:lvl>
    <w:lvl w:ilvl="5" w:tplc="31CCC030">
      <w:start w:val="1"/>
      <w:numFmt w:val="decimal"/>
      <w:lvlText w:val="%6."/>
      <w:lvlJc w:val="left"/>
      <w:pPr>
        <w:tabs>
          <w:tab w:val="num" w:pos="4320"/>
        </w:tabs>
        <w:ind w:left="4320" w:hanging="360"/>
      </w:pPr>
    </w:lvl>
    <w:lvl w:ilvl="6" w:tplc="ABA0AA9C">
      <w:start w:val="1"/>
      <w:numFmt w:val="decimal"/>
      <w:lvlText w:val="%7."/>
      <w:lvlJc w:val="left"/>
      <w:pPr>
        <w:tabs>
          <w:tab w:val="num" w:pos="5040"/>
        </w:tabs>
        <w:ind w:left="5040" w:hanging="360"/>
      </w:pPr>
    </w:lvl>
    <w:lvl w:ilvl="7" w:tplc="A7BC5016">
      <w:start w:val="1"/>
      <w:numFmt w:val="decimal"/>
      <w:lvlText w:val="%8."/>
      <w:lvlJc w:val="left"/>
      <w:pPr>
        <w:tabs>
          <w:tab w:val="num" w:pos="5760"/>
        </w:tabs>
        <w:ind w:left="5760" w:hanging="360"/>
      </w:pPr>
    </w:lvl>
    <w:lvl w:ilvl="8" w:tplc="E6B42616">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0A20C1A0">
      <w:start w:val="6"/>
      <w:numFmt w:val="decimal"/>
      <w:lvlText w:val="(%1)"/>
      <w:lvlJc w:val="left"/>
      <w:pPr>
        <w:tabs>
          <w:tab w:val="num" w:pos="1080"/>
        </w:tabs>
        <w:ind w:left="1080" w:hanging="360"/>
      </w:pPr>
      <w:rPr>
        <w:rFonts w:hint="default"/>
      </w:rPr>
    </w:lvl>
    <w:lvl w:ilvl="1" w:tplc="AE8CD378" w:tentative="1">
      <w:start w:val="1"/>
      <w:numFmt w:val="lowerLetter"/>
      <w:lvlText w:val="%2."/>
      <w:lvlJc w:val="left"/>
      <w:pPr>
        <w:tabs>
          <w:tab w:val="num" w:pos="1800"/>
        </w:tabs>
        <w:ind w:left="1800" w:hanging="360"/>
      </w:pPr>
    </w:lvl>
    <w:lvl w:ilvl="2" w:tplc="21703584" w:tentative="1">
      <w:start w:val="1"/>
      <w:numFmt w:val="lowerRoman"/>
      <w:lvlText w:val="%3."/>
      <w:lvlJc w:val="right"/>
      <w:pPr>
        <w:tabs>
          <w:tab w:val="num" w:pos="2520"/>
        </w:tabs>
        <w:ind w:left="2520" w:hanging="180"/>
      </w:pPr>
    </w:lvl>
    <w:lvl w:ilvl="3" w:tplc="7E1A167E" w:tentative="1">
      <w:start w:val="1"/>
      <w:numFmt w:val="decimal"/>
      <w:lvlText w:val="%4."/>
      <w:lvlJc w:val="left"/>
      <w:pPr>
        <w:tabs>
          <w:tab w:val="num" w:pos="3240"/>
        </w:tabs>
        <w:ind w:left="3240" w:hanging="360"/>
      </w:pPr>
    </w:lvl>
    <w:lvl w:ilvl="4" w:tplc="46F0ECE6" w:tentative="1">
      <w:start w:val="1"/>
      <w:numFmt w:val="lowerLetter"/>
      <w:lvlText w:val="%5."/>
      <w:lvlJc w:val="left"/>
      <w:pPr>
        <w:tabs>
          <w:tab w:val="num" w:pos="3960"/>
        </w:tabs>
        <w:ind w:left="3960" w:hanging="360"/>
      </w:pPr>
    </w:lvl>
    <w:lvl w:ilvl="5" w:tplc="CB9225C8" w:tentative="1">
      <w:start w:val="1"/>
      <w:numFmt w:val="lowerRoman"/>
      <w:lvlText w:val="%6."/>
      <w:lvlJc w:val="right"/>
      <w:pPr>
        <w:tabs>
          <w:tab w:val="num" w:pos="4680"/>
        </w:tabs>
        <w:ind w:left="4680" w:hanging="180"/>
      </w:pPr>
    </w:lvl>
    <w:lvl w:ilvl="6" w:tplc="C026FB5C" w:tentative="1">
      <w:start w:val="1"/>
      <w:numFmt w:val="decimal"/>
      <w:lvlText w:val="%7."/>
      <w:lvlJc w:val="left"/>
      <w:pPr>
        <w:tabs>
          <w:tab w:val="num" w:pos="5400"/>
        </w:tabs>
        <w:ind w:left="5400" w:hanging="360"/>
      </w:pPr>
    </w:lvl>
    <w:lvl w:ilvl="7" w:tplc="98B01284" w:tentative="1">
      <w:start w:val="1"/>
      <w:numFmt w:val="lowerLetter"/>
      <w:lvlText w:val="%8."/>
      <w:lvlJc w:val="left"/>
      <w:pPr>
        <w:tabs>
          <w:tab w:val="num" w:pos="6120"/>
        </w:tabs>
        <w:ind w:left="6120" w:hanging="360"/>
      </w:pPr>
    </w:lvl>
    <w:lvl w:ilvl="8" w:tplc="CCDEF40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AD9"/>
    <w:rsid w:val="004B2AD9"/>
    <w:rsid w:val="00BB51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AD9"/>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B2AD9"/>
    <w:pPr>
      <w:keepNext/>
      <w:outlineLvl w:val="4"/>
    </w:pPr>
    <w:rPr>
      <w:sz w:val="24"/>
    </w:rPr>
  </w:style>
  <w:style w:type="paragraph" w:styleId="Heading6">
    <w:name w:val="heading 6"/>
    <w:basedOn w:val="Normal"/>
    <w:next w:val="Normal"/>
    <w:qFormat/>
    <w:rsid w:val="004B2AD9"/>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AD9"/>
    <w:pPr>
      <w:tabs>
        <w:tab w:val="center" w:pos="4320"/>
        <w:tab w:val="right" w:pos="8640"/>
      </w:tabs>
    </w:pPr>
  </w:style>
  <w:style w:type="paragraph" w:styleId="Footer">
    <w:name w:val="footer"/>
    <w:basedOn w:val="Normal"/>
    <w:rsid w:val="004B2AD9"/>
    <w:pPr>
      <w:tabs>
        <w:tab w:val="center" w:pos="4320"/>
        <w:tab w:val="right" w:pos="8640"/>
      </w:tabs>
    </w:pPr>
  </w:style>
  <w:style w:type="paragraph" w:customStyle="1" w:styleId="Heading">
    <w:name w:val="Heading"/>
    <w:basedOn w:val="Normal"/>
    <w:rsid w:val="004B2AD9"/>
    <w:pPr>
      <w:keepNext/>
      <w:spacing w:after="240"/>
      <w:ind w:left="720" w:hanging="720"/>
    </w:pPr>
    <w:rPr>
      <w:b/>
      <w:sz w:val="24"/>
    </w:rPr>
  </w:style>
  <w:style w:type="paragraph" w:styleId="BodyText">
    <w:name w:val="Body Text"/>
    <w:aliases w:val="b"/>
    <w:basedOn w:val="Normal"/>
    <w:rsid w:val="004B2AD9"/>
    <w:pPr>
      <w:spacing w:line="480" w:lineRule="auto"/>
      <w:ind w:firstLine="720"/>
      <w:jc w:val="both"/>
    </w:pPr>
    <w:rPr>
      <w:sz w:val="24"/>
    </w:rPr>
  </w:style>
  <w:style w:type="paragraph" w:customStyle="1" w:styleId="Indent">
    <w:name w:val="Indent"/>
    <w:basedOn w:val="Normal"/>
    <w:rsid w:val="004B2AD9"/>
    <w:pPr>
      <w:widowControl w:val="0"/>
      <w:spacing w:line="480" w:lineRule="auto"/>
      <w:ind w:left="1260" w:hanging="540"/>
      <w:jc w:val="both"/>
    </w:pPr>
    <w:rPr>
      <w:sz w:val="24"/>
    </w:rPr>
  </w:style>
  <w:style w:type="paragraph" w:styleId="FootnoteText">
    <w:name w:val="footnote text"/>
    <w:basedOn w:val="Normal"/>
    <w:semiHidden/>
    <w:rsid w:val="004B2AD9"/>
    <w:pPr>
      <w:spacing w:after="240"/>
      <w:ind w:firstLine="720"/>
      <w:jc w:val="both"/>
    </w:pPr>
    <w:rPr>
      <w:sz w:val="22"/>
    </w:rPr>
  </w:style>
  <w:style w:type="character" w:styleId="FootnoteReference">
    <w:name w:val="footnote reference"/>
    <w:basedOn w:val="DefaultParagraphFont"/>
    <w:semiHidden/>
    <w:rsid w:val="004B2AD9"/>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B2AD9"/>
  </w:style>
  <w:style w:type="paragraph" w:styleId="BodyText2">
    <w:name w:val="Body Text 2"/>
    <w:basedOn w:val="Normal"/>
    <w:rsid w:val="004B2AD9"/>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8198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