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084D7F" w:rsidP="00C65602">
      <w:pPr>
        <w:pStyle w:val="subheadwH2formatting"/>
      </w:pPr>
      <w:bookmarkStart w:id="0" w:name="_Toc260835664"/>
      <w:r>
        <w:t>12.2</w:t>
      </w:r>
      <w:r>
        <w:tab/>
        <w:t>Fair and Non-Discriminatory Administration of the Tariff</w:t>
      </w:r>
      <w:bookmarkEnd w:id="0"/>
    </w:p>
    <w:p w:rsidR="00024CDD" w:rsidRDefault="00084D7F" w:rsidP="00805BCB">
      <w:pPr>
        <w:pStyle w:val="Bodypara"/>
      </w:pPr>
      <w:r>
        <w:t xml:space="preserve">It is the policy of the ISO to offer open-access Transmission Service under the ISO Tariff in a non-discriminatory manner to all Market Participants.  In compliance with this policy, all ISO </w:t>
      </w:r>
      <w:r>
        <w:t>Employees must administer the ISO OATT and ISO Services Tariff (the “ISO Tariffs”) and the ISO related Agreements with impartiality toward all Market Participants.</w:t>
      </w:r>
    </w:p>
    <w:p w:rsidR="00024CDD" w:rsidRDefault="00084D7F" w:rsidP="00805BCB">
      <w:pPr>
        <w:pStyle w:val="Bodypara"/>
      </w:pPr>
      <w:r>
        <w:t>Where the ISO OATT allows the exercise of discretion in applying the ISO OATT, to the extent</w:t>
      </w:r>
      <w:r>
        <w:t xml:space="preserve"> that discretion is exercised, the ISO will maintain a written log of each waiver or act of discretion, the circumstances involved, the person authorizing the waiver and the source of authority for the waiver.  The ISO will provide the log for review and c</w:t>
      </w:r>
      <w:r>
        <w:t>opying at the request and expense of any interested persons during regular business hours of operation in a manner that treats similarly situated persons on a comparable and non-discriminatory basis.</w:t>
      </w:r>
    </w:p>
    <w:p w:rsidR="00024CDD" w:rsidRDefault="00084D7F" w:rsidP="00805BCB">
      <w:pPr>
        <w:pStyle w:val="Bodypara"/>
      </w:pPr>
      <w:r>
        <w:t>The ISO shall also require an officer of the ISO or desi</w:t>
      </w:r>
      <w:r>
        <w:t>gnee to periodically review these discretionary decisions to ensure compliance with the Code of Conduct.  The ISO shall post information on the OASIS for a period of ninety (90) days, detailing the circumstances and manner under which that discretion was e</w:t>
      </w:r>
      <w:r>
        <w:t>xercised; and make this information available for review, but not on the OASIS, for three (3) years from the date it is first posted.</w:t>
      </w:r>
    </w:p>
    <w:p w:rsidR="00024CDD" w:rsidRDefault="00084D7F" w:rsidP="00805BCB">
      <w:pPr>
        <w:pStyle w:val="Bodypara"/>
      </w:pPr>
      <w:r>
        <w:t>In providing Transmission Service pursuant to the ISO OATT, the ISO shall strictly comply with the Reliability Rules devel</w:t>
      </w:r>
      <w:r>
        <w:t>oped by the NYSRC.</w:t>
      </w:r>
    </w:p>
    <w:p w:rsidR="00024CDD" w:rsidRDefault="00084D7F">
      <w:pPr>
        <w:widowControl w:val="0"/>
        <w:jc w:val="both"/>
        <w:rPr>
          <w:sz w:val="24"/>
        </w:rPr>
      </w:pPr>
    </w:p>
    <w:sectPr w:rsidR="00024CDD" w:rsidSect="00BB1B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78" w:rsidRDefault="00F33C78" w:rsidP="00F33C78">
      <w:r>
        <w:separator/>
      </w:r>
    </w:p>
  </w:endnote>
  <w:endnote w:type="continuationSeparator" w:id="0">
    <w:p w:rsidR="00F33C78" w:rsidRDefault="00F33C78" w:rsidP="00F33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33C78">
      <w:rPr>
        <w:rFonts w:ascii="Arial" w:eastAsia="Arial" w:hAnsi="Arial" w:cs="Arial"/>
        <w:color w:val="000000"/>
        <w:sz w:val="16"/>
      </w:rPr>
      <w:fldChar w:fldCharType="begin"/>
    </w:r>
    <w:r>
      <w:rPr>
        <w:rFonts w:ascii="Arial" w:eastAsia="Arial" w:hAnsi="Arial" w:cs="Arial"/>
        <w:color w:val="000000"/>
        <w:sz w:val="16"/>
      </w:rPr>
      <w:instrText>PAGE</w:instrText>
    </w:r>
    <w:r w:rsidR="00F33C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jc w:val="right"/>
      <w:rPr>
        <w:rFonts w:ascii="Arial" w:eastAsia="Arial" w:hAnsi="Arial" w:cs="Arial"/>
        <w:color w:val="000000"/>
        <w:sz w:val="16"/>
      </w:rPr>
    </w:pPr>
    <w:r>
      <w:rPr>
        <w:rFonts w:ascii="Arial" w:eastAsia="Arial" w:hAnsi="Arial" w:cs="Arial"/>
        <w:color w:val="000000"/>
        <w:sz w:val="16"/>
      </w:rPr>
      <w:t>Effective Date: 6/30/2</w:t>
    </w:r>
    <w:r>
      <w:rPr>
        <w:rFonts w:ascii="Arial" w:eastAsia="Arial" w:hAnsi="Arial" w:cs="Arial"/>
        <w:color w:val="000000"/>
        <w:sz w:val="16"/>
      </w:rPr>
      <w:t xml:space="preserve">010 - Docket #: ER10-1657-000 - Page </w:t>
    </w:r>
    <w:r w:rsidR="00F33C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3C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jc w:val="right"/>
      <w:rPr>
        <w:rFonts w:ascii="Arial" w:eastAsia="Arial" w:hAnsi="Arial" w:cs="Arial"/>
        <w:color w:val="000000"/>
        <w:sz w:val="16"/>
      </w:rPr>
    </w:pPr>
    <w:r>
      <w:rPr>
        <w:rFonts w:ascii="Arial" w:eastAsia="Arial" w:hAnsi="Arial" w:cs="Arial"/>
        <w:color w:val="000000"/>
        <w:sz w:val="16"/>
      </w:rPr>
      <w:t>Effective Date: 6/30/2010 - Docket #: ER10-</w:t>
    </w:r>
    <w:r>
      <w:rPr>
        <w:rFonts w:ascii="Arial" w:eastAsia="Arial" w:hAnsi="Arial" w:cs="Arial"/>
        <w:color w:val="000000"/>
        <w:sz w:val="16"/>
      </w:rPr>
      <w:t xml:space="preserve">1657-000 - Page </w:t>
    </w:r>
    <w:r w:rsidR="00F33C78">
      <w:rPr>
        <w:rFonts w:ascii="Arial" w:eastAsia="Arial" w:hAnsi="Arial" w:cs="Arial"/>
        <w:color w:val="000000"/>
        <w:sz w:val="16"/>
      </w:rPr>
      <w:fldChar w:fldCharType="begin"/>
    </w:r>
    <w:r>
      <w:rPr>
        <w:rFonts w:ascii="Arial" w:eastAsia="Arial" w:hAnsi="Arial" w:cs="Arial"/>
        <w:color w:val="000000"/>
        <w:sz w:val="16"/>
      </w:rPr>
      <w:instrText>PAGE</w:instrText>
    </w:r>
    <w:r w:rsidR="00F33C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78" w:rsidRDefault="00F33C78" w:rsidP="00F33C78">
      <w:r>
        <w:separator/>
      </w:r>
    </w:p>
  </w:footnote>
  <w:footnote w:type="continuationSeparator" w:id="0">
    <w:p w:rsidR="00F33C78" w:rsidRDefault="00F33C78" w:rsidP="00F33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12 OATT Attachment F - NYISO Code of Conduct --&gt; 12.2 OATT Att F Fair And Non-Discriminatory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8" w:rsidRDefault="00084D7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BB0C484C">
      <w:start w:val="2"/>
      <w:numFmt w:val="lowerLetter"/>
      <w:lvlText w:val="(%1)"/>
      <w:lvlJc w:val="left"/>
      <w:pPr>
        <w:tabs>
          <w:tab w:val="num" w:pos="1080"/>
        </w:tabs>
        <w:ind w:left="1080" w:hanging="360"/>
      </w:pPr>
    </w:lvl>
    <w:lvl w:ilvl="1" w:tplc="F3361616">
      <w:start w:val="1"/>
      <w:numFmt w:val="decimal"/>
      <w:lvlText w:val="%2."/>
      <w:lvlJc w:val="left"/>
      <w:pPr>
        <w:tabs>
          <w:tab w:val="num" w:pos="1440"/>
        </w:tabs>
        <w:ind w:left="1440" w:hanging="360"/>
      </w:pPr>
    </w:lvl>
    <w:lvl w:ilvl="2" w:tplc="AA005AF6">
      <w:start w:val="1"/>
      <w:numFmt w:val="decimal"/>
      <w:lvlText w:val="%3."/>
      <w:lvlJc w:val="left"/>
      <w:pPr>
        <w:tabs>
          <w:tab w:val="num" w:pos="2160"/>
        </w:tabs>
        <w:ind w:left="2160" w:hanging="360"/>
      </w:pPr>
    </w:lvl>
    <w:lvl w:ilvl="3" w:tplc="F7541730">
      <w:start w:val="1"/>
      <w:numFmt w:val="decimal"/>
      <w:lvlText w:val="%4."/>
      <w:lvlJc w:val="left"/>
      <w:pPr>
        <w:tabs>
          <w:tab w:val="num" w:pos="2880"/>
        </w:tabs>
        <w:ind w:left="2880" w:hanging="360"/>
      </w:pPr>
    </w:lvl>
    <w:lvl w:ilvl="4" w:tplc="DBEED358">
      <w:start w:val="1"/>
      <w:numFmt w:val="decimal"/>
      <w:lvlText w:val="%5."/>
      <w:lvlJc w:val="left"/>
      <w:pPr>
        <w:tabs>
          <w:tab w:val="num" w:pos="3600"/>
        </w:tabs>
        <w:ind w:left="3600" w:hanging="360"/>
      </w:pPr>
    </w:lvl>
    <w:lvl w:ilvl="5" w:tplc="50D6BBB4">
      <w:start w:val="1"/>
      <w:numFmt w:val="decimal"/>
      <w:lvlText w:val="%6."/>
      <w:lvlJc w:val="left"/>
      <w:pPr>
        <w:tabs>
          <w:tab w:val="num" w:pos="4320"/>
        </w:tabs>
        <w:ind w:left="4320" w:hanging="360"/>
      </w:pPr>
    </w:lvl>
    <w:lvl w:ilvl="6" w:tplc="97EE21E4">
      <w:start w:val="1"/>
      <w:numFmt w:val="decimal"/>
      <w:lvlText w:val="%7."/>
      <w:lvlJc w:val="left"/>
      <w:pPr>
        <w:tabs>
          <w:tab w:val="num" w:pos="5040"/>
        </w:tabs>
        <w:ind w:left="5040" w:hanging="360"/>
      </w:pPr>
    </w:lvl>
    <w:lvl w:ilvl="7" w:tplc="92D6AEBE">
      <w:start w:val="1"/>
      <w:numFmt w:val="decimal"/>
      <w:lvlText w:val="%8."/>
      <w:lvlJc w:val="left"/>
      <w:pPr>
        <w:tabs>
          <w:tab w:val="num" w:pos="5760"/>
        </w:tabs>
        <w:ind w:left="5760" w:hanging="360"/>
      </w:pPr>
    </w:lvl>
    <w:lvl w:ilvl="8" w:tplc="3830EA6A">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7194CA4A">
      <w:start w:val="6"/>
      <w:numFmt w:val="decimal"/>
      <w:lvlText w:val="(%1)"/>
      <w:lvlJc w:val="left"/>
      <w:pPr>
        <w:tabs>
          <w:tab w:val="num" w:pos="1080"/>
        </w:tabs>
        <w:ind w:left="1080" w:hanging="360"/>
      </w:pPr>
      <w:rPr>
        <w:rFonts w:hint="default"/>
      </w:rPr>
    </w:lvl>
    <w:lvl w:ilvl="1" w:tplc="136EDB1A" w:tentative="1">
      <w:start w:val="1"/>
      <w:numFmt w:val="lowerLetter"/>
      <w:lvlText w:val="%2."/>
      <w:lvlJc w:val="left"/>
      <w:pPr>
        <w:tabs>
          <w:tab w:val="num" w:pos="1800"/>
        </w:tabs>
        <w:ind w:left="1800" w:hanging="360"/>
      </w:pPr>
    </w:lvl>
    <w:lvl w:ilvl="2" w:tplc="EE165860" w:tentative="1">
      <w:start w:val="1"/>
      <w:numFmt w:val="lowerRoman"/>
      <w:lvlText w:val="%3."/>
      <w:lvlJc w:val="right"/>
      <w:pPr>
        <w:tabs>
          <w:tab w:val="num" w:pos="2520"/>
        </w:tabs>
        <w:ind w:left="2520" w:hanging="180"/>
      </w:pPr>
    </w:lvl>
    <w:lvl w:ilvl="3" w:tplc="D1A42926" w:tentative="1">
      <w:start w:val="1"/>
      <w:numFmt w:val="decimal"/>
      <w:lvlText w:val="%4."/>
      <w:lvlJc w:val="left"/>
      <w:pPr>
        <w:tabs>
          <w:tab w:val="num" w:pos="3240"/>
        </w:tabs>
        <w:ind w:left="3240" w:hanging="360"/>
      </w:pPr>
    </w:lvl>
    <w:lvl w:ilvl="4" w:tplc="17AC6C7E" w:tentative="1">
      <w:start w:val="1"/>
      <w:numFmt w:val="lowerLetter"/>
      <w:lvlText w:val="%5."/>
      <w:lvlJc w:val="left"/>
      <w:pPr>
        <w:tabs>
          <w:tab w:val="num" w:pos="3960"/>
        </w:tabs>
        <w:ind w:left="3960" w:hanging="360"/>
      </w:pPr>
    </w:lvl>
    <w:lvl w:ilvl="5" w:tplc="A9967908" w:tentative="1">
      <w:start w:val="1"/>
      <w:numFmt w:val="lowerRoman"/>
      <w:lvlText w:val="%6."/>
      <w:lvlJc w:val="right"/>
      <w:pPr>
        <w:tabs>
          <w:tab w:val="num" w:pos="4680"/>
        </w:tabs>
        <w:ind w:left="4680" w:hanging="180"/>
      </w:pPr>
    </w:lvl>
    <w:lvl w:ilvl="6" w:tplc="A948DE2A" w:tentative="1">
      <w:start w:val="1"/>
      <w:numFmt w:val="decimal"/>
      <w:lvlText w:val="%7."/>
      <w:lvlJc w:val="left"/>
      <w:pPr>
        <w:tabs>
          <w:tab w:val="num" w:pos="5400"/>
        </w:tabs>
        <w:ind w:left="5400" w:hanging="360"/>
      </w:pPr>
    </w:lvl>
    <w:lvl w:ilvl="7" w:tplc="81BC8860" w:tentative="1">
      <w:start w:val="1"/>
      <w:numFmt w:val="lowerLetter"/>
      <w:lvlText w:val="%8."/>
      <w:lvlJc w:val="left"/>
      <w:pPr>
        <w:tabs>
          <w:tab w:val="num" w:pos="6120"/>
        </w:tabs>
        <w:ind w:left="6120" w:hanging="360"/>
      </w:pPr>
    </w:lvl>
    <w:lvl w:ilvl="8" w:tplc="336E5C0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3C78"/>
    <w:rsid w:val="00084D7F"/>
    <w:rsid w:val="00F33C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C78"/>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F33C78"/>
    <w:pPr>
      <w:keepNext/>
      <w:outlineLvl w:val="4"/>
    </w:pPr>
    <w:rPr>
      <w:sz w:val="24"/>
    </w:rPr>
  </w:style>
  <w:style w:type="paragraph" w:styleId="Heading6">
    <w:name w:val="heading 6"/>
    <w:basedOn w:val="Normal"/>
    <w:next w:val="Normal"/>
    <w:qFormat/>
    <w:rsid w:val="00F33C78"/>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C78"/>
    <w:pPr>
      <w:tabs>
        <w:tab w:val="center" w:pos="4320"/>
        <w:tab w:val="right" w:pos="8640"/>
      </w:tabs>
    </w:pPr>
  </w:style>
  <w:style w:type="paragraph" w:styleId="Footer">
    <w:name w:val="footer"/>
    <w:basedOn w:val="Normal"/>
    <w:rsid w:val="00F33C78"/>
    <w:pPr>
      <w:tabs>
        <w:tab w:val="center" w:pos="4320"/>
        <w:tab w:val="right" w:pos="8640"/>
      </w:tabs>
    </w:pPr>
  </w:style>
  <w:style w:type="paragraph" w:customStyle="1" w:styleId="Heading">
    <w:name w:val="Heading"/>
    <w:basedOn w:val="Normal"/>
    <w:rsid w:val="00F33C78"/>
    <w:pPr>
      <w:keepNext/>
      <w:spacing w:after="240"/>
      <w:ind w:left="720" w:hanging="720"/>
    </w:pPr>
    <w:rPr>
      <w:b/>
      <w:sz w:val="24"/>
    </w:rPr>
  </w:style>
  <w:style w:type="paragraph" w:styleId="BodyText">
    <w:name w:val="Body Text"/>
    <w:aliases w:val="b"/>
    <w:basedOn w:val="Normal"/>
    <w:rsid w:val="00F33C78"/>
    <w:pPr>
      <w:spacing w:line="480" w:lineRule="auto"/>
      <w:ind w:firstLine="720"/>
      <w:jc w:val="both"/>
    </w:pPr>
    <w:rPr>
      <w:sz w:val="24"/>
    </w:rPr>
  </w:style>
  <w:style w:type="paragraph" w:customStyle="1" w:styleId="Indent">
    <w:name w:val="Indent"/>
    <w:basedOn w:val="Normal"/>
    <w:rsid w:val="00F33C78"/>
    <w:pPr>
      <w:widowControl w:val="0"/>
      <w:spacing w:line="480" w:lineRule="auto"/>
      <w:ind w:left="1260" w:hanging="540"/>
      <w:jc w:val="both"/>
    </w:pPr>
    <w:rPr>
      <w:sz w:val="24"/>
    </w:rPr>
  </w:style>
  <w:style w:type="paragraph" w:styleId="FootnoteText">
    <w:name w:val="footnote text"/>
    <w:basedOn w:val="Normal"/>
    <w:semiHidden/>
    <w:rsid w:val="00F33C78"/>
    <w:pPr>
      <w:spacing w:after="240"/>
      <w:ind w:firstLine="720"/>
      <w:jc w:val="both"/>
    </w:pPr>
    <w:rPr>
      <w:sz w:val="22"/>
    </w:rPr>
  </w:style>
  <w:style w:type="character" w:styleId="FootnoteReference">
    <w:name w:val="footnote reference"/>
    <w:basedOn w:val="DefaultParagraphFont"/>
    <w:semiHidden/>
    <w:rsid w:val="00F33C78"/>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F33C78"/>
  </w:style>
  <w:style w:type="paragraph" w:styleId="BodyText2">
    <w:name w:val="Body Text 2"/>
    <w:basedOn w:val="Normal"/>
    <w:rsid w:val="00F33C78"/>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