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A1" w:rsidRPr="00FC13F1" w:rsidRDefault="003446C6" w:rsidP="000A3765">
      <w:pPr>
        <w:pStyle w:val="Heading2"/>
      </w:pPr>
      <w:bookmarkStart w:id="0" w:name="_Toc260839843"/>
      <w:r>
        <w:t>35.11</w:t>
      </w:r>
      <w:bookmarkStart w:id="1" w:name="_Toc115162735"/>
      <w:r>
        <w:tab/>
      </w:r>
      <w:r w:rsidRPr="00FC13F1">
        <w:t xml:space="preserve">Voltage Control </w:t>
      </w:r>
      <w:r>
        <w:t>a</w:t>
      </w:r>
      <w:r w:rsidRPr="00FC13F1">
        <w:t>nd Reactive Power Coordination</w:t>
      </w:r>
      <w:bookmarkEnd w:id="0"/>
      <w:bookmarkEnd w:id="1"/>
      <w:r w:rsidRPr="00FC13F1">
        <w:t xml:space="preserve"> </w:t>
      </w:r>
    </w:p>
    <w:p w:rsidR="000A3765" w:rsidRDefault="003446C6" w:rsidP="000A3765">
      <w:pPr>
        <w:pStyle w:val="Heading3"/>
      </w:pPr>
      <w:bookmarkStart w:id="2" w:name="_Toc260839844"/>
      <w:r>
        <w:t>35.</w:t>
      </w:r>
      <w:r w:rsidRPr="00FC13F1">
        <w:t>11.1</w:t>
      </w:r>
      <w:r w:rsidRPr="00FC13F1">
        <w:tab/>
        <w:t>Specific Voltage and Reactive Power Coordination Procedures.</w:t>
      </w:r>
      <w:bookmarkEnd w:id="2"/>
      <w:r w:rsidRPr="00FC13F1">
        <w:t xml:space="preserve">  </w:t>
      </w:r>
    </w:p>
    <w:p w:rsidR="00430AA1" w:rsidRPr="00FC13F1" w:rsidRDefault="003446C6" w:rsidP="000A3765">
      <w:pPr>
        <w:pStyle w:val="Bodypara"/>
      </w:pPr>
      <w:r w:rsidRPr="00FC13F1">
        <w:t xml:space="preserve">The Parties will utilize the following procedures to coordinate the use of voltage control equipment to maintain a reliable bulk </w:t>
      </w:r>
      <w:r w:rsidRPr="00FC13F1">
        <w:t>power transmission system voltage profi</w:t>
      </w:r>
      <w:r>
        <w:t>le on their respective systems.</w:t>
      </w:r>
    </w:p>
    <w:p w:rsidR="00430AA1" w:rsidRPr="00FC13F1" w:rsidRDefault="003446C6" w:rsidP="001B00D6">
      <w:pPr>
        <w:pStyle w:val="romannumeralpara"/>
      </w:pPr>
      <w:r>
        <w:t>35.</w:t>
      </w:r>
      <w:r w:rsidRPr="003C29F9">
        <w:t>11.1.1</w:t>
      </w:r>
      <w:r w:rsidRPr="00FC13F1">
        <w:rPr>
          <w:b/>
        </w:rPr>
        <w:tab/>
      </w:r>
      <w:r w:rsidRPr="00FC13F1">
        <w:t>Under normal conditions, each Party shall provide for the supply and control of the reactive regulation requirements in its own area, including reactive reserve, so that appli</w:t>
      </w:r>
      <w:r w:rsidRPr="00FC13F1">
        <w:t>cable emergency voltage levels can be maintained following any of the set of contingencies that are ob</w:t>
      </w:r>
      <w:r>
        <w:t>served under normal conditions.</w:t>
      </w:r>
    </w:p>
    <w:p w:rsidR="00430AA1" w:rsidRPr="00FC13F1" w:rsidRDefault="003446C6" w:rsidP="001B00D6">
      <w:pPr>
        <w:pStyle w:val="romannumeralpara"/>
      </w:pPr>
      <w:r>
        <w:t>35.</w:t>
      </w:r>
      <w:r w:rsidRPr="003C29F9">
        <w:t>11.1.2</w:t>
      </w:r>
      <w:r w:rsidRPr="00FC13F1">
        <w:tab/>
        <w:t xml:space="preserve">Under normal conditions, each Party will anticipate voltage trends and initiate corrective action in advance of </w:t>
      </w:r>
      <w:r w:rsidRPr="00FC13F1">
        <w:t>critical pe</w:t>
      </w:r>
      <w:r>
        <w:t>riods of heavy and light loads.</w:t>
      </w:r>
    </w:p>
    <w:p w:rsidR="00430AA1" w:rsidRPr="00FC13F1" w:rsidRDefault="003446C6" w:rsidP="001B00D6">
      <w:pPr>
        <w:pStyle w:val="romannumeralpara"/>
      </w:pPr>
      <w:r>
        <w:t>35.</w:t>
      </w:r>
      <w:r w:rsidRPr="003C29F9">
        <w:t>11.1.3</w:t>
      </w:r>
      <w:r w:rsidRPr="00FC13F1">
        <w:tab/>
        <w:t>Under an abnormal condition, either Party experiencing rapid voltage decay will immediately implement all possible actions, including the shedding of firm load, to correct the problem until such time tha</w:t>
      </w:r>
      <w:r w:rsidRPr="00FC13F1">
        <w:t>t the de</w:t>
      </w:r>
      <w:r>
        <w:t>cay has been corrected.</w:t>
      </w:r>
    </w:p>
    <w:sectPr w:rsidR="00430AA1" w:rsidRPr="00FC13F1" w:rsidSect="004D5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A68" w:rsidRDefault="00AC7A68" w:rsidP="00AC7A68">
      <w:pPr>
        <w:spacing w:after="0" w:line="240" w:lineRule="auto"/>
      </w:pPr>
      <w:r>
        <w:separator/>
      </w:r>
    </w:p>
  </w:endnote>
  <w:endnote w:type="continuationSeparator" w:id="0">
    <w:p w:rsidR="00AC7A68" w:rsidRDefault="00AC7A68" w:rsidP="00AC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68" w:rsidRDefault="003446C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</w:t>
    </w:r>
    <w:r>
      <w:rPr>
        <w:rFonts w:ascii="Arial" w:eastAsia="Arial" w:hAnsi="Arial" w:cs="Arial"/>
        <w:color w:val="000000"/>
        <w:sz w:val="16"/>
      </w:rPr>
      <w:t xml:space="preserve">-1657-000 - Page </w:t>
    </w:r>
    <w:r w:rsidR="00AC7A6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C7A6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68" w:rsidRDefault="003446C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C7A6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C7A6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68" w:rsidRDefault="003446C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C7A6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C7A6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A68" w:rsidRDefault="00AC7A68" w:rsidP="00AC7A68">
      <w:pPr>
        <w:spacing w:after="0" w:line="240" w:lineRule="auto"/>
      </w:pPr>
      <w:r>
        <w:separator/>
      </w:r>
    </w:p>
  </w:footnote>
  <w:footnote w:type="continuationSeparator" w:id="0">
    <w:p w:rsidR="00AC7A68" w:rsidRDefault="00AC7A68" w:rsidP="00AC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68" w:rsidRDefault="003446C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35.11 OATT Att CC Voltage Control</w:t>
    </w:r>
    <w:r>
      <w:rPr>
        <w:rFonts w:ascii="Arial" w:eastAsia="Arial" w:hAnsi="Arial" w:cs="Arial"/>
        <w:color w:val="000000"/>
        <w:sz w:val="16"/>
      </w:rPr>
      <w:t xml:space="preserve"> And Reactive Power Coordin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68" w:rsidRDefault="003446C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35.11 OATT Att CC Voltage Control And Reactive Power Coordin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68" w:rsidRDefault="003446C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35.11 OATT Att CC Voltage Control And Rea</w:t>
    </w:r>
    <w:r>
      <w:rPr>
        <w:rFonts w:ascii="Arial" w:eastAsia="Arial" w:hAnsi="Arial" w:cs="Arial"/>
        <w:color w:val="000000"/>
        <w:sz w:val="16"/>
      </w:rPr>
      <w:t>ctive Power Coordin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2F0"/>
    <w:multiLevelType w:val="hybridMultilevel"/>
    <w:tmpl w:val="1E308E88"/>
    <w:lvl w:ilvl="0" w:tplc="63AC26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3E22B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D8EF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B6054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DD2B4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AC205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23AC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23A8A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79CCB8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2C7C154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B83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705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07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2C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12F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2D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45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84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56AC0"/>
    <w:multiLevelType w:val="hybridMultilevel"/>
    <w:tmpl w:val="A2426FF8"/>
    <w:lvl w:ilvl="0" w:tplc="D00879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722C1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0048C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B5A6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06292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B6A20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28615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272F9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57050E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DE3DDB"/>
    <w:multiLevelType w:val="hybridMultilevel"/>
    <w:tmpl w:val="4336EA44"/>
    <w:lvl w:ilvl="0" w:tplc="D0D867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8E299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02EF7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36E72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F143D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82E0A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A86E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6D69E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5D8F51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16761F2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4F8E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5A56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805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61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F6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61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229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46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671739E9"/>
    <w:multiLevelType w:val="hybridMultilevel"/>
    <w:tmpl w:val="B29C98A0"/>
    <w:lvl w:ilvl="0" w:tplc="03D2E9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78848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F4AE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27A3E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556F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AD6A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0784A1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2AACFE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3B6A55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A68"/>
    <w:rsid w:val="003446C6"/>
    <w:rsid w:val="00AC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5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1942DF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942D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942D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942D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942D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942D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942D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942D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942D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42DF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AC7A6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942DF"/>
    <w:pPr>
      <w:tabs>
        <w:tab w:val="center" w:pos="4680"/>
        <w:tab w:val="right" w:pos="9360"/>
      </w:tabs>
    </w:pPr>
    <w:rPr>
      <w:szCs w:val="24"/>
    </w:rPr>
  </w:style>
  <w:style w:type="character" w:styleId="PageNumber">
    <w:name w:val="page number"/>
    <w:basedOn w:val="DefaultParagraphFont"/>
    <w:rsid w:val="00AC7A68"/>
  </w:style>
  <w:style w:type="paragraph" w:styleId="BalloonText">
    <w:name w:val="Balloon Text"/>
    <w:basedOn w:val="Normal"/>
    <w:semiHidden/>
    <w:rsid w:val="001942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42DF"/>
    <w:rPr>
      <w:color w:val="0000FF"/>
      <w:u w:val="single"/>
    </w:rPr>
  </w:style>
  <w:style w:type="character" w:styleId="FollowedHyperlink">
    <w:name w:val="FollowedHyperlink"/>
    <w:basedOn w:val="DefaultParagraphFont"/>
    <w:rsid w:val="00AC7A68"/>
    <w:rPr>
      <w:color w:val="800080"/>
      <w:u w:val="single"/>
    </w:rPr>
  </w:style>
  <w:style w:type="paragraph" w:styleId="TOC1">
    <w:name w:val="toc 1"/>
    <w:basedOn w:val="Normal"/>
    <w:next w:val="Normal"/>
    <w:semiHidden/>
    <w:rsid w:val="001942DF"/>
  </w:style>
  <w:style w:type="paragraph" w:styleId="TOC3">
    <w:name w:val="toc 3"/>
    <w:basedOn w:val="Normal"/>
    <w:next w:val="Normal"/>
    <w:semiHidden/>
    <w:rsid w:val="001942DF"/>
    <w:pPr>
      <w:ind w:left="480"/>
    </w:pPr>
  </w:style>
  <w:style w:type="paragraph" w:styleId="TOC2">
    <w:name w:val="toc 2"/>
    <w:basedOn w:val="Normal"/>
    <w:next w:val="Normal"/>
    <w:semiHidden/>
    <w:rsid w:val="001942DF"/>
    <w:pPr>
      <w:ind w:left="240"/>
    </w:pPr>
  </w:style>
  <w:style w:type="character" w:styleId="CommentReference">
    <w:name w:val="annotation reference"/>
    <w:basedOn w:val="DefaultParagraphFont"/>
    <w:semiHidden/>
    <w:rsid w:val="00AC7A68"/>
    <w:rPr>
      <w:sz w:val="16"/>
      <w:szCs w:val="16"/>
    </w:rPr>
  </w:style>
  <w:style w:type="paragraph" w:styleId="FootnoteText">
    <w:name w:val="footnote text"/>
    <w:basedOn w:val="Normal"/>
    <w:semiHidden/>
    <w:rsid w:val="00AC7A68"/>
    <w:rPr>
      <w:sz w:val="20"/>
      <w:szCs w:val="20"/>
    </w:rPr>
  </w:style>
  <w:style w:type="character" w:styleId="FootnoteReference">
    <w:name w:val="footnote reference"/>
    <w:semiHidden/>
    <w:rsid w:val="001942DF"/>
  </w:style>
  <w:style w:type="paragraph" w:styleId="CommentText">
    <w:name w:val="annotation text"/>
    <w:basedOn w:val="Normal"/>
    <w:semiHidden/>
    <w:rsid w:val="00AC7A6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C7A68"/>
    <w:rPr>
      <w:b/>
      <w:bCs/>
    </w:rPr>
  </w:style>
  <w:style w:type="paragraph" w:customStyle="1" w:styleId="Level1">
    <w:name w:val="Level 1"/>
    <w:basedOn w:val="Normal"/>
    <w:rsid w:val="001942DF"/>
    <w:pPr>
      <w:ind w:left="1890" w:hanging="720"/>
    </w:pPr>
  </w:style>
  <w:style w:type="paragraph" w:customStyle="1" w:styleId="Definition">
    <w:name w:val="Definition"/>
    <w:basedOn w:val="Normal"/>
    <w:rsid w:val="001942DF"/>
    <w:pPr>
      <w:spacing w:before="240" w:after="240"/>
    </w:pPr>
  </w:style>
  <w:style w:type="paragraph" w:customStyle="1" w:styleId="Definitionindent">
    <w:name w:val="Definition indent"/>
    <w:basedOn w:val="Definition"/>
    <w:rsid w:val="001942DF"/>
    <w:pPr>
      <w:spacing w:before="120" w:after="120"/>
      <w:ind w:left="720"/>
    </w:pPr>
  </w:style>
  <w:style w:type="paragraph" w:customStyle="1" w:styleId="Bodypara">
    <w:name w:val="Body para"/>
    <w:basedOn w:val="Normal"/>
    <w:rsid w:val="001942DF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1942DF"/>
    <w:pPr>
      <w:ind w:left="1440" w:hanging="720"/>
    </w:pPr>
  </w:style>
  <w:style w:type="paragraph" w:styleId="Date">
    <w:name w:val="Date"/>
    <w:basedOn w:val="Normal"/>
    <w:next w:val="Normal"/>
    <w:rsid w:val="001942DF"/>
  </w:style>
  <w:style w:type="paragraph" w:customStyle="1" w:styleId="TOCheading">
    <w:name w:val="TOC heading"/>
    <w:basedOn w:val="Normal"/>
    <w:rsid w:val="001942D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942DF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1942DF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1942DF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942DF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942DF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1942DF"/>
    <w:pPr>
      <w:numPr>
        <w:numId w:val="5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1942DF"/>
    <w:rPr>
      <w:b/>
      <w:sz w:val="28"/>
      <w:szCs w:val="28"/>
    </w:rPr>
  </w:style>
  <w:style w:type="paragraph" w:styleId="TOC4">
    <w:name w:val="toc 4"/>
    <w:basedOn w:val="Normal"/>
    <w:next w:val="Normal"/>
    <w:semiHidden/>
    <w:rsid w:val="001942DF"/>
    <w:pPr>
      <w:ind w:left="720"/>
    </w:pPr>
  </w:style>
  <w:style w:type="paragraph" w:customStyle="1" w:styleId="Bodyparasinglespace">
    <w:name w:val="Body para single space"/>
    <w:basedOn w:val="Normal"/>
    <w:rsid w:val="008460D1"/>
    <w:pPr>
      <w:spacing w:before="120" w:after="120"/>
      <w:ind w:firstLine="720"/>
    </w:pPr>
  </w:style>
  <w:style w:type="paragraph" w:customStyle="1" w:styleId="appendixhead">
    <w:name w:val="appendix head"/>
    <w:basedOn w:val="Heading3"/>
    <w:rsid w:val="00A2379A"/>
    <w:pPr>
      <w:pageBreakBefore/>
    </w:pPr>
  </w:style>
  <w:style w:type="paragraph" w:customStyle="1" w:styleId="appendixsubhead">
    <w:name w:val="appendix subhead"/>
    <w:basedOn w:val="Heading3"/>
    <w:rsid w:val="00A2379A"/>
  </w:style>
  <w:style w:type="paragraph" w:styleId="Caption">
    <w:name w:val="caption"/>
    <w:basedOn w:val="Normal"/>
    <w:next w:val="Normal"/>
    <w:qFormat/>
    <w:rsid w:val="00A2379A"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rsid w:val="00AF41B9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rsid w:val="005431A8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rsid w:val="00AD3DA5"/>
    <w:pPr>
      <w:ind w:left="960"/>
    </w:pPr>
    <w:rPr>
      <w:szCs w:val="24"/>
    </w:rPr>
  </w:style>
  <w:style w:type="paragraph" w:styleId="TOC6">
    <w:name w:val="toc 6"/>
    <w:basedOn w:val="Normal"/>
    <w:next w:val="Normal"/>
    <w:semiHidden/>
    <w:rsid w:val="00AD3DA5"/>
    <w:pPr>
      <w:ind w:left="1200"/>
    </w:pPr>
    <w:rPr>
      <w:szCs w:val="24"/>
    </w:rPr>
  </w:style>
  <w:style w:type="paragraph" w:styleId="TOC7">
    <w:name w:val="toc 7"/>
    <w:basedOn w:val="Normal"/>
    <w:next w:val="Normal"/>
    <w:semiHidden/>
    <w:rsid w:val="00AD3DA5"/>
    <w:pPr>
      <w:ind w:left="1440"/>
    </w:pPr>
    <w:rPr>
      <w:szCs w:val="24"/>
    </w:rPr>
  </w:style>
  <w:style w:type="paragraph" w:styleId="TOC8">
    <w:name w:val="toc 8"/>
    <w:basedOn w:val="Normal"/>
    <w:next w:val="Normal"/>
    <w:semiHidden/>
    <w:rsid w:val="00AD3DA5"/>
    <w:pPr>
      <w:ind w:left="1680"/>
    </w:pPr>
    <w:rPr>
      <w:szCs w:val="24"/>
    </w:rPr>
  </w:style>
  <w:style w:type="paragraph" w:styleId="TOC9">
    <w:name w:val="toc 9"/>
    <w:basedOn w:val="Normal"/>
    <w:next w:val="Normal"/>
    <w:semiHidden/>
    <w:rsid w:val="00AD3DA5"/>
    <w:pPr>
      <w:ind w:left="19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</vt:lpstr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cp:lastModifiedBy/>
  <cp:revision>1</cp:revision>
  <cp:lastPrinted>2009-10-05T20:57:00Z</cp:lastPrinted>
  <dcterms:created xsi:type="dcterms:W3CDTF">2017-12-13T19:28:00Z</dcterms:created>
  <dcterms:modified xsi:type="dcterms:W3CDTF">2017-12-13T19:28:00Z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