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B8" w:rsidRPr="002B66D2" w:rsidRDefault="00665697" w:rsidP="00246C6D">
      <w:pPr>
        <w:pStyle w:val="Heading2"/>
      </w:pPr>
      <w:bookmarkStart w:id="0" w:name="_Toc261446219"/>
      <w:r w:rsidRPr="002B66D2">
        <w:t xml:space="preserve">7.5 </w:t>
      </w:r>
      <w:r w:rsidRPr="002B66D2">
        <w:tab/>
        <w:t>Customer Default</w:t>
      </w:r>
      <w:bookmarkEnd w:id="0"/>
    </w:p>
    <w:p w:rsidR="00DB75B8" w:rsidRPr="002B66D2" w:rsidRDefault="00665697" w:rsidP="00246C6D">
      <w:pPr>
        <w:pStyle w:val="subhead"/>
      </w:pPr>
      <w:bookmarkStart w:id="1" w:name="_Toc261446220"/>
      <w:r w:rsidRPr="002B66D2">
        <w:t>7.5</w:t>
      </w:r>
      <w:r>
        <w:t>.1</w:t>
      </w:r>
      <w:r w:rsidRPr="002B66D2">
        <w:tab/>
        <w:t>Events of Default</w:t>
      </w:r>
      <w:bookmarkEnd w:id="1"/>
    </w:p>
    <w:p w:rsidR="00DB75B8" w:rsidRPr="002B66D2" w:rsidRDefault="00665697" w:rsidP="00246C6D">
      <w:pPr>
        <w:pStyle w:val="Bodypara"/>
      </w:pPr>
      <w:r w:rsidRPr="002B66D2">
        <w:t>An event of default (“Default”) shall occur in the event a Customer (the “Defaulting Party”) shall:</w:t>
      </w:r>
    </w:p>
    <w:p w:rsidR="00DB75B8" w:rsidRDefault="00665697" w:rsidP="00246C6D">
      <w:pPr>
        <w:pStyle w:val="romannumeralpara"/>
      </w:pPr>
      <w:r>
        <w:t>(i)</w:t>
      </w:r>
      <w:r>
        <w:tab/>
        <w:t>fail to comply with the ISO’s creditworthiness requirements and receive notice of such failure;</w:t>
      </w:r>
    </w:p>
    <w:p w:rsidR="00DB75B8" w:rsidRDefault="00665697" w:rsidP="00246C6D">
      <w:pPr>
        <w:pStyle w:val="romannumeralpara"/>
      </w:pPr>
      <w:r>
        <w:t>(ii)</w:t>
      </w:r>
      <w:r>
        <w:tab/>
        <w:t>fail</w:t>
      </w:r>
      <w:r>
        <w:t xml:space="preserve"> to comply with Section 8.4 of this Tariff;</w:t>
      </w:r>
    </w:p>
    <w:p w:rsidR="00DB75B8" w:rsidRDefault="00665697" w:rsidP="00246C6D">
      <w:pPr>
        <w:pStyle w:val="romannumeralpara"/>
      </w:pPr>
      <w:r>
        <w:t>(iii)</w:t>
      </w:r>
      <w:r>
        <w:tab/>
        <w:t>make an assignment or any general arrangement for the benefit of creditors;</w:t>
      </w:r>
    </w:p>
    <w:p w:rsidR="00DB75B8" w:rsidRPr="002B66D2" w:rsidRDefault="00665697" w:rsidP="00246C6D">
      <w:pPr>
        <w:pStyle w:val="romannumeralpara"/>
      </w:pPr>
      <w:r>
        <w:t>(iv)</w:t>
      </w:r>
      <w:r w:rsidRPr="002B66D2">
        <w:tab/>
        <w:t>fail to timely make a payment due to the ISO, regardless of whether such payment is in dispute, and receive notice from the I</w:t>
      </w:r>
      <w:r w:rsidRPr="002B66D2">
        <w:t>SO of such failure;</w:t>
      </w:r>
    </w:p>
    <w:p w:rsidR="00DB75B8" w:rsidRPr="002B66D2" w:rsidRDefault="00665697" w:rsidP="00246C6D">
      <w:pPr>
        <w:pStyle w:val="romannumeralpara"/>
      </w:pPr>
      <w:r>
        <w:t>(v)</w:t>
      </w:r>
      <w:r w:rsidRPr="002B66D2">
        <w:tab/>
        <w:t>fail to cure its default in another independent system operator/regional transmission organization market;</w:t>
      </w:r>
    </w:p>
    <w:p w:rsidR="00DB75B8" w:rsidRDefault="00665697" w:rsidP="00246C6D">
      <w:pPr>
        <w:pStyle w:val="romannumeralpara"/>
      </w:pPr>
      <w:r>
        <w:t>(vi)</w:t>
      </w:r>
      <w:r w:rsidRPr="002B66D2">
        <w:tab/>
        <w:t>file a petition or otherwise commence, authorize, or acquiesce in the co</w:t>
      </w:r>
      <w:r>
        <w:t>mmencement of a case, petition, proceeding, or c</w:t>
      </w:r>
      <w:r>
        <w:t>ause of action under any bankruptcy or insolvency law or similar law for the protection of debtors or creditors, or have such a petition, case, proceeding or cause of action filed or commenced against it and such case, petition, proceeding or cause of acti</w:t>
      </w:r>
      <w:r>
        <w:t>on is not withdrawn or dismissed within thirty (30) days after such filing or commencement;</w:t>
      </w:r>
    </w:p>
    <w:p w:rsidR="00DB75B8" w:rsidRPr="002B66D2" w:rsidRDefault="00665697" w:rsidP="00246C6D">
      <w:pPr>
        <w:pStyle w:val="romannumeralpara"/>
      </w:pPr>
      <w:r>
        <w:t>(vii)</w:t>
      </w:r>
      <w:r w:rsidRPr="002B66D2">
        <w:tab/>
        <w:t>otherwise become bankrupt or insolvent (however evidenced);</w:t>
      </w:r>
    </w:p>
    <w:p w:rsidR="00DB75B8" w:rsidRPr="002B66D2" w:rsidRDefault="00665697" w:rsidP="00246C6D">
      <w:pPr>
        <w:pStyle w:val="romannumeralpara"/>
      </w:pPr>
      <w:r>
        <w:t>(viii)</w:t>
      </w:r>
      <w:r w:rsidRPr="002B66D2">
        <w:tab/>
        <w:t>be unable or unwilling to pay its debts to third parties as they fall due;</w:t>
      </w:r>
    </w:p>
    <w:p w:rsidR="00DB75B8" w:rsidRPr="00131FB9" w:rsidRDefault="00665697" w:rsidP="00246C6D">
      <w:pPr>
        <w:pStyle w:val="romannumeralpara"/>
      </w:pPr>
      <w:r>
        <w:t>(ix)</w:t>
      </w:r>
      <w:r w:rsidRPr="002B66D2">
        <w:tab/>
        <w:t>otherwise b</w:t>
      </w:r>
      <w:r w:rsidRPr="002B66D2">
        <w:t>ecome adjudicated a debtor in bankruptcy or insolvent</w:t>
      </w:r>
      <w:r w:rsidRPr="00131FB9">
        <w:t xml:space="preserve">  (however evidenced);</w:t>
      </w:r>
    </w:p>
    <w:p w:rsidR="00DB75B8" w:rsidRPr="002B66D2" w:rsidRDefault="00665697" w:rsidP="00246C6D">
      <w:pPr>
        <w:pStyle w:val="romannumeralpara"/>
      </w:pPr>
      <w:r>
        <w:lastRenderedPageBreak/>
        <w:t>(x)</w:t>
      </w:r>
      <w:r w:rsidRPr="002B66D2">
        <w:tab/>
        <w:t>be unable (or admits in writing its inability) generally to pay its debts as they become due;</w:t>
      </w:r>
    </w:p>
    <w:p w:rsidR="00DB75B8" w:rsidRPr="002B66D2" w:rsidRDefault="00665697" w:rsidP="00246C6D">
      <w:pPr>
        <w:pStyle w:val="romannumeralpara"/>
      </w:pPr>
      <w:r>
        <w:t>(xi)</w:t>
      </w:r>
      <w:r w:rsidRPr="002B66D2">
        <w:tab/>
        <w:t>be dissolved (other than pursuant to a consolidation, acquisition, amalgamati</w:t>
      </w:r>
      <w:r w:rsidRPr="002B66D2">
        <w:t>on or merger);</w:t>
      </w:r>
    </w:p>
    <w:p w:rsidR="00DB75B8" w:rsidRPr="002B66D2" w:rsidRDefault="00665697" w:rsidP="00246C6D">
      <w:pPr>
        <w:pStyle w:val="romannumeralpara"/>
      </w:pPr>
      <w:r>
        <w:t>(xii)</w:t>
      </w:r>
      <w:r w:rsidRPr="002B66D2">
        <w:tab/>
        <w:t>have a resolution passed for its winding</w:t>
      </w:r>
      <w:r w:rsidRPr="002B66D2">
        <w:noBreakHyphen/>
        <w:t>up official management or liquidation (other than pursuant to a consolidation, acquisition, amalgamation or merger);</w:t>
      </w:r>
    </w:p>
    <w:p w:rsidR="00DB75B8" w:rsidRPr="002B66D2" w:rsidRDefault="00665697" w:rsidP="00246C6D">
      <w:pPr>
        <w:pStyle w:val="romannumeralpara"/>
      </w:pPr>
      <w:r>
        <w:t>(xiii)</w:t>
      </w:r>
      <w:r w:rsidRPr="002B66D2">
        <w:tab/>
        <w:t>seek or become subject to the appointment of an administrator, provisi</w:t>
      </w:r>
      <w:r w:rsidRPr="002B66D2">
        <w:t>onal</w:t>
      </w:r>
      <w:r>
        <w:t xml:space="preserve"> </w:t>
      </w:r>
      <w:r w:rsidRPr="002B66D2">
        <w:t>liquidator, conservator, assignee, receiver, trustee, custodian or other similar entity or official for all or substantially all of its assets;</w:t>
      </w:r>
    </w:p>
    <w:p w:rsidR="00DB75B8" w:rsidRPr="002B66D2" w:rsidRDefault="00665697" w:rsidP="00246C6D">
      <w:pPr>
        <w:pStyle w:val="romannumeralpara"/>
      </w:pPr>
      <w:r>
        <w:t>(xiv)</w:t>
      </w:r>
      <w:r w:rsidRPr="002B66D2">
        <w:tab/>
        <w:t>have a secured party take possession of all or substantially all of its assets or has a distress, lev</w:t>
      </w:r>
      <w:r w:rsidRPr="002B66D2">
        <w:t>y, execution, attachment, sequestration or other legal</w:t>
      </w:r>
      <w:r>
        <w:t xml:space="preserve"> process levied, enforced or sued on or against all or substantially all of its assets and such secured party maintains possession, or any such process is </w:t>
      </w:r>
      <w:r w:rsidRPr="002B66D2">
        <w:t>not dismissed, discharged, stayed or restrained</w:t>
      </w:r>
      <w:r w:rsidRPr="002B66D2">
        <w:t>, in each case within thirty (30) days thereafter;</w:t>
      </w:r>
    </w:p>
    <w:p w:rsidR="00DB75B8" w:rsidRPr="002B66D2" w:rsidRDefault="00665697" w:rsidP="00246C6D">
      <w:pPr>
        <w:pStyle w:val="romannumeralpara"/>
      </w:pPr>
      <w:r>
        <w:t>(xv)</w:t>
      </w:r>
      <w:r w:rsidRPr="002B66D2">
        <w:tab/>
        <w:t>cause or subject to any event with respect to which, under the applicable laws of any jurisdiction, said event has an analogous effect to any of the events specified in clauses (iv) to (xii) (inclusiv</w:t>
      </w:r>
      <w:r w:rsidRPr="002B66D2">
        <w:t>e);</w:t>
      </w:r>
    </w:p>
    <w:p w:rsidR="00DB75B8" w:rsidRDefault="00665697" w:rsidP="00246C6D">
      <w:pPr>
        <w:pStyle w:val="romannumeralpara"/>
      </w:pPr>
      <w:r>
        <w:t>(xvi)</w:t>
      </w:r>
      <w:r w:rsidRPr="002B66D2">
        <w:tab/>
        <w:t>take any action in furtherance of, or indicating its consent to, approval of,</w:t>
      </w:r>
      <w:r>
        <w:t xml:space="preserve"> or acquiescence in, any of the foregoing acts; or</w:t>
      </w:r>
    </w:p>
    <w:p w:rsidR="00DB75B8" w:rsidRDefault="00665697" w:rsidP="00246C6D">
      <w:pPr>
        <w:pStyle w:val="romannumeralpara"/>
      </w:pPr>
      <w:r>
        <w:t>(xvii)</w:t>
      </w:r>
      <w:r w:rsidRPr="002B66D2">
        <w:tab/>
        <w:t>fail to perform any material covenant set forth in the Tariff or a Service</w:t>
      </w:r>
      <w:r>
        <w:t xml:space="preserve"> Agreement (other than the events tha</w:t>
      </w:r>
      <w:r>
        <w:t xml:space="preserve">t are otherwise specifically covered in this Section as a separate Event of Default), and such failure is not excused by Force </w:t>
      </w:r>
      <w:r>
        <w:lastRenderedPageBreak/>
        <w:t>Majeure or cured within five (5) business days after written notice thereof to the Defaulting Party;</w:t>
      </w:r>
    </w:p>
    <w:p w:rsidR="00DB75B8" w:rsidRPr="002B66D2" w:rsidRDefault="00665697" w:rsidP="00246C6D">
      <w:pPr>
        <w:pStyle w:val="subhead"/>
      </w:pPr>
      <w:bookmarkStart w:id="2" w:name="_Toc261446221"/>
      <w:r w:rsidRPr="002B66D2">
        <w:t>7.5</w:t>
      </w:r>
      <w:r>
        <w:t>.2</w:t>
      </w:r>
      <w:r w:rsidRPr="002B66D2">
        <w:tab/>
        <w:t>Cure</w:t>
      </w:r>
      <w:bookmarkEnd w:id="2"/>
    </w:p>
    <w:p w:rsidR="00DB75B8" w:rsidRPr="002B66D2" w:rsidRDefault="00665697" w:rsidP="005277CA">
      <w:pPr>
        <w:pStyle w:val="Bodypara"/>
      </w:pPr>
      <w:r w:rsidRPr="002B66D2">
        <w:t xml:space="preserve">Unless otherwise </w:t>
      </w:r>
      <w:r w:rsidRPr="002B66D2">
        <w:t>provided in Attachment K to this Services Tariff:</w:t>
      </w:r>
    </w:p>
    <w:p w:rsidR="00DB75B8" w:rsidRPr="002B66D2" w:rsidRDefault="00665697" w:rsidP="00246C6D">
      <w:pPr>
        <w:pStyle w:val="romannumeralpara"/>
      </w:pPr>
      <w:r>
        <w:t>(i)</w:t>
      </w:r>
      <w:r w:rsidRPr="002B66D2">
        <w:tab/>
        <w:t xml:space="preserve">A Defaulting Party shall have one (1) business day to cure a Default resulting from its failure to timely make a payment due to the ISO.  </w:t>
      </w:r>
    </w:p>
    <w:p w:rsidR="00DB75B8" w:rsidRDefault="00665697" w:rsidP="00246C6D">
      <w:pPr>
        <w:pStyle w:val="romannumeralpara"/>
      </w:pPr>
      <w:r>
        <w:t>(ii)</w:t>
      </w:r>
      <w:r w:rsidRPr="002B66D2">
        <w:tab/>
        <w:t>A Defaulting Party shall have two (2) business days to cur</w:t>
      </w:r>
      <w:r w:rsidRPr="002B66D2">
        <w:t>e a Default resulting from its failure to comply with the ISO’s</w:t>
      </w:r>
      <w:r>
        <w:t xml:space="preserve"> </w:t>
      </w:r>
      <w:r w:rsidRPr="00606B2C">
        <w:t xml:space="preserve">creditworthiness requirements; </w:t>
      </w:r>
      <w:r w:rsidRPr="00606B2C">
        <w:rPr>
          <w:i/>
          <w:iCs/>
        </w:rPr>
        <w:t>provided, however</w:t>
      </w:r>
      <w:r w:rsidRPr="00606B2C">
        <w:t>, that a Customer shall have one (1) business day to cure a default resulting from its failure to comply with the ISO’s creditworthiness require</w:t>
      </w:r>
      <w:r w:rsidRPr="00606B2C">
        <w:t xml:space="preserve">ments following termination of a Prepayment Agreement.  </w:t>
      </w:r>
    </w:p>
    <w:p w:rsidR="00DB75B8" w:rsidRPr="00246C6D" w:rsidRDefault="00665697" w:rsidP="00246C6D">
      <w:pPr>
        <w:pStyle w:val="subhead"/>
        <w:rPr>
          <w:bCs/>
        </w:rPr>
      </w:pPr>
      <w:bookmarkStart w:id="3" w:name="_Toc261446222"/>
      <w:r w:rsidRPr="002B66D2">
        <w:t>7.5</w:t>
      </w:r>
      <w:r>
        <w:t>.3</w:t>
      </w:r>
      <w:r w:rsidRPr="00246C6D">
        <w:rPr>
          <w:bCs/>
        </w:rPr>
        <w:tab/>
        <w:t>ISO Remedies</w:t>
      </w:r>
      <w:bookmarkEnd w:id="3"/>
    </w:p>
    <w:p w:rsidR="00DB75B8" w:rsidRPr="002B66D2" w:rsidRDefault="00665697" w:rsidP="005277CA">
      <w:pPr>
        <w:pStyle w:val="Bodypara"/>
      </w:pPr>
      <w:r w:rsidRPr="002B66D2">
        <w:t>In addition to any and all other remedies available under the ISO Tariffs or pursuant to law or equity, the ISO shall have the following remedies:</w:t>
      </w:r>
    </w:p>
    <w:p w:rsidR="00DB75B8" w:rsidRPr="002B66D2" w:rsidRDefault="00665697" w:rsidP="00246C6D">
      <w:pPr>
        <w:pStyle w:val="romannumeralpara"/>
      </w:pPr>
      <w:r>
        <w:t>(i)</w:t>
      </w:r>
      <w:r w:rsidRPr="002B66D2">
        <w:tab/>
        <w:t xml:space="preserve">Default.  Upon an event of </w:t>
      </w:r>
      <w:r w:rsidRPr="002B66D2">
        <w:t>Default and expiration of any cure period, the ISO shall have the right to suspend and/or terminate the Service Agreement between the ISO and the Defaulting Party immediately upon notice to the Commission.</w:t>
      </w:r>
    </w:p>
    <w:p w:rsidR="0051209F" w:rsidRPr="00246C6D" w:rsidRDefault="00665697" w:rsidP="00246C6D">
      <w:pPr>
        <w:pStyle w:val="romannumeralpara"/>
        <w:rPr>
          <w:bCs/>
        </w:rPr>
      </w:pPr>
      <w:r>
        <w:t>(ii)</w:t>
      </w:r>
      <w:r w:rsidRPr="002B66D2">
        <w:tab/>
        <w:t xml:space="preserve">Financial Distress.  </w:t>
      </w:r>
      <w:r w:rsidRPr="002B66D2">
        <w:rPr>
          <w:bCs/>
        </w:rPr>
        <w:t>In the event of a reduct</w:t>
      </w:r>
      <w:r w:rsidRPr="002B66D2">
        <w:rPr>
          <w:bCs/>
        </w:rPr>
        <w:t xml:space="preserve">ion in the amount of a Customer’s Unsecured Credit (a) by fifty percent (50%) or more as determined in accordance with Article </w:t>
      </w:r>
      <w:r>
        <w:rPr>
          <w:bCs/>
        </w:rPr>
        <w:t>26.4</w:t>
      </w:r>
      <w:r w:rsidRPr="002B66D2">
        <w:rPr>
          <w:bCs/>
        </w:rPr>
        <w:t xml:space="preserve"> </w:t>
      </w:r>
      <w:r w:rsidRPr="002B66D2">
        <w:rPr>
          <w:bCs/>
        </w:rPr>
        <w:t>of Attachment K to the ISO Services Tariff, or (b) as a result of a material adverse change as determined in accordance with</w:t>
      </w:r>
      <w:r w:rsidRPr="002B66D2">
        <w:rPr>
          <w:bCs/>
        </w:rPr>
        <w:t xml:space="preserve"> Article </w:t>
      </w:r>
      <w:r>
        <w:rPr>
          <w:bCs/>
        </w:rPr>
        <w:t>26.10</w:t>
      </w:r>
      <w:r w:rsidRPr="002B66D2">
        <w:rPr>
          <w:bCs/>
        </w:rPr>
        <w:t xml:space="preserve"> of Attachment K to the ISO Services Tariff, then the ISO shall have the right to: (1) immediately issue an invoice to such Customer requiring payment within two (2) business days from the invoice date for initial settlements representing the</w:t>
      </w:r>
      <w:r w:rsidRPr="002B66D2">
        <w:rPr>
          <w:bCs/>
        </w:rPr>
        <w:t xml:space="preserve"> sum of that billing period’s daily billing data available as of the invoice date, and/or (2) require such Customer to prepay estimated charges for up to twelve months in </w:t>
      </w:r>
      <w:r>
        <w:rPr>
          <w:bCs/>
        </w:rPr>
        <w:t>accordance with ISO Procedures.</w:t>
      </w:r>
    </w:p>
    <w:p w:rsidR="0051209F" w:rsidRPr="002B66D2" w:rsidRDefault="00665697" w:rsidP="00246C6D">
      <w:pPr>
        <w:pStyle w:val="romannumeralpara"/>
        <w:rPr>
          <w:bCs/>
          <w:sz w:val="20"/>
        </w:rPr>
      </w:pPr>
      <w:r>
        <w:t>(iii)</w:t>
      </w:r>
      <w:r w:rsidRPr="002B66D2">
        <w:rPr>
          <w:bCs/>
        </w:rPr>
        <w:tab/>
        <w:t>Default in Another ISO/RTO.  In the event a Cus</w:t>
      </w:r>
      <w:r w:rsidRPr="002B66D2">
        <w:rPr>
          <w:bCs/>
        </w:rPr>
        <w:t xml:space="preserve">tomer </w:t>
      </w:r>
      <w:r w:rsidRPr="002B66D2">
        <w:t>fails to cure its default in another independent system operator/regional transmission organization market, then the ISO shall have the right to:  (1) demand immediate payment by the Customer to the ISO for any amounts owed as of the date of the dema</w:t>
      </w:r>
      <w:r w:rsidRPr="002B66D2">
        <w:t xml:space="preserve">nd, and/or (2) </w:t>
      </w:r>
      <w:r w:rsidRPr="002B66D2">
        <w:rPr>
          <w:bCs/>
        </w:rPr>
        <w:t>require the Customer to prepay estimated charges for a minimum of twelve months in accordance with ISO Procedures, and/or (3) reduce or eliminate the amount of the Customer’s Unsecured Credit.</w:t>
      </w:r>
    </w:p>
    <w:p w:rsidR="0051209F" w:rsidRPr="002B66D2" w:rsidRDefault="00665697" w:rsidP="00246C6D">
      <w:pPr>
        <w:pStyle w:val="romannumeralpara"/>
        <w:rPr>
          <w:bCs/>
          <w:sz w:val="20"/>
        </w:rPr>
      </w:pPr>
      <w:r>
        <w:t>(iv)</w:t>
      </w:r>
      <w:r w:rsidRPr="002B66D2">
        <w:rPr>
          <w:bCs/>
        </w:rPr>
        <w:tab/>
        <w:t>Two Late Payments.  In the event a Customer</w:t>
      </w:r>
      <w:r w:rsidRPr="002B66D2">
        <w:rPr>
          <w:bCs/>
        </w:rPr>
        <w:t xml:space="preserve"> fails to pay its invoice when due on two occasions within a rolling twelve (12) month period, then the</w:t>
      </w:r>
      <w:r w:rsidRPr="00406CB5">
        <w:rPr>
          <w:bCs/>
        </w:rPr>
        <w:t xml:space="preserve"> </w:t>
      </w:r>
      <w:r w:rsidRPr="002B66D2">
        <w:rPr>
          <w:bCs/>
        </w:rPr>
        <w:t>ISO shall have the right to:  (1) require the Customer to prepay estimated charges weekly, based on charges incurred by the Customer in the previous wee</w:t>
      </w:r>
      <w:r w:rsidRPr="002B66D2">
        <w:rPr>
          <w:bCs/>
        </w:rPr>
        <w:t>k, for up to twelve months, and/or (2) reduce or eliminate the amount of the Customer’s Unsecured Credit for up to twelve (12) months.</w:t>
      </w:r>
    </w:p>
    <w:p w:rsidR="00DB75B8" w:rsidRPr="00246C6D" w:rsidRDefault="00665697" w:rsidP="00246C6D">
      <w:pPr>
        <w:pStyle w:val="subhead"/>
        <w:rPr>
          <w:bCs/>
        </w:rPr>
      </w:pPr>
      <w:bookmarkStart w:id="4" w:name="_Toc261446223"/>
      <w:r w:rsidRPr="002B66D2">
        <w:t>7.5</w:t>
      </w:r>
      <w:r>
        <w:t>.4</w:t>
      </w:r>
      <w:r w:rsidRPr="00246C6D">
        <w:rPr>
          <w:bCs/>
        </w:rPr>
        <w:tab/>
        <w:t>Forward Contracts</w:t>
      </w:r>
      <w:bookmarkEnd w:id="4"/>
    </w:p>
    <w:p w:rsidR="00DB75B8" w:rsidRPr="00B455D4" w:rsidRDefault="00665697" w:rsidP="005277CA">
      <w:pPr>
        <w:pStyle w:val="Bodypara"/>
        <w:rPr>
          <w:b/>
          <w:bCs/>
        </w:rPr>
      </w:pPr>
      <w:r w:rsidRPr="00B455D4">
        <w:t>By entering into Transactions under this Tariff, the Customer agrees that its Service Agreement a</w:t>
      </w:r>
      <w:r w:rsidRPr="00B455D4">
        <w:t>nd Transactions under this Tariff shall constitute a “forward contract” within the meaning of the United States Bankruptcy Code.</w:t>
      </w:r>
    </w:p>
    <w:p w:rsidR="00DB75B8" w:rsidRPr="00246C6D" w:rsidRDefault="00665697" w:rsidP="00246C6D">
      <w:pPr>
        <w:pStyle w:val="subhead"/>
        <w:rPr>
          <w:bCs/>
        </w:rPr>
      </w:pPr>
      <w:bookmarkStart w:id="5" w:name="_Toc261446224"/>
      <w:r w:rsidRPr="002B66D2">
        <w:t>7.5</w:t>
      </w:r>
      <w:r>
        <w:t>.5</w:t>
      </w:r>
      <w:r w:rsidRPr="00246C6D">
        <w:rPr>
          <w:bCs/>
        </w:rPr>
        <w:tab/>
        <w:t>ISO Setoff Rights</w:t>
      </w:r>
      <w:bookmarkEnd w:id="5"/>
    </w:p>
    <w:p w:rsidR="00DB75B8" w:rsidRDefault="00665697" w:rsidP="005277CA">
      <w:pPr>
        <w:pStyle w:val="Bodypara"/>
      </w:pPr>
      <w:r w:rsidRPr="00B455D4">
        <w:t>The ISO shall have the right to apply any amounts owed a Customer pursuant to</w:t>
      </w:r>
      <w:r>
        <w:t xml:space="preserve"> this Tariff against any a</w:t>
      </w:r>
      <w:r>
        <w:t>mounts owed to the ISO by a Customer.</w:t>
      </w:r>
    </w:p>
    <w:p w:rsidR="008A2F59" w:rsidRDefault="00665697"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50D" w:rsidRDefault="00CE550D" w:rsidP="00CE550D">
      <w:r>
        <w:separator/>
      </w:r>
    </w:p>
  </w:endnote>
  <w:endnote w:type="continuationSeparator" w:id="0">
    <w:p w:rsidR="00CE550D" w:rsidRDefault="00CE550D" w:rsidP="00CE550D">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50D" w:rsidRDefault="00665697">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E550D">
      <w:rPr>
        <w:rFonts w:ascii="Arial" w:eastAsia="Arial" w:hAnsi="Arial" w:cs="Arial"/>
        <w:color w:val="000000"/>
        <w:sz w:val="16"/>
      </w:rPr>
      <w:fldChar w:fldCharType="begin"/>
    </w:r>
    <w:r>
      <w:rPr>
        <w:rFonts w:ascii="Arial" w:eastAsia="Arial" w:hAnsi="Arial" w:cs="Arial"/>
        <w:color w:val="000000"/>
        <w:sz w:val="16"/>
      </w:rPr>
      <w:instrText>PAGE</w:instrText>
    </w:r>
    <w:r w:rsidR="00CE550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50D" w:rsidRDefault="00665697">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E550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E550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50D" w:rsidRDefault="00665697">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E550D">
      <w:rPr>
        <w:rFonts w:ascii="Arial" w:eastAsia="Arial" w:hAnsi="Arial" w:cs="Arial"/>
        <w:color w:val="000000"/>
        <w:sz w:val="16"/>
      </w:rPr>
      <w:fldChar w:fldCharType="begin"/>
    </w:r>
    <w:r>
      <w:rPr>
        <w:rFonts w:ascii="Arial" w:eastAsia="Arial" w:hAnsi="Arial" w:cs="Arial"/>
        <w:color w:val="000000"/>
        <w:sz w:val="16"/>
      </w:rPr>
      <w:instrText>PAGE</w:instrText>
    </w:r>
    <w:r w:rsidR="00CE550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50D" w:rsidRDefault="00CE550D" w:rsidP="00CE550D">
      <w:r>
        <w:separator/>
      </w:r>
    </w:p>
  </w:footnote>
  <w:footnote w:type="continuationSeparator" w:id="0">
    <w:p w:rsidR="00CE550D" w:rsidRDefault="00CE550D" w:rsidP="00CE5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50D" w:rsidRDefault="0066569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7.5 MST Customer Default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50D" w:rsidRDefault="00665697">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7 MST Billing and Payment --&gt; 7.5 MST Customer Default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50D" w:rsidRDefault="0066569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7.5 MST Customer Default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90270FC">
      <w:start w:val="1"/>
      <w:numFmt w:val="bullet"/>
      <w:lvlText w:val=""/>
      <w:lvlJc w:val="left"/>
      <w:pPr>
        <w:tabs>
          <w:tab w:val="num" w:pos="720"/>
        </w:tabs>
        <w:ind w:left="720" w:hanging="360"/>
      </w:pPr>
      <w:rPr>
        <w:rFonts w:ascii="Symbol" w:hAnsi="Symbol" w:hint="default"/>
      </w:rPr>
    </w:lvl>
    <w:lvl w:ilvl="1" w:tplc="F37A2D8E" w:tentative="1">
      <w:start w:val="1"/>
      <w:numFmt w:val="bullet"/>
      <w:lvlText w:val="o"/>
      <w:lvlJc w:val="left"/>
      <w:pPr>
        <w:tabs>
          <w:tab w:val="num" w:pos="1440"/>
        </w:tabs>
        <w:ind w:left="1440" w:hanging="360"/>
      </w:pPr>
      <w:rPr>
        <w:rFonts w:ascii="Courier New" w:hAnsi="Courier New" w:cs="Courier New" w:hint="default"/>
      </w:rPr>
    </w:lvl>
    <w:lvl w:ilvl="2" w:tplc="2C30B20C" w:tentative="1">
      <w:start w:val="1"/>
      <w:numFmt w:val="bullet"/>
      <w:lvlText w:val=""/>
      <w:lvlJc w:val="left"/>
      <w:pPr>
        <w:tabs>
          <w:tab w:val="num" w:pos="2160"/>
        </w:tabs>
        <w:ind w:left="2160" w:hanging="360"/>
      </w:pPr>
      <w:rPr>
        <w:rFonts w:ascii="Wingdings" w:hAnsi="Wingdings" w:hint="default"/>
      </w:rPr>
    </w:lvl>
    <w:lvl w:ilvl="3" w:tplc="23AC028A" w:tentative="1">
      <w:start w:val="1"/>
      <w:numFmt w:val="bullet"/>
      <w:lvlText w:val=""/>
      <w:lvlJc w:val="left"/>
      <w:pPr>
        <w:tabs>
          <w:tab w:val="num" w:pos="2880"/>
        </w:tabs>
        <w:ind w:left="2880" w:hanging="360"/>
      </w:pPr>
      <w:rPr>
        <w:rFonts w:ascii="Symbol" w:hAnsi="Symbol" w:hint="default"/>
      </w:rPr>
    </w:lvl>
    <w:lvl w:ilvl="4" w:tplc="CE1ED7DC" w:tentative="1">
      <w:start w:val="1"/>
      <w:numFmt w:val="bullet"/>
      <w:lvlText w:val="o"/>
      <w:lvlJc w:val="left"/>
      <w:pPr>
        <w:tabs>
          <w:tab w:val="num" w:pos="3600"/>
        </w:tabs>
        <w:ind w:left="3600" w:hanging="360"/>
      </w:pPr>
      <w:rPr>
        <w:rFonts w:ascii="Courier New" w:hAnsi="Courier New" w:cs="Courier New" w:hint="default"/>
      </w:rPr>
    </w:lvl>
    <w:lvl w:ilvl="5" w:tplc="CFEC32B4" w:tentative="1">
      <w:start w:val="1"/>
      <w:numFmt w:val="bullet"/>
      <w:lvlText w:val=""/>
      <w:lvlJc w:val="left"/>
      <w:pPr>
        <w:tabs>
          <w:tab w:val="num" w:pos="4320"/>
        </w:tabs>
        <w:ind w:left="4320" w:hanging="360"/>
      </w:pPr>
      <w:rPr>
        <w:rFonts w:ascii="Wingdings" w:hAnsi="Wingdings" w:hint="default"/>
      </w:rPr>
    </w:lvl>
    <w:lvl w:ilvl="6" w:tplc="83BE86F4" w:tentative="1">
      <w:start w:val="1"/>
      <w:numFmt w:val="bullet"/>
      <w:lvlText w:val=""/>
      <w:lvlJc w:val="left"/>
      <w:pPr>
        <w:tabs>
          <w:tab w:val="num" w:pos="5040"/>
        </w:tabs>
        <w:ind w:left="5040" w:hanging="360"/>
      </w:pPr>
      <w:rPr>
        <w:rFonts w:ascii="Symbol" w:hAnsi="Symbol" w:hint="default"/>
      </w:rPr>
    </w:lvl>
    <w:lvl w:ilvl="7" w:tplc="A2867352" w:tentative="1">
      <w:start w:val="1"/>
      <w:numFmt w:val="bullet"/>
      <w:lvlText w:val="o"/>
      <w:lvlJc w:val="left"/>
      <w:pPr>
        <w:tabs>
          <w:tab w:val="num" w:pos="5760"/>
        </w:tabs>
        <w:ind w:left="5760" w:hanging="360"/>
      </w:pPr>
      <w:rPr>
        <w:rFonts w:ascii="Courier New" w:hAnsi="Courier New" w:cs="Courier New" w:hint="default"/>
      </w:rPr>
    </w:lvl>
    <w:lvl w:ilvl="8" w:tplc="8B0CD99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C629B48">
      <w:start w:val="1"/>
      <w:numFmt w:val="upperLetter"/>
      <w:lvlText w:val="%1."/>
      <w:lvlJc w:val="left"/>
      <w:pPr>
        <w:tabs>
          <w:tab w:val="num" w:pos="1440"/>
        </w:tabs>
        <w:ind w:left="1440" w:hanging="720"/>
      </w:pPr>
      <w:rPr>
        <w:rFonts w:hint="default"/>
      </w:rPr>
    </w:lvl>
    <w:lvl w:ilvl="1" w:tplc="B8DA313E" w:tentative="1">
      <w:start w:val="1"/>
      <w:numFmt w:val="lowerLetter"/>
      <w:lvlText w:val="%2."/>
      <w:lvlJc w:val="left"/>
      <w:pPr>
        <w:tabs>
          <w:tab w:val="num" w:pos="1800"/>
        </w:tabs>
        <w:ind w:left="1800" w:hanging="360"/>
      </w:pPr>
    </w:lvl>
    <w:lvl w:ilvl="2" w:tplc="8628135A" w:tentative="1">
      <w:start w:val="1"/>
      <w:numFmt w:val="lowerRoman"/>
      <w:lvlText w:val="%3."/>
      <w:lvlJc w:val="right"/>
      <w:pPr>
        <w:tabs>
          <w:tab w:val="num" w:pos="2520"/>
        </w:tabs>
        <w:ind w:left="2520" w:hanging="180"/>
      </w:pPr>
    </w:lvl>
    <w:lvl w:ilvl="3" w:tplc="B3DC7F6A" w:tentative="1">
      <w:start w:val="1"/>
      <w:numFmt w:val="decimal"/>
      <w:lvlText w:val="%4."/>
      <w:lvlJc w:val="left"/>
      <w:pPr>
        <w:tabs>
          <w:tab w:val="num" w:pos="3240"/>
        </w:tabs>
        <w:ind w:left="3240" w:hanging="360"/>
      </w:pPr>
    </w:lvl>
    <w:lvl w:ilvl="4" w:tplc="80303F34" w:tentative="1">
      <w:start w:val="1"/>
      <w:numFmt w:val="lowerLetter"/>
      <w:lvlText w:val="%5."/>
      <w:lvlJc w:val="left"/>
      <w:pPr>
        <w:tabs>
          <w:tab w:val="num" w:pos="3960"/>
        </w:tabs>
        <w:ind w:left="3960" w:hanging="360"/>
      </w:pPr>
    </w:lvl>
    <w:lvl w:ilvl="5" w:tplc="08BC555C" w:tentative="1">
      <w:start w:val="1"/>
      <w:numFmt w:val="lowerRoman"/>
      <w:lvlText w:val="%6."/>
      <w:lvlJc w:val="right"/>
      <w:pPr>
        <w:tabs>
          <w:tab w:val="num" w:pos="4680"/>
        </w:tabs>
        <w:ind w:left="4680" w:hanging="180"/>
      </w:pPr>
    </w:lvl>
    <w:lvl w:ilvl="6" w:tplc="FE12BE9C" w:tentative="1">
      <w:start w:val="1"/>
      <w:numFmt w:val="decimal"/>
      <w:lvlText w:val="%7."/>
      <w:lvlJc w:val="left"/>
      <w:pPr>
        <w:tabs>
          <w:tab w:val="num" w:pos="5400"/>
        </w:tabs>
        <w:ind w:left="5400" w:hanging="360"/>
      </w:pPr>
    </w:lvl>
    <w:lvl w:ilvl="7" w:tplc="D8FCB426" w:tentative="1">
      <w:start w:val="1"/>
      <w:numFmt w:val="lowerLetter"/>
      <w:lvlText w:val="%8."/>
      <w:lvlJc w:val="left"/>
      <w:pPr>
        <w:tabs>
          <w:tab w:val="num" w:pos="6120"/>
        </w:tabs>
        <w:ind w:left="6120" w:hanging="360"/>
      </w:pPr>
    </w:lvl>
    <w:lvl w:ilvl="8" w:tplc="C840E9D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2EE6D88">
      <w:start w:val="3"/>
      <w:numFmt w:val="upperLetter"/>
      <w:lvlText w:val="%1."/>
      <w:lvlJc w:val="left"/>
      <w:pPr>
        <w:tabs>
          <w:tab w:val="num" w:pos="1080"/>
        </w:tabs>
        <w:ind w:left="1080" w:hanging="360"/>
      </w:pPr>
      <w:rPr>
        <w:rFonts w:hint="default"/>
      </w:rPr>
    </w:lvl>
    <w:lvl w:ilvl="1" w:tplc="51C8E63C" w:tentative="1">
      <w:start w:val="1"/>
      <w:numFmt w:val="lowerLetter"/>
      <w:lvlText w:val="%2."/>
      <w:lvlJc w:val="left"/>
      <w:pPr>
        <w:tabs>
          <w:tab w:val="num" w:pos="1800"/>
        </w:tabs>
        <w:ind w:left="1800" w:hanging="360"/>
      </w:pPr>
    </w:lvl>
    <w:lvl w:ilvl="2" w:tplc="1254615E" w:tentative="1">
      <w:start w:val="1"/>
      <w:numFmt w:val="lowerRoman"/>
      <w:lvlText w:val="%3."/>
      <w:lvlJc w:val="right"/>
      <w:pPr>
        <w:tabs>
          <w:tab w:val="num" w:pos="2520"/>
        </w:tabs>
        <w:ind w:left="2520" w:hanging="180"/>
      </w:pPr>
    </w:lvl>
    <w:lvl w:ilvl="3" w:tplc="DF7C50D2" w:tentative="1">
      <w:start w:val="1"/>
      <w:numFmt w:val="decimal"/>
      <w:lvlText w:val="%4."/>
      <w:lvlJc w:val="left"/>
      <w:pPr>
        <w:tabs>
          <w:tab w:val="num" w:pos="3240"/>
        </w:tabs>
        <w:ind w:left="3240" w:hanging="360"/>
      </w:pPr>
    </w:lvl>
    <w:lvl w:ilvl="4" w:tplc="F8D8FD28" w:tentative="1">
      <w:start w:val="1"/>
      <w:numFmt w:val="lowerLetter"/>
      <w:lvlText w:val="%5."/>
      <w:lvlJc w:val="left"/>
      <w:pPr>
        <w:tabs>
          <w:tab w:val="num" w:pos="3960"/>
        </w:tabs>
        <w:ind w:left="3960" w:hanging="360"/>
      </w:pPr>
    </w:lvl>
    <w:lvl w:ilvl="5" w:tplc="7616A1C8" w:tentative="1">
      <w:start w:val="1"/>
      <w:numFmt w:val="lowerRoman"/>
      <w:lvlText w:val="%6."/>
      <w:lvlJc w:val="right"/>
      <w:pPr>
        <w:tabs>
          <w:tab w:val="num" w:pos="4680"/>
        </w:tabs>
        <w:ind w:left="4680" w:hanging="180"/>
      </w:pPr>
    </w:lvl>
    <w:lvl w:ilvl="6" w:tplc="186C43AC" w:tentative="1">
      <w:start w:val="1"/>
      <w:numFmt w:val="decimal"/>
      <w:lvlText w:val="%7."/>
      <w:lvlJc w:val="left"/>
      <w:pPr>
        <w:tabs>
          <w:tab w:val="num" w:pos="5400"/>
        </w:tabs>
        <w:ind w:left="5400" w:hanging="360"/>
      </w:pPr>
    </w:lvl>
    <w:lvl w:ilvl="7" w:tplc="A0CE6816" w:tentative="1">
      <w:start w:val="1"/>
      <w:numFmt w:val="lowerLetter"/>
      <w:lvlText w:val="%8."/>
      <w:lvlJc w:val="left"/>
      <w:pPr>
        <w:tabs>
          <w:tab w:val="num" w:pos="6120"/>
        </w:tabs>
        <w:ind w:left="6120" w:hanging="360"/>
      </w:pPr>
    </w:lvl>
    <w:lvl w:ilvl="8" w:tplc="78163F7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B082B34">
      <w:start w:val="1"/>
      <w:numFmt w:val="bullet"/>
      <w:pStyle w:val="Bulletpara"/>
      <w:lvlText w:val=""/>
      <w:lvlJc w:val="left"/>
      <w:pPr>
        <w:tabs>
          <w:tab w:val="num" w:pos="720"/>
        </w:tabs>
        <w:ind w:left="720" w:hanging="360"/>
      </w:pPr>
      <w:rPr>
        <w:rFonts w:ascii="Symbol" w:hAnsi="Symbol" w:hint="default"/>
      </w:rPr>
    </w:lvl>
    <w:lvl w:ilvl="1" w:tplc="C798CF50" w:tentative="1">
      <w:start w:val="1"/>
      <w:numFmt w:val="bullet"/>
      <w:lvlText w:val="o"/>
      <w:lvlJc w:val="left"/>
      <w:pPr>
        <w:tabs>
          <w:tab w:val="num" w:pos="1440"/>
        </w:tabs>
        <w:ind w:left="1440" w:hanging="360"/>
      </w:pPr>
      <w:rPr>
        <w:rFonts w:ascii="Courier New" w:hAnsi="Courier New" w:cs="Courier New" w:hint="default"/>
      </w:rPr>
    </w:lvl>
    <w:lvl w:ilvl="2" w:tplc="B352FC30" w:tentative="1">
      <w:start w:val="1"/>
      <w:numFmt w:val="bullet"/>
      <w:lvlText w:val=""/>
      <w:lvlJc w:val="left"/>
      <w:pPr>
        <w:tabs>
          <w:tab w:val="num" w:pos="2160"/>
        </w:tabs>
        <w:ind w:left="2160" w:hanging="360"/>
      </w:pPr>
      <w:rPr>
        <w:rFonts w:ascii="Wingdings" w:hAnsi="Wingdings" w:hint="default"/>
      </w:rPr>
    </w:lvl>
    <w:lvl w:ilvl="3" w:tplc="56D6DEDC" w:tentative="1">
      <w:start w:val="1"/>
      <w:numFmt w:val="bullet"/>
      <w:lvlText w:val=""/>
      <w:lvlJc w:val="left"/>
      <w:pPr>
        <w:tabs>
          <w:tab w:val="num" w:pos="2880"/>
        </w:tabs>
        <w:ind w:left="2880" w:hanging="360"/>
      </w:pPr>
      <w:rPr>
        <w:rFonts w:ascii="Symbol" w:hAnsi="Symbol" w:hint="default"/>
      </w:rPr>
    </w:lvl>
    <w:lvl w:ilvl="4" w:tplc="30DCED54" w:tentative="1">
      <w:start w:val="1"/>
      <w:numFmt w:val="bullet"/>
      <w:lvlText w:val="o"/>
      <w:lvlJc w:val="left"/>
      <w:pPr>
        <w:tabs>
          <w:tab w:val="num" w:pos="3600"/>
        </w:tabs>
        <w:ind w:left="3600" w:hanging="360"/>
      </w:pPr>
      <w:rPr>
        <w:rFonts w:ascii="Courier New" w:hAnsi="Courier New" w:cs="Courier New" w:hint="default"/>
      </w:rPr>
    </w:lvl>
    <w:lvl w:ilvl="5" w:tplc="2EA83728" w:tentative="1">
      <w:start w:val="1"/>
      <w:numFmt w:val="bullet"/>
      <w:lvlText w:val=""/>
      <w:lvlJc w:val="left"/>
      <w:pPr>
        <w:tabs>
          <w:tab w:val="num" w:pos="4320"/>
        </w:tabs>
        <w:ind w:left="4320" w:hanging="360"/>
      </w:pPr>
      <w:rPr>
        <w:rFonts w:ascii="Wingdings" w:hAnsi="Wingdings" w:hint="default"/>
      </w:rPr>
    </w:lvl>
    <w:lvl w:ilvl="6" w:tplc="417EEB6A" w:tentative="1">
      <w:start w:val="1"/>
      <w:numFmt w:val="bullet"/>
      <w:lvlText w:val=""/>
      <w:lvlJc w:val="left"/>
      <w:pPr>
        <w:tabs>
          <w:tab w:val="num" w:pos="5040"/>
        </w:tabs>
        <w:ind w:left="5040" w:hanging="360"/>
      </w:pPr>
      <w:rPr>
        <w:rFonts w:ascii="Symbol" w:hAnsi="Symbol" w:hint="default"/>
      </w:rPr>
    </w:lvl>
    <w:lvl w:ilvl="7" w:tplc="08447034" w:tentative="1">
      <w:start w:val="1"/>
      <w:numFmt w:val="bullet"/>
      <w:lvlText w:val="o"/>
      <w:lvlJc w:val="left"/>
      <w:pPr>
        <w:tabs>
          <w:tab w:val="num" w:pos="5760"/>
        </w:tabs>
        <w:ind w:left="5760" w:hanging="360"/>
      </w:pPr>
      <w:rPr>
        <w:rFonts w:ascii="Courier New" w:hAnsi="Courier New" w:cs="Courier New" w:hint="default"/>
      </w:rPr>
    </w:lvl>
    <w:lvl w:ilvl="8" w:tplc="0D9A480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B7CE538">
      <w:start w:val="2"/>
      <w:numFmt w:val="decimal"/>
      <w:lvlText w:val="(%1)"/>
      <w:lvlJc w:val="left"/>
      <w:pPr>
        <w:tabs>
          <w:tab w:val="num" w:pos="1800"/>
        </w:tabs>
        <w:ind w:left="1800" w:hanging="360"/>
      </w:pPr>
      <w:rPr>
        <w:rFonts w:hint="default"/>
        <w:b w:val="0"/>
        <w:sz w:val="24"/>
      </w:rPr>
    </w:lvl>
    <w:lvl w:ilvl="1" w:tplc="2CDC3B9A" w:tentative="1">
      <w:start w:val="1"/>
      <w:numFmt w:val="lowerLetter"/>
      <w:lvlText w:val="%2."/>
      <w:lvlJc w:val="left"/>
      <w:pPr>
        <w:tabs>
          <w:tab w:val="num" w:pos="2520"/>
        </w:tabs>
        <w:ind w:left="2520" w:hanging="360"/>
      </w:pPr>
    </w:lvl>
    <w:lvl w:ilvl="2" w:tplc="E1DC5AAA" w:tentative="1">
      <w:start w:val="1"/>
      <w:numFmt w:val="lowerRoman"/>
      <w:lvlText w:val="%3."/>
      <w:lvlJc w:val="right"/>
      <w:pPr>
        <w:tabs>
          <w:tab w:val="num" w:pos="3240"/>
        </w:tabs>
        <w:ind w:left="3240" w:hanging="180"/>
      </w:pPr>
    </w:lvl>
    <w:lvl w:ilvl="3" w:tplc="7EC4CD96" w:tentative="1">
      <w:start w:val="1"/>
      <w:numFmt w:val="decimal"/>
      <w:lvlText w:val="%4."/>
      <w:lvlJc w:val="left"/>
      <w:pPr>
        <w:tabs>
          <w:tab w:val="num" w:pos="3960"/>
        </w:tabs>
        <w:ind w:left="3960" w:hanging="360"/>
      </w:pPr>
    </w:lvl>
    <w:lvl w:ilvl="4" w:tplc="91DE9D52" w:tentative="1">
      <w:start w:val="1"/>
      <w:numFmt w:val="lowerLetter"/>
      <w:lvlText w:val="%5."/>
      <w:lvlJc w:val="left"/>
      <w:pPr>
        <w:tabs>
          <w:tab w:val="num" w:pos="4680"/>
        </w:tabs>
        <w:ind w:left="4680" w:hanging="360"/>
      </w:pPr>
    </w:lvl>
    <w:lvl w:ilvl="5" w:tplc="F11A265C" w:tentative="1">
      <w:start w:val="1"/>
      <w:numFmt w:val="lowerRoman"/>
      <w:lvlText w:val="%6."/>
      <w:lvlJc w:val="right"/>
      <w:pPr>
        <w:tabs>
          <w:tab w:val="num" w:pos="5400"/>
        </w:tabs>
        <w:ind w:left="5400" w:hanging="180"/>
      </w:pPr>
    </w:lvl>
    <w:lvl w:ilvl="6" w:tplc="059C91D2" w:tentative="1">
      <w:start w:val="1"/>
      <w:numFmt w:val="decimal"/>
      <w:lvlText w:val="%7."/>
      <w:lvlJc w:val="left"/>
      <w:pPr>
        <w:tabs>
          <w:tab w:val="num" w:pos="6120"/>
        </w:tabs>
        <w:ind w:left="6120" w:hanging="360"/>
      </w:pPr>
    </w:lvl>
    <w:lvl w:ilvl="7" w:tplc="BB0420BE" w:tentative="1">
      <w:start w:val="1"/>
      <w:numFmt w:val="lowerLetter"/>
      <w:lvlText w:val="%8."/>
      <w:lvlJc w:val="left"/>
      <w:pPr>
        <w:tabs>
          <w:tab w:val="num" w:pos="6840"/>
        </w:tabs>
        <w:ind w:left="6840" w:hanging="360"/>
      </w:pPr>
    </w:lvl>
    <w:lvl w:ilvl="8" w:tplc="7A2EACE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0069836">
      <w:start w:val="1"/>
      <w:numFmt w:val="decimal"/>
      <w:lvlText w:val="(%1)"/>
      <w:lvlJc w:val="left"/>
      <w:pPr>
        <w:tabs>
          <w:tab w:val="num" w:pos="2160"/>
        </w:tabs>
        <w:ind w:left="2160" w:hanging="720"/>
      </w:pPr>
      <w:rPr>
        <w:rFonts w:hint="default"/>
      </w:rPr>
    </w:lvl>
    <w:lvl w:ilvl="1" w:tplc="DBAE564A" w:tentative="1">
      <w:start w:val="1"/>
      <w:numFmt w:val="lowerLetter"/>
      <w:lvlText w:val="%2."/>
      <w:lvlJc w:val="left"/>
      <w:pPr>
        <w:tabs>
          <w:tab w:val="num" w:pos="2520"/>
        </w:tabs>
        <w:ind w:left="2520" w:hanging="360"/>
      </w:pPr>
    </w:lvl>
    <w:lvl w:ilvl="2" w:tplc="D9CC1CFE" w:tentative="1">
      <w:start w:val="1"/>
      <w:numFmt w:val="lowerRoman"/>
      <w:lvlText w:val="%3."/>
      <w:lvlJc w:val="right"/>
      <w:pPr>
        <w:tabs>
          <w:tab w:val="num" w:pos="3240"/>
        </w:tabs>
        <w:ind w:left="3240" w:hanging="180"/>
      </w:pPr>
    </w:lvl>
    <w:lvl w:ilvl="3" w:tplc="B73AC6AC" w:tentative="1">
      <w:start w:val="1"/>
      <w:numFmt w:val="decimal"/>
      <w:lvlText w:val="%4."/>
      <w:lvlJc w:val="left"/>
      <w:pPr>
        <w:tabs>
          <w:tab w:val="num" w:pos="3960"/>
        </w:tabs>
        <w:ind w:left="3960" w:hanging="360"/>
      </w:pPr>
    </w:lvl>
    <w:lvl w:ilvl="4" w:tplc="6992701C" w:tentative="1">
      <w:start w:val="1"/>
      <w:numFmt w:val="lowerLetter"/>
      <w:lvlText w:val="%5."/>
      <w:lvlJc w:val="left"/>
      <w:pPr>
        <w:tabs>
          <w:tab w:val="num" w:pos="4680"/>
        </w:tabs>
        <w:ind w:left="4680" w:hanging="360"/>
      </w:pPr>
    </w:lvl>
    <w:lvl w:ilvl="5" w:tplc="810E6A50" w:tentative="1">
      <w:start w:val="1"/>
      <w:numFmt w:val="lowerRoman"/>
      <w:lvlText w:val="%6."/>
      <w:lvlJc w:val="right"/>
      <w:pPr>
        <w:tabs>
          <w:tab w:val="num" w:pos="5400"/>
        </w:tabs>
        <w:ind w:left="5400" w:hanging="180"/>
      </w:pPr>
    </w:lvl>
    <w:lvl w:ilvl="6" w:tplc="0EA04EB6" w:tentative="1">
      <w:start w:val="1"/>
      <w:numFmt w:val="decimal"/>
      <w:lvlText w:val="%7."/>
      <w:lvlJc w:val="left"/>
      <w:pPr>
        <w:tabs>
          <w:tab w:val="num" w:pos="6120"/>
        </w:tabs>
        <w:ind w:left="6120" w:hanging="360"/>
      </w:pPr>
    </w:lvl>
    <w:lvl w:ilvl="7" w:tplc="0F904AFC" w:tentative="1">
      <w:start w:val="1"/>
      <w:numFmt w:val="lowerLetter"/>
      <w:lvlText w:val="%8."/>
      <w:lvlJc w:val="left"/>
      <w:pPr>
        <w:tabs>
          <w:tab w:val="num" w:pos="6840"/>
        </w:tabs>
        <w:ind w:left="6840" w:hanging="360"/>
      </w:pPr>
    </w:lvl>
    <w:lvl w:ilvl="8" w:tplc="3ECA244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6C2406DE">
      <w:start w:val="1"/>
      <w:numFmt w:val="lowerRoman"/>
      <w:lvlText w:val="(%1)"/>
      <w:lvlJc w:val="left"/>
      <w:pPr>
        <w:tabs>
          <w:tab w:val="num" w:pos="1440"/>
        </w:tabs>
        <w:ind w:left="1440" w:hanging="720"/>
      </w:pPr>
      <w:rPr>
        <w:rFonts w:hint="default"/>
      </w:rPr>
    </w:lvl>
    <w:lvl w:ilvl="1" w:tplc="F7807ECA" w:tentative="1">
      <w:start w:val="1"/>
      <w:numFmt w:val="lowerLetter"/>
      <w:lvlText w:val="%2."/>
      <w:lvlJc w:val="left"/>
      <w:pPr>
        <w:tabs>
          <w:tab w:val="num" w:pos="1800"/>
        </w:tabs>
        <w:ind w:left="1800" w:hanging="360"/>
      </w:pPr>
    </w:lvl>
    <w:lvl w:ilvl="2" w:tplc="AFDAD28E" w:tentative="1">
      <w:start w:val="1"/>
      <w:numFmt w:val="lowerRoman"/>
      <w:lvlText w:val="%3."/>
      <w:lvlJc w:val="right"/>
      <w:pPr>
        <w:tabs>
          <w:tab w:val="num" w:pos="2520"/>
        </w:tabs>
        <w:ind w:left="2520" w:hanging="180"/>
      </w:pPr>
    </w:lvl>
    <w:lvl w:ilvl="3" w:tplc="09681A8C" w:tentative="1">
      <w:start w:val="1"/>
      <w:numFmt w:val="decimal"/>
      <w:lvlText w:val="%4."/>
      <w:lvlJc w:val="left"/>
      <w:pPr>
        <w:tabs>
          <w:tab w:val="num" w:pos="3240"/>
        </w:tabs>
        <w:ind w:left="3240" w:hanging="360"/>
      </w:pPr>
    </w:lvl>
    <w:lvl w:ilvl="4" w:tplc="CEE6F25E" w:tentative="1">
      <w:start w:val="1"/>
      <w:numFmt w:val="lowerLetter"/>
      <w:lvlText w:val="%5."/>
      <w:lvlJc w:val="left"/>
      <w:pPr>
        <w:tabs>
          <w:tab w:val="num" w:pos="3960"/>
        </w:tabs>
        <w:ind w:left="3960" w:hanging="360"/>
      </w:pPr>
    </w:lvl>
    <w:lvl w:ilvl="5" w:tplc="8C86842C" w:tentative="1">
      <w:start w:val="1"/>
      <w:numFmt w:val="lowerRoman"/>
      <w:lvlText w:val="%6."/>
      <w:lvlJc w:val="right"/>
      <w:pPr>
        <w:tabs>
          <w:tab w:val="num" w:pos="4680"/>
        </w:tabs>
        <w:ind w:left="4680" w:hanging="180"/>
      </w:pPr>
    </w:lvl>
    <w:lvl w:ilvl="6" w:tplc="162A9FD6" w:tentative="1">
      <w:start w:val="1"/>
      <w:numFmt w:val="decimal"/>
      <w:lvlText w:val="%7."/>
      <w:lvlJc w:val="left"/>
      <w:pPr>
        <w:tabs>
          <w:tab w:val="num" w:pos="5400"/>
        </w:tabs>
        <w:ind w:left="5400" w:hanging="360"/>
      </w:pPr>
    </w:lvl>
    <w:lvl w:ilvl="7" w:tplc="85406324" w:tentative="1">
      <w:start w:val="1"/>
      <w:numFmt w:val="lowerLetter"/>
      <w:lvlText w:val="%8."/>
      <w:lvlJc w:val="left"/>
      <w:pPr>
        <w:tabs>
          <w:tab w:val="num" w:pos="6120"/>
        </w:tabs>
        <w:ind w:left="6120" w:hanging="360"/>
      </w:pPr>
    </w:lvl>
    <w:lvl w:ilvl="8" w:tplc="CF38484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D7E86352">
      <w:start w:val="1"/>
      <w:numFmt w:val="lowerRoman"/>
      <w:lvlText w:val="(%1)"/>
      <w:lvlJc w:val="left"/>
      <w:pPr>
        <w:tabs>
          <w:tab w:val="num" w:pos="2448"/>
        </w:tabs>
        <w:ind w:left="2448" w:hanging="648"/>
      </w:pPr>
      <w:rPr>
        <w:rFonts w:hint="default"/>
        <w:b w:val="0"/>
        <w:i w:val="0"/>
        <w:u w:val="none"/>
      </w:rPr>
    </w:lvl>
    <w:lvl w:ilvl="1" w:tplc="AA08729C" w:tentative="1">
      <w:start w:val="1"/>
      <w:numFmt w:val="lowerLetter"/>
      <w:lvlText w:val="%2."/>
      <w:lvlJc w:val="left"/>
      <w:pPr>
        <w:tabs>
          <w:tab w:val="num" w:pos="1440"/>
        </w:tabs>
        <w:ind w:left="1440" w:hanging="360"/>
      </w:pPr>
    </w:lvl>
    <w:lvl w:ilvl="2" w:tplc="57FA96DC" w:tentative="1">
      <w:start w:val="1"/>
      <w:numFmt w:val="lowerRoman"/>
      <w:lvlText w:val="%3."/>
      <w:lvlJc w:val="right"/>
      <w:pPr>
        <w:tabs>
          <w:tab w:val="num" w:pos="2160"/>
        </w:tabs>
        <w:ind w:left="2160" w:hanging="180"/>
      </w:pPr>
    </w:lvl>
    <w:lvl w:ilvl="3" w:tplc="2132CF96" w:tentative="1">
      <w:start w:val="1"/>
      <w:numFmt w:val="decimal"/>
      <w:lvlText w:val="%4."/>
      <w:lvlJc w:val="left"/>
      <w:pPr>
        <w:tabs>
          <w:tab w:val="num" w:pos="2880"/>
        </w:tabs>
        <w:ind w:left="2880" w:hanging="360"/>
      </w:pPr>
    </w:lvl>
    <w:lvl w:ilvl="4" w:tplc="530ECDD6" w:tentative="1">
      <w:start w:val="1"/>
      <w:numFmt w:val="lowerLetter"/>
      <w:lvlText w:val="%5."/>
      <w:lvlJc w:val="left"/>
      <w:pPr>
        <w:tabs>
          <w:tab w:val="num" w:pos="3600"/>
        </w:tabs>
        <w:ind w:left="3600" w:hanging="360"/>
      </w:pPr>
    </w:lvl>
    <w:lvl w:ilvl="5" w:tplc="3CD0416E" w:tentative="1">
      <w:start w:val="1"/>
      <w:numFmt w:val="lowerRoman"/>
      <w:lvlText w:val="%6."/>
      <w:lvlJc w:val="right"/>
      <w:pPr>
        <w:tabs>
          <w:tab w:val="num" w:pos="4320"/>
        </w:tabs>
        <w:ind w:left="4320" w:hanging="180"/>
      </w:pPr>
    </w:lvl>
    <w:lvl w:ilvl="6" w:tplc="7B224880" w:tentative="1">
      <w:start w:val="1"/>
      <w:numFmt w:val="decimal"/>
      <w:lvlText w:val="%7."/>
      <w:lvlJc w:val="left"/>
      <w:pPr>
        <w:tabs>
          <w:tab w:val="num" w:pos="5040"/>
        </w:tabs>
        <w:ind w:left="5040" w:hanging="360"/>
      </w:pPr>
    </w:lvl>
    <w:lvl w:ilvl="7" w:tplc="CCA8D644" w:tentative="1">
      <w:start w:val="1"/>
      <w:numFmt w:val="lowerLetter"/>
      <w:lvlText w:val="%8."/>
      <w:lvlJc w:val="left"/>
      <w:pPr>
        <w:tabs>
          <w:tab w:val="num" w:pos="5760"/>
        </w:tabs>
        <w:ind w:left="5760" w:hanging="360"/>
      </w:pPr>
    </w:lvl>
    <w:lvl w:ilvl="8" w:tplc="822C5D5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A6EC1C88">
      <w:start w:val="1"/>
      <w:numFmt w:val="lowerLetter"/>
      <w:lvlText w:val="%1."/>
      <w:lvlJc w:val="left"/>
      <w:pPr>
        <w:tabs>
          <w:tab w:val="num" w:pos="2160"/>
        </w:tabs>
        <w:ind w:left="2160" w:hanging="720"/>
      </w:pPr>
      <w:rPr>
        <w:rFonts w:hint="default"/>
      </w:rPr>
    </w:lvl>
    <w:lvl w:ilvl="1" w:tplc="D8E2EA7E" w:tentative="1">
      <w:start w:val="1"/>
      <w:numFmt w:val="lowerLetter"/>
      <w:lvlText w:val="%2."/>
      <w:lvlJc w:val="left"/>
      <w:pPr>
        <w:tabs>
          <w:tab w:val="num" w:pos="2520"/>
        </w:tabs>
        <w:ind w:left="2520" w:hanging="360"/>
      </w:pPr>
    </w:lvl>
    <w:lvl w:ilvl="2" w:tplc="7D1CFEC8" w:tentative="1">
      <w:start w:val="1"/>
      <w:numFmt w:val="lowerRoman"/>
      <w:lvlText w:val="%3."/>
      <w:lvlJc w:val="right"/>
      <w:pPr>
        <w:tabs>
          <w:tab w:val="num" w:pos="3240"/>
        </w:tabs>
        <w:ind w:left="3240" w:hanging="180"/>
      </w:pPr>
    </w:lvl>
    <w:lvl w:ilvl="3" w:tplc="FAC2AE4E" w:tentative="1">
      <w:start w:val="1"/>
      <w:numFmt w:val="decimal"/>
      <w:lvlText w:val="%4."/>
      <w:lvlJc w:val="left"/>
      <w:pPr>
        <w:tabs>
          <w:tab w:val="num" w:pos="3960"/>
        </w:tabs>
        <w:ind w:left="3960" w:hanging="360"/>
      </w:pPr>
    </w:lvl>
    <w:lvl w:ilvl="4" w:tplc="60F06B66" w:tentative="1">
      <w:start w:val="1"/>
      <w:numFmt w:val="lowerLetter"/>
      <w:lvlText w:val="%5."/>
      <w:lvlJc w:val="left"/>
      <w:pPr>
        <w:tabs>
          <w:tab w:val="num" w:pos="4680"/>
        </w:tabs>
        <w:ind w:left="4680" w:hanging="360"/>
      </w:pPr>
    </w:lvl>
    <w:lvl w:ilvl="5" w:tplc="822068EA" w:tentative="1">
      <w:start w:val="1"/>
      <w:numFmt w:val="lowerRoman"/>
      <w:lvlText w:val="%6."/>
      <w:lvlJc w:val="right"/>
      <w:pPr>
        <w:tabs>
          <w:tab w:val="num" w:pos="5400"/>
        </w:tabs>
        <w:ind w:left="5400" w:hanging="180"/>
      </w:pPr>
    </w:lvl>
    <w:lvl w:ilvl="6" w:tplc="77BCE85E" w:tentative="1">
      <w:start w:val="1"/>
      <w:numFmt w:val="decimal"/>
      <w:lvlText w:val="%7."/>
      <w:lvlJc w:val="left"/>
      <w:pPr>
        <w:tabs>
          <w:tab w:val="num" w:pos="6120"/>
        </w:tabs>
        <w:ind w:left="6120" w:hanging="360"/>
      </w:pPr>
    </w:lvl>
    <w:lvl w:ilvl="7" w:tplc="FF6C628A" w:tentative="1">
      <w:start w:val="1"/>
      <w:numFmt w:val="lowerLetter"/>
      <w:lvlText w:val="%8."/>
      <w:lvlJc w:val="left"/>
      <w:pPr>
        <w:tabs>
          <w:tab w:val="num" w:pos="6840"/>
        </w:tabs>
        <w:ind w:left="6840" w:hanging="360"/>
      </w:pPr>
    </w:lvl>
    <w:lvl w:ilvl="8" w:tplc="D4EE5D12"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DFA2D5C8">
      <w:start w:val="1"/>
      <w:numFmt w:val="bullet"/>
      <w:lvlText w:val=""/>
      <w:lvlJc w:val="left"/>
      <w:pPr>
        <w:tabs>
          <w:tab w:val="num" w:pos="5760"/>
        </w:tabs>
        <w:ind w:left="5760" w:hanging="360"/>
      </w:pPr>
      <w:rPr>
        <w:rFonts w:ascii="Symbol" w:hAnsi="Symbol" w:hint="default"/>
        <w:color w:val="auto"/>
        <w:u w:val="none"/>
      </w:rPr>
    </w:lvl>
    <w:lvl w:ilvl="1" w:tplc="03925274" w:tentative="1">
      <w:start w:val="1"/>
      <w:numFmt w:val="bullet"/>
      <w:lvlText w:val="o"/>
      <w:lvlJc w:val="left"/>
      <w:pPr>
        <w:tabs>
          <w:tab w:val="num" w:pos="3600"/>
        </w:tabs>
        <w:ind w:left="3600" w:hanging="360"/>
      </w:pPr>
      <w:rPr>
        <w:rFonts w:ascii="Courier New" w:hAnsi="Courier New" w:hint="default"/>
      </w:rPr>
    </w:lvl>
    <w:lvl w:ilvl="2" w:tplc="804A0758" w:tentative="1">
      <w:start w:val="1"/>
      <w:numFmt w:val="bullet"/>
      <w:lvlText w:val=""/>
      <w:lvlJc w:val="left"/>
      <w:pPr>
        <w:tabs>
          <w:tab w:val="num" w:pos="4320"/>
        </w:tabs>
        <w:ind w:left="4320" w:hanging="360"/>
      </w:pPr>
      <w:rPr>
        <w:rFonts w:ascii="Wingdings" w:hAnsi="Wingdings" w:hint="default"/>
      </w:rPr>
    </w:lvl>
    <w:lvl w:ilvl="3" w:tplc="F7BA62AA">
      <w:start w:val="1"/>
      <w:numFmt w:val="bullet"/>
      <w:lvlText w:val=""/>
      <w:lvlJc w:val="left"/>
      <w:pPr>
        <w:tabs>
          <w:tab w:val="num" w:pos="5040"/>
        </w:tabs>
        <w:ind w:left="5040" w:hanging="360"/>
      </w:pPr>
      <w:rPr>
        <w:rFonts w:ascii="Symbol" w:hAnsi="Symbol" w:hint="default"/>
      </w:rPr>
    </w:lvl>
    <w:lvl w:ilvl="4" w:tplc="72909FA2" w:tentative="1">
      <w:start w:val="1"/>
      <w:numFmt w:val="bullet"/>
      <w:lvlText w:val="o"/>
      <w:lvlJc w:val="left"/>
      <w:pPr>
        <w:tabs>
          <w:tab w:val="num" w:pos="5760"/>
        </w:tabs>
        <w:ind w:left="5760" w:hanging="360"/>
      </w:pPr>
      <w:rPr>
        <w:rFonts w:ascii="Courier New" w:hAnsi="Courier New" w:hint="default"/>
      </w:rPr>
    </w:lvl>
    <w:lvl w:ilvl="5" w:tplc="A10498DA" w:tentative="1">
      <w:start w:val="1"/>
      <w:numFmt w:val="bullet"/>
      <w:lvlText w:val=""/>
      <w:lvlJc w:val="left"/>
      <w:pPr>
        <w:tabs>
          <w:tab w:val="num" w:pos="6480"/>
        </w:tabs>
        <w:ind w:left="6480" w:hanging="360"/>
      </w:pPr>
      <w:rPr>
        <w:rFonts w:ascii="Wingdings" w:hAnsi="Wingdings" w:hint="default"/>
      </w:rPr>
    </w:lvl>
    <w:lvl w:ilvl="6" w:tplc="8336341E" w:tentative="1">
      <w:start w:val="1"/>
      <w:numFmt w:val="bullet"/>
      <w:lvlText w:val=""/>
      <w:lvlJc w:val="left"/>
      <w:pPr>
        <w:tabs>
          <w:tab w:val="num" w:pos="7200"/>
        </w:tabs>
        <w:ind w:left="7200" w:hanging="360"/>
      </w:pPr>
      <w:rPr>
        <w:rFonts w:ascii="Symbol" w:hAnsi="Symbol" w:hint="default"/>
      </w:rPr>
    </w:lvl>
    <w:lvl w:ilvl="7" w:tplc="BFFCAEC4" w:tentative="1">
      <w:start w:val="1"/>
      <w:numFmt w:val="bullet"/>
      <w:lvlText w:val="o"/>
      <w:lvlJc w:val="left"/>
      <w:pPr>
        <w:tabs>
          <w:tab w:val="num" w:pos="7920"/>
        </w:tabs>
        <w:ind w:left="7920" w:hanging="360"/>
      </w:pPr>
      <w:rPr>
        <w:rFonts w:ascii="Courier New" w:hAnsi="Courier New" w:hint="default"/>
      </w:rPr>
    </w:lvl>
    <w:lvl w:ilvl="8" w:tplc="089818E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DF902D50">
      <w:start w:val="1"/>
      <w:numFmt w:val="bullet"/>
      <w:lvlText w:val=""/>
      <w:lvlJc w:val="left"/>
      <w:pPr>
        <w:tabs>
          <w:tab w:val="num" w:pos="720"/>
        </w:tabs>
        <w:ind w:left="720" w:hanging="360"/>
      </w:pPr>
      <w:rPr>
        <w:rFonts w:ascii="Symbol" w:hAnsi="Symbol" w:hint="default"/>
      </w:rPr>
    </w:lvl>
    <w:lvl w:ilvl="1" w:tplc="CECAD968" w:tentative="1">
      <w:start w:val="1"/>
      <w:numFmt w:val="bullet"/>
      <w:lvlText w:val="o"/>
      <w:lvlJc w:val="left"/>
      <w:pPr>
        <w:tabs>
          <w:tab w:val="num" w:pos="1440"/>
        </w:tabs>
        <w:ind w:left="1440" w:hanging="360"/>
      </w:pPr>
      <w:rPr>
        <w:rFonts w:ascii="Courier New" w:hAnsi="Courier New" w:hint="default"/>
      </w:rPr>
    </w:lvl>
    <w:lvl w:ilvl="2" w:tplc="EEE8D92E" w:tentative="1">
      <w:start w:val="1"/>
      <w:numFmt w:val="bullet"/>
      <w:lvlText w:val=""/>
      <w:lvlJc w:val="left"/>
      <w:pPr>
        <w:tabs>
          <w:tab w:val="num" w:pos="2160"/>
        </w:tabs>
        <w:ind w:left="2160" w:hanging="360"/>
      </w:pPr>
      <w:rPr>
        <w:rFonts w:ascii="Wingdings" w:hAnsi="Wingdings" w:hint="default"/>
      </w:rPr>
    </w:lvl>
    <w:lvl w:ilvl="3" w:tplc="4EF800B6" w:tentative="1">
      <w:start w:val="1"/>
      <w:numFmt w:val="bullet"/>
      <w:lvlText w:val=""/>
      <w:lvlJc w:val="left"/>
      <w:pPr>
        <w:tabs>
          <w:tab w:val="num" w:pos="2880"/>
        </w:tabs>
        <w:ind w:left="2880" w:hanging="360"/>
      </w:pPr>
      <w:rPr>
        <w:rFonts w:ascii="Symbol" w:hAnsi="Symbol" w:hint="default"/>
      </w:rPr>
    </w:lvl>
    <w:lvl w:ilvl="4" w:tplc="BAA62824" w:tentative="1">
      <w:start w:val="1"/>
      <w:numFmt w:val="bullet"/>
      <w:lvlText w:val="o"/>
      <w:lvlJc w:val="left"/>
      <w:pPr>
        <w:tabs>
          <w:tab w:val="num" w:pos="3600"/>
        </w:tabs>
        <w:ind w:left="3600" w:hanging="360"/>
      </w:pPr>
      <w:rPr>
        <w:rFonts w:ascii="Courier New" w:hAnsi="Courier New" w:hint="default"/>
      </w:rPr>
    </w:lvl>
    <w:lvl w:ilvl="5" w:tplc="6AF81E16" w:tentative="1">
      <w:start w:val="1"/>
      <w:numFmt w:val="bullet"/>
      <w:lvlText w:val=""/>
      <w:lvlJc w:val="left"/>
      <w:pPr>
        <w:tabs>
          <w:tab w:val="num" w:pos="4320"/>
        </w:tabs>
        <w:ind w:left="4320" w:hanging="360"/>
      </w:pPr>
      <w:rPr>
        <w:rFonts w:ascii="Wingdings" w:hAnsi="Wingdings" w:hint="default"/>
      </w:rPr>
    </w:lvl>
    <w:lvl w:ilvl="6" w:tplc="8C1ED014" w:tentative="1">
      <w:start w:val="1"/>
      <w:numFmt w:val="bullet"/>
      <w:lvlText w:val=""/>
      <w:lvlJc w:val="left"/>
      <w:pPr>
        <w:tabs>
          <w:tab w:val="num" w:pos="5040"/>
        </w:tabs>
        <w:ind w:left="5040" w:hanging="360"/>
      </w:pPr>
      <w:rPr>
        <w:rFonts w:ascii="Symbol" w:hAnsi="Symbol" w:hint="default"/>
      </w:rPr>
    </w:lvl>
    <w:lvl w:ilvl="7" w:tplc="4BF45DE4" w:tentative="1">
      <w:start w:val="1"/>
      <w:numFmt w:val="bullet"/>
      <w:lvlText w:val="o"/>
      <w:lvlJc w:val="left"/>
      <w:pPr>
        <w:tabs>
          <w:tab w:val="num" w:pos="5760"/>
        </w:tabs>
        <w:ind w:left="5760" w:hanging="360"/>
      </w:pPr>
      <w:rPr>
        <w:rFonts w:ascii="Courier New" w:hAnsi="Courier New" w:hint="default"/>
      </w:rPr>
    </w:lvl>
    <w:lvl w:ilvl="8" w:tplc="660A055C"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B08C7F54">
      <w:start w:val="6"/>
      <w:numFmt w:val="lowerRoman"/>
      <w:lvlText w:val="(%1)"/>
      <w:lvlJc w:val="left"/>
      <w:pPr>
        <w:tabs>
          <w:tab w:val="num" w:pos="1440"/>
        </w:tabs>
        <w:ind w:left="1440" w:hanging="720"/>
      </w:pPr>
      <w:rPr>
        <w:rFonts w:hint="default"/>
        <w:u w:val="double"/>
      </w:rPr>
    </w:lvl>
    <w:lvl w:ilvl="1" w:tplc="2C565498" w:tentative="1">
      <w:start w:val="1"/>
      <w:numFmt w:val="lowerLetter"/>
      <w:lvlText w:val="%2."/>
      <w:lvlJc w:val="left"/>
      <w:pPr>
        <w:tabs>
          <w:tab w:val="num" w:pos="1800"/>
        </w:tabs>
        <w:ind w:left="1800" w:hanging="360"/>
      </w:pPr>
    </w:lvl>
    <w:lvl w:ilvl="2" w:tplc="BB30B892" w:tentative="1">
      <w:start w:val="1"/>
      <w:numFmt w:val="lowerRoman"/>
      <w:lvlText w:val="%3."/>
      <w:lvlJc w:val="right"/>
      <w:pPr>
        <w:tabs>
          <w:tab w:val="num" w:pos="2520"/>
        </w:tabs>
        <w:ind w:left="2520" w:hanging="180"/>
      </w:pPr>
    </w:lvl>
    <w:lvl w:ilvl="3" w:tplc="7256E306" w:tentative="1">
      <w:start w:val="1"/>
      <w:numFmt w:val="decimal"/>
      <w:lvlText w:val="%4."/>
      <w:lvlJc w:val="left"/>
      <w:pPr>
        <w:tabs>
          <w:tab w:val="num" w:pos="3240"/>
        </w:tabs>
        <w:ind w:left="3240" w:hanging="360"/>
      </w:pPr>
    </w:lvl>
    <w:lvl w:ilvl="4" w:tplc="F8A0A3C6" w:tentative="1">
      <w:start w:val="1"/>
      <w:numFmt w:val="lowerLetter"/>
      <w:lvlText w:val="%5."/>
      <w:lvlJc w:val="left"/>
      <w:pPr>
        <w:tabs>
          <w:tab w:val="num" w:pos="3960"/>
        </w:tabs>
        <w:ind w:left="3960" w:hanging="360"/>
      </w:pPr>
    </w:lvl>
    <w:lvl w:ilvl="5" w:tplc="7482291E" w:tentative="1">
      <w:start w:val="1"/>
      <w:numFmt w:val="lowerRoman"/>
      <w:lvlText w:val="%6."/>
      <w:lvlJc w:val="right"/>
      <w:pPr>
        <w:tabs>
          <w:tab w:val="num" w:pos="4680"/>
        </w:tabs>
        <w:ind w:left="4680" w:hanging="180"/>
      </w:pPr>
    </w:lvl>
    <w:lvl w:ilvl="6" w:tplc="B0EAB76A" w:tentative="1">
      <w:start w:val="1"/>
      <w:numFmt w:val="decimal"/>
      <w:lvlText w:val="%7."/>
      <w:lvlJc w:val="left"/>
      <w:pPr>
        <w:tabs>
          <w:tab w:val="num" w:pos="5400"/>
        </w:tabs>
        <w:ind w:left="5400" w:hanging="360"/>
      </w:pPr>
    </w:lvl>
    <w:lvl w:ilvl="7" w:tplc="FDA43F2E" w:tentative="1">
      <w:start w:val="1"/>
      <w:numFmt w:val="lowerLetter"/>
      <w:lvlText w:val="%8."/>
      <w:lvlJc w:val="left"/>
      <w:pPr>
        <w:tabs>
          <w:tab w:val="num" w:pos="6120"/>
        </w:tabs>
        <w:ind w:left="6120" w:hanging="360"/>
      </w:pPr>
    </w:lvl>
    <w:lvl w:ilvl="8" w:tplc="4A0C2F1C"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550D"/>
    <w:rsid w:val="00665697"/>
    <w:rsid w:val="00CE55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E49"/>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CE550D"/>
    <w:pPr>
      <w:jc w:val="center"/>
    </w:pPr>
    <w:rPr>
      <w:b/>
      <w:bCs/>
    </w:rPr>
  </w:style>
  <w:style w:type="character" w:styleId="CommentReference">
    <w:name w:val="annotation reference"/>
    <w:basedOn w:val="DefaultParagraphFont"/>
    <w:semiHidden/>
    <w:rsid w:val="00CE550D"/>
    <w:rPr>
      <w:sz w:val="16"/>
      <w:szCs w:val="16"/>
    </w:rPr>
  </w:style>
  <w:style w:type="paragraph" w:styleId="CommentText">
    <w:name w:val="annotation text"/>
    <w:basedOn w:val="Normal"/>
    <w:semiHidden/>
    <w:rsid w:val="00CE550D"/>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CE550D"/>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2017-12-13T19:33:00Z</dcterms:created>
  <dcterms:modified xsi:type="dcterms:W3CDTF">2017-12-13T19:33:00Z</dcterms:modified>
</cp:coreProperties>
</file>