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2F47A6" w:rsidP="00C32B72">
      <w:pPr>
        <w:pStyle w:val="Heading2"/>
      </w:pPr>
      <w:bookmarkStart w:id="0" w:name="_Toc261446001"/>
      <w:r>
        <w:t>2</w:t>
      </w:r>
      <w:r w:rsidRPr="00134068">
        <w:t>.</w:t>
      </w:r>
      <w:r>
        <w:t>9</w:t>
      </w:r>
      <w:r w:rsidRPr="00134068">
        <w:tab/>
        <w:t xml:space="preserve">Definitions - </w:t>
      </w:r>
      <w:r>
        <w:t>I</w:t>
      </w:r>
      <w:bookmarkEnd w:id="0"/>
    </w:p>
    <w:p w:rsidR="000E4744" w:rsidRDefault="002F47A6" w:rsidP="00C32B72">
      <w:pPr>
        <w:pStyle w:val="Definition"/>
      </w:pPr>
      <w:r>
        <w:rPr>
          <w:b/>
          <w:bCs/>
        </w:rPr>
        <w:t>ICAP Demand Curve</w:t>
      </w:r>
      <w:r>
        <w:t xml:space="preserve">: </w:t>
      </w:r>
      <w:r>
        <w:t>A series of prices which decline until reaching zero as the amount of Installed Capacity increases.</w:t>
      </w:r>
    </w:p>
    <w:p w:rsidR="0058348D" w:rsidRDefault="002F47A6" w:rsidP="003C0CCC">
      <w:pPr>
        <w:pStyle w:val="Definition"/>
        <w:rPr>
          <w:u w:val="double"/>
        </w:rPr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</w:t>
      </w:r>
      <w:r>
        <w:t>An auction conducted pursuant to Section 5.14.1</w:t>
      </w:r>
      <w:r>
        <w:t>.1</w:t>
      </w:r>
      <w:r>
        <w:t xml:space="preserve"> of this Tariff to procure and set LSE Unforced Capacity </w:t>
      </w:r>
      <w:r w:rsidRPr="003C0CCC"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58348D" w:rsidRDefault="002F47A6" w:rsidP="003C0CCC">
      <w:pPr>
        <w:pStyle w:val="Definition"/>
      </w:pPr>
      <w:r>
        <w:rPr>
          <w:b/>
          <w:bCs/>
        </w:rPr>
        <w:t>Imports</w:t>
      </w:r>
      <w:r>
        <w:t xml:space="preserve">: </w:t>
      </w:r>
      <w:r>
        <w:t xml:space="preserve">A Bilateral Transaction or sale </w:t>
      </w:r>
      <w:r>
        <w:t xml:space="preserve">to the LBMP Market where Energy is delivered to a NYCA Interconnection from another Control </w:t>
      </w:r>
      <w:r w:rsidRPr="003C0CCC">
        <w:rPr>
          <w:bCs/>
          <w:iCs/>
        </w:rPr>
        <w:t>Area</w:t>
      </w:r>
      <w:r>
        <w:t>.</w:t>
      </w:r>
    </w:p>
    <w:p w:rsidR="000E4744" w:rsidRDefault="002F47A6" w:rsidP="003C0CCC">
      <w:pPr>
        <w:pStyle w:val="Definition"/>
      </w:pPr>
      <w:r>
        <w:rPr>
          <w:b/>
          <w:bCs/>
        </w:rPr>
        <w:t>Inadvertent Energy Accounting</w:t>
      </w:r>
      <w:r>
        <w:t xml:space="preserve">: </w:t>
      </w:r>
      <w:r>
        <w:t xml:space="preserve">The </w:t>
      </w:r>
      <w:r w:rsidRPr="003C0CCC"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 w:rsidRPr="003C0CCC">
        <w:rPr>
          <w:bCs/>
          <w:iCs/>
        </w:rPr>
        <w:t>l</w:t>
      </w:r>
      <w:r>
        <w:t>ed Energy inter</w:t>
      </w:r>
      <w:r>
        <w:t>change of a Control Area with adjacent Control Areas.</w:t>
      </w:r>
    </w:p>
    <w:p w:rsidR="0058348D" w:rsidRDefault="002F47A6" w:rsidP="003C0CCC">
      <w:pPr>
        <w:pStyle w:val="Definition"/>
      </w:pPr>
      <w:r w:rsidRPr="0019246A">
        <w:rPr>
          <w:b/>
        </w:rPr>
        <w:t>In</w:t>
      </w:r>
      <w:r w:rsidRPr="0019246A">
        <w:rPr>
          <w:b/>
        </w:rPr>
        <w:noBreakHyphen/>
        <w:t>City</w:t>
      </w:r>
      <w:r w:rsidRPr="0019246A">
        <w:rPr>
          <w:b/>
        </w:rPr>
        <w:t xml:space="preserve">: </w:t>
      </w:r>
      <w:r>
        <w:t xml:space="preserve">Located electrically within the New </w:t>
      </w:r>
      <w:r w:rsidRPr="003C0CCC">
        <w:rPr>
          <w:bCs/>
          <w:iCs/>
        </w:rPr>
        <w:t>York</w:t>
      </w:r>
      <w:r>
        <w:t xml:space="preserve"> City Locality (LBMP Load Zone J).</w:t>
      </w:r>
    </w:p>
    <w:p w:rsidR="00144F50" w:rsidRDefault="002F47A6" w:rsidP="003C0CCC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</w:t>
      </w:r>
      <w:r>
        <w:t xml:space="preserve">A </w:t>
      </w:r>
      <w:r>
        <w:rPr>
          <w:iCs/>
        </w:rPr>
        <w:t xml:space="preserve">series of </w:t>
      </w:r>
      <w:r w:rsidRPr="003C0CCC"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</w:t>
      </w:r>
      <w:r>
        <w:rPr>
          <w:iCs/>
        </w:rPr>
        <w:t xml:space="preserve">quantities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58348D" w:rsidRDefault="002F47A6" w:rsidP="0019246A">
      <w:pPr>
        <w:pStyle w:val="Definition"/>
      </w:pPr>
      <w:r w:rsidRPr="00E82532">
        <w:rPr>
          <w:b/>
        </w:rPr>
        <w:t>Incremental TCC</w:t>
      </w:r>
      <w:r>
        <w:rPr>
          <w:b/>
        </w:rPr>
        <w:t xml:space="preserve">: </w:t>
      </w:r>
      <w:r w:rsidRPr="00E82532">
        <w:t xml:space="preserve">A set of point-to-point Transmission Congestion Contract(s) that is awarded pursuant to Section </w:t>
      </w:r>
      <w:r>
        <w:t>19.2.2</w:t>
      </w:r>
      <w:r>
        <w:t xml:space="preserve"> </w:t>
      </w:r>
      <w:r w:rsidRPr="00E82532">
        <w:t>of Attachment M to the ISO O</w:t>
      </w:r>
      <w:r w:rsidRPr="00E82532">
        <w:t>ATT.</w:t>
      </w:r>
    </w:p>
    <w:p w:rsidR="0058348D" w:rsidRDefault="002F47A6" w:rsidP="003C0CCC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 w:rsidRPr="003C0CCC"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58348D" w:rsidRDefault="002F47A6" w:rsidP="003C0CCC">
      <w:pPr>
        <w:pStyle w:val="Definition"/>
      </w:pPr>
      <w:r>
        <w:rPr>
          <w:b/>
        </w:rPr>
        <w:t>Independent System Operator Agreement (“ISO Agreement”)</w:t>
      </w:r>
      <w:r>
        <w:t xml:space="preserve">: </w:t>
      </w:r>
      <w:r>
        <w:t xml:space="preserve">The agreement that establishes the </w:t>
      </w:r>
      <w:r>
        <w:t>New York ISO.</w:t>
      </w:r>
    </w:p>
    <w:p w:rsidR="0058348D" w:rsidRDefault="002F47A6" w:rsidP="003C0CCC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</w:t>
      </w:r>
      <w:r>
        <w:t xml:space="preserve">The agreement between the ISO and the New York </w:t>
      </w:r>
      <w:r w:rsidRPr="003C0CCC"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58348D" w:rsidRDefault="002F47A6" w:rsidP="003C0CCC">
      <w:pPr>
        <w:pStyle w:val="Definition"/>
      </w:pPr>
      <w:r>
        <w:rPr>
          <w:b/>
        </w:rPr>
        <w:lastRenderedPageBreak/>
        <w:t>Independent System Oper</w:t>
      </w:r>
      <w:r>
        <w:rPr>
          <w:b/>
        </w:rPr>
        <w:t>ator</w:t>
      </w:r>
      <w:r>
        <w:rPr>
          <w:b/>
        </w:rPr>
        <w:noBreakHyphen/>
        <w:t>Transmission Owner Agreement (“ISO/TO Agreement”)</w:t>
      </w:r>
      <w:r>
        <w:t xml:space="preserve">: </w:t>
      </w:r>
      <w:r>
        <w:t>The agreement that establishes the terms and conditions under which the Transmission Owners transferred to the ISO Operational Control over designated transmission facilities.</w:t>
      </w:r>
    </w:p>
    <w:p w:rsidR="00144F50" w:rsidRDefault="002F47A6" w:rsidP="003C0CCC">
      <w:pPr>
        <w:pStyle w:val="Definition"/>
      </w:pPr>
      <w:r>
        <w:rPr>
          <w:b/>
        </w:rPr>
        <w:t>Installed Capacity</w:t>
      </w:r>
      <w:r>
        <w:t xml:space="preserve">: </w:t>
      </w:r>
      <w:r>
        <w:t>Exte</w:t>
      </w:r>
      <w:r>
        <w:t xml:space="preserve">rnal or Internal Capacity, in </w:t>
      </w:r>
      <w:r w:rsidRPr="003C0CCC"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requirements and ISO Procedures.</w:t>
      </w:r>
    </w:p>
    <w:p w:rsidR="00DC2879" w:rsidRDefault="002F47A6" w:rsidP="003C0CCC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 w:rsidRPr="003C0CCC"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</w:t>
      </w:r>
      <w:r>
        <w:rPr>
          <w:bCs/>
          <w:u w:val="double"/>
        </w:rPr>
        <w:t xml:space="preserve"> </w:t>
      </w:r>
      <w:r>
        <w:rPr>
          <w:bCs/>
        </w:rPr>
        <w:t xml:space="preserve">accordance with </w:t>
      </w:r>
      <w:r>
        <w:rPr>
          <w:bCs/>
        </w:rPr>
        <w:t>ISO Procedures.</w:t>
      </w:r>
    </w:p>
    <w:p w:rsidR="00DC2879" w:rsidRDefault="002F47A6" w:rsidP="003C0CCC">
      <w:pPr>
        <w:pStyle w:val="Definition"/>
      </w:pPr>
      <w:r w:rsidRPr="0019246A">
        <w:rPr>
          <w:b/>
        </w:rPr>
        <w:t>Installed Capacity Marketer</w:t>
      </w:r>
      <w:r w:rsidRPr="0019246A">
        <w:rPr>
          <w:b/>
        </w:rPr>
        <w:t>:</w:t>
      </w:r>
      <w:r>
        <w:t xml:space="preserve"> </w:t>
      </w:r>
      <w:r>
        <w:t xml:space="preserve">An entity which has signed this Tariff and which purchases Unforced Capacity from qualified Installed Capacity </w:t>
      </w:r>
      <w:r w:rsidRPr="003C0CCC">
        <w:rPr>
          <w:bCs/>
          <w:iCs/>
        </w:rPr>
        <w:t>Suppliers</w:t>
      </w:r>
      <w:r>
        <w:t>, or from LSEs with excess Unforced Capacity, either bilaterally or through an ISO</w:t>
      </w:r>
      <w:r>
        <w:noBreakHyphen/>
        <w:t>administ</w:t>
      </w:r>
      <w:r>
        <w:t>ered auction.  Installed Capacity Marketers that purchase Unforced Capacity through an ISO</w:t>
      </w:r>
      <w:r>
        <w:noBreakHyphen/>
        <w:t>administered auction may only resell Unforced Capacity purchased in such auctions in the NYCA.</w:t>
      </w:r>
    </w:p>
    <w:p w:rsidR="00DC2879" w:rsidRDefault="002F47A6" w:rsidP="003C0CCC">
      <w:pPr>
        <w:pStyle w:val="Definition"/>
      </w:pPr>
      <w:r>
        <w:rPr>
          <w:b/>
        </w:rPr>
        <w:t>Installed Capacity Supplier</w:t>
      </w:r>
      <w:r>
        <w:t xml:space="preserve">: </w:t>
      </w:r>
      <w:r>
        <w:t xml:space="preserve">An Energy Limited </w:t>
      </w:r>
      <w:r w:rsidRPr="003C0CCC">
        <w:rPr>
          <w:bCs/>
          <w:iCs/>
        </w:rPr>
        <w:t>Resource</w:t>
      </w:r>
      <w:r>
        <w:t>, Generator, In</w:t>
      </w:r>
      <w:r>
        <w:t xml:space="preserve">stalled Capacity Marketer, Special Case </w:t>
      </w:r>
      <w:r w:rsidRPr="00323FF8">
        <w:t>Resource, Intermittent Power Resource, Limited Control Run of River Hydro Resource,</w:t>
      </w:r>
      <w:r w:rsidRPr="00912100">
        <w:rPr>
          <w:u w:val="double"/>
        </w:rPr>
        <w:t xml:space="preserve"> </w:t>
      </w:r>
      <w:r>
        <w:t>municipally-owned generation, System Resource or Control Area System Resource that satisfies the ISO’s qualification requirements fo</w:t>
      </w:r>
      <w:r>
        <w:t>r supplying Unforced Capacity to the NYCA.</w:t>
      </w:r>
    </w:p>
    <w:p w:rsidR="00DC2879" w:rsidRDefault="002F47A6" w:rsidP="003C0CCC">
      <w:pPr>
        <w:pStyle w:val="Definition"/>
      </w:pPr>
      <w:r>
        <w:rPr>
          <w:b/>
        </w:rPr>
        <w:t>Interconnection or Interconnection Points (“IP”)</w:t>
      </w:r>
      <w:r>
        <w:t xml:space="preserve">: </w:t>
      </w:r>
      <w:r>
        <w:t>The point(s) at which the NYCA connects with a distribution system or adjacent Control Area.  The IP may be a single tie line or several tie lines that are operate</w:t>
      </w:r>
      <w:r>
        <w:t>d in parallel.</w:t>
      </w:r>
    </w:p>
    <w:p w:rsidR="00DC2879" w:rsidRDefault="002F47A6" w:rsidP="003C0CCC">
      <w:pPr>
        <w:pStyle w:val="Definition"/>
      </w:pPr>
      <w:r>
        <w:rPr>
          <w:b/>
        </w:rPr>
        <w:t>Interface</w:t>
      </w:r>
      <w:r>
        <w:t xml:space="preserve">: </w:t>
      </w:r>
      <w:r>
        <w:t xml:space="preserve">A defined set of transmission facilities that separate Load Zones and that separate the NYCA from adjacent </w:t>
      </w:r>
      <w:r w:rsidRPr="003C0CCC">
        <w:rPr>
          <w:bCs/>
          <w:iCs/>
        </w:rPr>
        <w:t>Control</w:t>
      </w:r>
      <w:r>
        <w:t xml:space="preserve"> Areas.</w:t>
      </w:r>
    </w:p>
    <w:p w:rsidR="00441ADB" w:rsidRPr="00083D1F" w:rsidRDefault="002F47A6" w:rsidP="003C0CCC">
      <w:pPr>
        <w:pStyle w:val="Definition"/>
      </w:pPr>
      <w:r w:rsidRPr="0019246A">
        <w:rPr>
          <w:b/>
        </w:rPr>
        <w:t xml:space="preserve">Interface MW </w:t>
      </w:r>
      <w:r w:rsidRPr="0019246A">
        <w:rPr>
          <w:b/>
        </w:rPr>
        <w:noBreakHyphen/>
        <w:t xml:space="preserve"> Mile Methodology</w:t>
      </w:r>
      <w:r w:rsidRPr="0019246A">
        <w:rPr>
          <w:b/>
        </w:rPr>
        <w:t xml:space="preserve">: </w:t>
      </w:r>
      <w:r w:rsidRPr="00083D1F">
        <w:t>The procedure used to allocate Original Residual TCCs determined prior to t</w:t>
      </w:r>
      <w:r w:rsidRPr="00083D1F">
        <w:t>he first Centralized TCC Auction to Transmission Owners.</w:t>
      </w:r>
    </w:p>
    <w:p w:rsidR="00441ADB" w:rsidRPr="00083D1F" w:rsidRDefault="002F47A6" w:rsidP="003C0CCC">
      <w:pPr>
        <w:pStyle w:val="Definition"/>
      </w:pPr>
      <w:r w:rsidRPr="0019246A">
        <w:rPr>
          <w:b/>
        </w:rPr>
        <w:t>Intermittent Power Resource</w:t>
      </w:r>
      <w:r w:rsidRPr="0019246A">
        <w:rPr>
          <w:b/>
        </w:rPr>
        <w:t xml:space="preserve">: </w:t>
      </w:r>
      <w:r w:rsidRPr="00083D1F">
        <w:t xml:space="preserve">Capacity </w:t>
      </w:r>
      <w:r w:rsidRPr="003C0CCC">
        <w:rPr>
          <w:bCs/>
          <w:iCs/>
        </w:rPr>
        <w:t>resources</w:t>
      </w:r>
      <w:r w:rsidRPr="00083D1F">
        <w:t xml:space="preserve"> that depend upon wind, solar energy or landfill gas for their fuel and that such dependence precludes accurate prediction of the facility’s real-time output.  Each Intermittent Power Resource that depends on wind as its fuel shall include all turbines met</w:t>
      </w:r>
      <w:r w:rsidRPr="00083D1F">
        <w:t>ered at a single scheduling point identifier (PTID).</w:t>
      </w:r>
    </w:p>
    <w:p w:rsidR="0058348D" w:rsidRDefault="002F47A6" w:rsidP="003C0CCC">
      <w:pPr>
        <w:pStyle w:val="Definition"/>
      </w:pPr>
      <w:r>
        <w:rPr>
          <w:b/>
          <w:bCs/>
        </w:rPr>
        <w:lastRenderedPageBreak/>
        <w:t>Internal</w:t>
      </w:r>
      <w:r>
        <w:t xml:space="preserve">: </w:t>
      </w:r>
      <w:r>
        <w:t>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</w:t>
      </w:r>
      <w:r>
        <w:t>ternal means the NYCA.</w:t>
      </w:r>
    </w:p>
    <w:p w:rsidR="0058348D" w:rsidRDefault="002F47A6" w:rsidP="003C0CCC">
      <w:pPr>
        <w:pStyle w:val="Definition"/>
      </w:pPr>
      <w:r>
        <w:rPr>
          <w:b/>
          <w:bCs/>
        </w:rPr>
        <w:t>Internal Transactions</w:t>
      </w:r>
      <w:r>
        <w:t xml:space="preserve">: </w:t>
      </w:r>
      <w:r>
        <w:t xml:space="preserve">Purchases, sales or exchanges of Energy, Capacity or Ancillary Services where the Generator and Load are located </w:t>
      </w:r>
      <w:r w:rsidRPr="003C0CCC">
        <w:rPr>
          <w:bCs/>
          <w:iCs/>
        </w:rPr>
        <w:t>within</w:t>
      </w:r>
      <w:r>
        <w:t xml:space="preserve"> the NYCA.</w:t>
      </w:r>
    </w:p>
    <w:p w:rsidR="003B7247" w:rsidRPr="00BB09AA" w:rsidRDefault="002F47A6" w:rsidP="003C0CCC">
      <w:pPr>
        <w:pStyle w:val="Definition"/>
      </w:pPr>
      <w:r>
        <w:rPr>
          <w:b/>
          <w:bCs/>
        </w:rPr>
        <w:t>Investment Grade Customer</w:t>
      </w:r>
      <w:r>
        <w:t xml:space="preserve">: </w:t>
      </w:r>
      <w:r w:rsidRPr="00BB09AA">
        <w:t xml:space="preserve">A Customer that meets the criteria set forth in </w:t>
      </w:r>
      <w:r>
        <w:t>Secti</w:t>
      </w:r>
      <w:r>
        <w:t xml:space="preserve">on </w:t>
      </w:r>
      <w:r>
        <w:t>26.2</w:t>
      </w:r>
      <w:r w:rsidRPr="00BB09AA">
        <w:t xml:space="preserve"> </w:t>
      </w:r>
      <w:r w:rsidRPr="00BB09AA">
        <w:t>of Attachment K to this Services Tariff.</w:t>
      </w:r>
    </w:p>
    <w:p w:rsidR="0058348D" w:rsidRDefault="002F47A6" w:rsidP="003C0CCC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 xml:space="preserve">: </w:t>
      </w:r>
      <w:r>
        <w:t>At the present time these include: Central Hudson Gas &amp; Electric Corporation, Consolidated Edison Company of New York, Inc., New York State Electric &amp; Gas Corporation, Nia</w:t>
      </w:r>
      <w:r>
        <w:t xml:space="preserve">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 w:rsidRPr="003C0CCC">
        <w:rPr>
          <w:bCs/>
          <w:iCs/>
        </w:rPr>
        <w:t>Rochester</w:t>
      </w:r>
      <w:r>
        <w:t xml:space="preserve"> Gas and Electric Corporation.</w:t>
      </w:r>
    </w:p>
    <w:p w:rsidR="003B7247" w:rsidRDefault="002F47A6" w:rsidP="003C0CCC">
      <w:pPr>
        <w:pStyle w:val="Definition"/>
      </w:pPr>
      <w:r>
        <w:rPr>
          <w:b/>
          <w:bCs/>
        </w:rPr>
        <w:t xml:space="preserve">ISO Administered Markets </w:t>
      </w:r>
      <w:r>
        <w:t xml:space="preserve">: </w:t>
      </w:r>
      <w:r>
        <w:t>The Day</w:t>
      </w:r>
      <w:r>
        <w:noBreakHyphen/>
        <w:t>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</w:t>
      </w:r>
      <w:r>
        <w:t>istered by the ISO.</w:t>
      </w:r>
    </w:p>
    <w:p w:rsidR="00DC4E63" w:rsidRDefault="002F47A6" w:rsidP="003C0CCC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 w:rsidRPr="003C0CCC"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</w:t>
      </w:r>
      <w:r>
        <w:rPr>
          <w:iCs/>
        </w:rPr>
        <w:t>dule it no more frequently than every 15 minutes.  A Generator scheduled in the Day-Ahead Market as ISO-Committed Fixed will participate as a Self-Committed Fixed Generator in the Real-Time Market unless it changes bidding mode, with ISO approval, to parti</w:t>
      </w:r>
      <w:r>
        <w:rPr>
          <w:iCs/>
        </w:rPr>
        <w:t xml:space="preserve">cipate as an ISO-Committed Fixed Generator.  </w:t>
      </w:r>
    </w:p>
    <w:p w:rsidR="00DC4E63" w:rsidRDefault="002F47A6" w:rsidP="003C0CCC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 w:rsidRPr="003C0CCC"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58348D" w:rsidRDefault="002F47A6" w:rsidP="003C0CCC">
      <w:pPr>
        <w:pStyle w:val="Definition"/>
      </w:pPr>
      <w:r>
        <w:rPr>
          <w:b/>
          <w:bCs/>
        </w:rPr>
        <w:t xml:space="preserve">ISO </w:t>
      </w:r>
      <w:r>
        <w:rPr>
          <w:b/>
          <w:bCs/>
        </w:rPr>
        <w:t>Market Power Monitoring Program</w:t>
      </w:r>
      <w:r>
        <w:t xml:space="preserve">: </w:t>
      </w:r>
      <w:r w:rsidRPr="0087263A">
        <w:t xml:space="preserve">The monitoring </w:t>
      </w:r>
      <w:r w:rsidRPr="0087263A">
        <w:t>program approved by the Commission and administered by the ISO and the Market Monitoring Unit that is designed to monitor the possible exercise of market power in</w:t>
      </w:r>
      <w:r>
        <w:t xml:space="preserve"> ISO Administered Markets. </w:t>
      </w:r>
    </w:p>
    <w:p w:rsidR="0058348D" w:rsidRDefault="002F47A6" w:rsidP="003C0CCC">
      <w:pPr>
        <w:pStyle w:val="Definition"/>
      </w:pPr>
      <w:r>
        <w:rPr>
          <w:b/>
          <w:bCs/>
        </w:rPr>
        <w:t>ISO OATT</w:t>
      </w:r>
      <w:r>
        <w:t xml:space="preserve">: </w:t>
      </w:r>
      <w:r>
        <w:t xml:space="preserve">The ISO Open Access Transmission </w:t>
      </w:r>
      <w:r w:rsidRPr="003C0CCC">
        <w:rPr>
          <w:bCs/>
          <w:iCs/>
        </w:rPr>
        <w:t>Tariff</w:t>
      </w:r>
      <w:r>
        <w:t>.</w:t>
      </w:r>
    </w:p>
    <w:p w:rsidR="0058348D" w:rsidRDefault="002F47A6" w:rsidP="003C0CCC">
      <w:pPr>
        <w:pStyle w:val="Definition"/>
      </w:pPr>
      <w:r>
        <w:rPr>
          <w:b/>
          <w:bCs/>
        </w:rPr>
        <w:t>ISO Procedures</w:t>
      </w:r>
      <w:r>
        <w:t>:</w:t>
      </w:r>
      <w:r>
        <w:t xml:space="preserve"> </w:t>
      </w:r>
      <w:r>
        <w:t xml:space="preserve">The procedures adopted by the ISO in order to fulfill its responsibilities under the ISO OATT, the ISO Services Tariff and the </w:t>
      </w:r>
      <w:r w:rsidRPr="003C0CCC">
        <w:rPr>
          <w:bCs/>
          <w:iCs/>
        </w:rPr>
        <w:t>ISO</w:t>
      </w:r>
      <w:r>
        <w:t xml:space="preserve"> Related Agreements.</w:t>
      </w:r>
    </w:p>
    <w:p w:rsidR="0058348D" w:rsidRDefault="002F47A6" w:rsidP="003C0CCC">
      <w:pPr>
        <w:pStyle w:val="Definition"/>
      </w:pPr>
      <w:r>
        <w:rPr>
          <w:b/>
          <w:bCs/>
        </w:rPr>
        <w:t>ISO Related Agreements</w:t>
      </w:r>
      <w:r>
        <w:t xml:space="preserve">: </w:t>
      </w:r>
      <w:r>
        <w:t xml:space="preserve">Collectively, the ISO </w:t>
      </w:r>
      <w:r w:rsidRPr="003C0CCC">
        <w:rPr>
          <w:bCs/>
          <w:iCs/>
        </w:rPr>
        <w:t>Agreement</w:t>
      </w:r>
      <w:r>
        <w:t xml:space="preserve">, the ISO/TO Agreement, the NYSRC Agreement, and </w:t>
      </w:r>
      <w:r>
        <w:t>the ISO/NYSRC Agreement.</w:t>
      </w:r>
    </w:p>
    <w:p w:rsidR="0058348D" w:rsidRDefault="002F47A6" w:rsidP="003C0CCC">
      <w:pPr>
        <w:pStyle w:val="Definition"/>
      </w:pPr>
      <w:r>
        <w:rPr>
          <w:b/>
          <w:bCs/>
        </w:rPr>
        <w:t>ISO Services Tariff (the "Tariff")</w:t>
      </w:r>
      <w:r>
        <w:t xml:space="preserve">: </w:t>
      </w:r>
      <w:r>
        <w:t xml:space="preserve">The ISO </w:t>
      </w:r>
      <w:r w:rsidRPr="003C0CCC">
        <w:rPr>
          <w:bCs/>
          <w:iCs/>
        </w:rPr>
        <w:t>Market</w:t>
      </w:r>
      <w:r>
        <w:t xml:space="preserve"> Administration and Control Area Services Tariff.</w:t>
      </w:r>
    </w:p>
    <w:p w:rsidR="0058348D" w:rsidRDefault="002F47A6" w:rsidP="003C0CCC">
      <w:pPr>
        <w:pStyle w:val="Definition"/>
        <w:rPr>
          <w:b/>
          <w:bCs/>
        </w:rPr>
      </w:pPr>
      <w:r>
        <w:rPr>
          <w:b/>
          <w:bCs/>
        </w:rPr>
        <w:t>ISO Tariffs</w:t>
      </w:r>
      <w:r>
        <w:t xml:space="preserve">: </w:t>
      </w:r>
      <w:r>
        <w:t xml:space="preserve">The ISO OATT and the ISO </w:t>
      </w:r>
      <w:r w:rsidRPr="003C0CCC">
        <w:rPr>
          <w:bCs/>
          <w:iCs/>
        </w:rPr>
        <w:t>Services</w:t>
      </w:r>
      <w:r>
        <w:t xml:space="preserve"> Tariff, collectively.</w:t>
      </w:r>
    </w:p>
    <w:p w:rsidR="00C9509C" w:rsidRDefault="002F47A6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0F" w:rsidRDefault="003E1F0F" w:rsidP="003E1F0F">
      <w:pPr>
        <w:spacing w:after="0" w:line="240" w:lineRule="auto"/>
      </w:pPr>
      <w:r>
        <w:separator/>
      </w:r>
    </w:p>
  </w:endnote>
  <w:endnote w:type="continuationSeparator" w:id="0">
    <w:p w:rsidR="003E1F0F" w:rsidRDefault="003E1F0F" w:rsidP="003E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1F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1F0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1F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E1F0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E1F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E1F0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0F" w:rsidRDefault="003E1F0F" w:rsidP="003E1F0F">
      <w:pPr>
        <w:spacing w:after="0" w:line="240" w:lineRule="auto"/>
      </w:pPr>
      <w:r>
        <w:separator/>
      </w:r>
    </w:p>
  </w:footnote>
  <w:footnote w:type="continuationSeparator" w:id="0">
    <w:p w:rsidR="003E1F0F" w:rsidRDefault="003E1F0F" w:rsidP="003E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</w:t>
    </w:r>
    <w:r>
      <w:rPr>
        <w:rFonts w:ascii="Arial" w:eastAsia="Arial" w:hAnsi="Arial" w:cs="Arial"/>
        <w:color w:val="000000"/>
        <w:sz w:val="16"/>
      </w:rPr>
      <w:t>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0F" w:rsidRDefault="002F47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</w:t>
    </w:r>
    <w:r>
      <w:rPr>
        <w:rFonts w:ascii="Arial" w:eastAsia="Arial" w:hAnsi="Arial" w:cs="Arial"/>
        <w:color w:val="000000"/>
        <w:sz w:val="16"/>
      </w:rPr>
      <w:t>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5CF6D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27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85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C3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AE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EA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A8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E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07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C90B41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7413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301B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B064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2095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1E0B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B8FE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4CD2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14A1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1B980C5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E86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90D9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26E0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46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74DB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BCA9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FA0A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84B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77096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08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E6A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61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E3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FC8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4C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66A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CA4027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8E2D6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5C4D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FBAA9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5284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94CFA4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82DD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7144D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716A8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C1403E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CE79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D8CA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80FE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540E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CE51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0806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B4CA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9CA7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0992A59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0282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D49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E066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DAE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3E8B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5863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00A9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78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4E14E3D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47C2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09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04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2A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B20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20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22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20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867825B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A6A564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CCDD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DF045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AA19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3A93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56B3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F4B6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368D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64E88D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1463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4FA1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0E4C1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A9C4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9B44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60E430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1E001A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FA2E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7B1C5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8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C05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0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EE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A6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4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0B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E7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E7D45B1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04A81D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9AE3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1A93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CC76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420B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E637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2A65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0C32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F0F"/>
    <w:rsid w:val="002F47A6"/>
    <w:rsid w:val="003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57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3CBB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3CBB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3E1F0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3E1F0F"/>
    <w:rPr>
      <w:sz w:val="16"/>
      <w:szCs w:val="16"/>
    </w:rPr>
  </w:style>
  <w:style w:type="paragraph" w:styleId="CommentText">
    <w:name w:val="annotation text"/>
    <w:basedOn w:val="Normal"/>
    <w:semiHidden/>
    <w:rsid w:val="003E1F0F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3E1F0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2017-12-13T19:29:00Z</dcterms:created>
  <dcterms:modified xsi:type="dcterms:W3CDTF">2017-12-13T19:29:00Z</dcterms:modified>
</cp:coreProperties>
</file>