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C0" w:rsidRPr="00B85851" w:rsidRDefault="00E649FE" w:rsidP="00097133">
      <w:pPr>
        <w:pStyle w:val="Heading2"/>
      </w:pPr>
      <w:bookmarkStart w:id="0" w:name="_Ref452477293"/>
      <w:bookmarkStart w:id="1" w:name="_Toc261344223"/>
      <w:r>
        <w:t>30.</w:t>
      </w:r>
      <w:r w:rsidRPr="00B85851">
        <w:t>1</w:t>
      </w:r>
      <w:r w:rsidRPr="00B85851">
        <w:tab/>
        <w:t>INTRODUCTION AND PURPOSE</w:t>
      </w:r>
      <w:bookmarkEnd w:id="0"/>
      <w:bookmarkEnd w:id="1"/>
    </w:p>
    <w:p w:rsidR="004227C0" w:rsidRPr="00B85851" w:rsidRDefault="00E649FE" w:rsidP="00097133">
      <w:pPr>
        <w:pStyle w:val="Heading3"/>
      </w:pPr>
      <w:bookmarkStart w:id="2" w:name="_Ref452477298"/>
      <w:bookmarkStart w:id="3" w:name="_Toc261344224"/>
      <w:r>
        <w:t>30.</w:t>
      </w:r>
      <w:r w:rsidRPr="00B85851">
        <w:t>1.1</w:t>
      </w:r>
      <w:r w:rsidRPr="00B85851">
        <w:tab/>
      </w:r>
      <w:r w:rsidRPr="00B85851">
        <w:t>Purposes and Objectives</w:t>
      </w:r>
      <w:bookmarkEnd w:id="2"/>
      <w:bookmarkEnd w:id="3"/>
    </w:p>
    <w:p w:rsidR="00EC6094" w:rsidRPr="00B85851" w:rsidRDefault="00E649FE" w:rsidP="00097133">
      <w:pPr>
        <w:pStyle w:val="Bodypara"/>
      </w:pPr>
      <w:r w:rsidRPr="00B85851">
        <w:t xml:space="preserve">This </w:t>
      </w:r>
      <w:r w:rsidRPr="00B85851">
        <w:t xml:space="preserve">Market Monitoring Plan </w:t>
      </w:r>
      <w:r w:rsidRPr="00B85851">
        <w:t>is intended to provide for the independent, impartial and effective monitoring of and reporting on:  (1) the competitive structure,</w:t>
      </w:r>
      <w:r>
        <w:t xml:space="preserve"> performance and economic efficiency of the New York Electric Markets; (2) the conduct of Market Parties, including but not limited to any exercise or attempt  to exercise market power or restrain competition in any New York Electric Market by any Market P</w:t>
      </w:r>
      <w:r>
        <w:t>arty or group of Market Parties; (3) the operation and use of the New York State Transmission System as such system affects or may affect competitive conditions in or the economic efficiency of any of the New York Electric Markets, including but not limite</w:t>
      </w:r>
      <w:r>
        <w:t xml:space="preserve">d to the nature, extent and causes of any congestion on such system and the costs of or charges for such congestion; (4) the adequacy and effectiveness of any tariff or services agreement, or any rule, standard or procedure, or any market power mitigation </w:t>
      </w:r>
      <w:r>
        <w:t xml:space="preserve">or other remedial measures, implemented, administered or overseen by </w:t>
      </w:r>
      <w:r w:rsidRPr="00B85851">
        <w:t xml:space="preserve">the </w:t>
      </w:r>
      <w:r w:rsidRPr="00B85851">
        <w:t>New York Independent System Operator, Inc. (“</w:t>
      </w:r>
      <w:r w:rsidRPr="00B85851">
        <w:t>ISO</w:t>
      </w:r>
      <w:r w:rsidRPr="00B85851">
        <w:t>”)</w:t>
      </w:r>
      <w:r w:rsidRPr="00B85851">
        <w:t xml:space="preserve"> and that affects or could affect the competitiveness or economic efficiency of any of the New York Electric Markets; and (5</w:t>
      </w:r>
      <w:r w:rsidRPr="00B85851">
        <w:t>) </w:t>
      </w:r>
      <w:r w:rsidRPr="00B85851">
        <w:t>any oth</w:t>
      </w:r>
      <w:r w:rsidRPr="00B85851">
        <w:t xml:space="preserve">er condition, function or action affecting the foregoing.  </w:t>
      </w:r>
    </w:p>
    <w:p w:rsidR="004227C0" w:rsidRPr="00B85851" w:rsidRDefault="00E649FE" w:rsidP="00097133">
      <w:pPr>
        <w:pStyle w:val="Bodypara"/>
      </w:pPr>
      <w:r>
        <w:t>Attachment O</w:t>
      </w:r>
      <w:r w:rsidRPr="00B85851">
        <w:t xml:space="preserve"> provide</w:t>
      </w:r>
      <w:r w:rsidRPr="00B85851">
        <w:t>s</w:t>
      </w:r>
      <w:r w:rsidRPr="00B85851">
        <w:t xml:space="preserve"> for</w:t>
      </w:r>
      <w:r w:rsidRPr="00B85851">
        <w:t xml:space="preserve"> review and evaluation by the Market Monitoring Unit of the </w:t>
      </w:r>
      <w:r w:rsidRPr="00B85851">
        <w:t>ISO</w:t>
      </w:r>
      <w:r w:rsidRPr="00B85851">
        <w:t>’s</w:t>
      </w:r>
      <w:r w:rsidRPr="00B85851">
        <w:t>:  (i)</w:t>
      </w:r>
      <w:r w:rsidRPr="00B85851">
        <w:t> </w:t>
      </w:r>
      <w:r w:rsidRPr="00B85851">
        <w:t>T</w:t>
      </w:r>
      <w:r w:rsidRPr="00B85851">
        <w:t xml:space="preserve">ariffs and market rules, </w:t>
      </w:r>
      <w:r w:rsidRPr="00B85851">
        <w:t>including</w:t>
      </w:r>
      <w:r w:rsidRPr="00B85851">
        <w:t xml:space="preserve"> the </w:t>
      </w:r>
      <w:r w:rsidRPr="00B85851">
        <w:t xml:space="preserve">ISO’s </w:t>
      </w:r>
      <w:r w:rsidRPr="00B85851">
        <w:t>imposition of appropriate measures for the mitigation</w:t>
      </w:r>
      <w:r w:rsidRPr="00B85851">
        <w:t xml:space="preserve"> of market power</w:t>
      </w:r>
      <w:r w:rsidRPr="00B85851">
        <w:t xml:space="preserve"> and</w:t>
      </w:r>
      <w:r w:rsidRPr="00B85851">
        <w:t xml:space="preserve"> imposition of appropriate sanctions or other remedial measures for a</w:t>
      </w:r>
      <w:r w:rsidRPr="00B85851">
        <w:t>ctions or inaction</w:t>
      </w:r>
      <w:r w:rsidRPr="00B85851">
        <w:t xml:space="preserve"> </w:t>
      </w:r>
      <w:r w:rsidRPr="00B85851">
        <w:t xml:space="preserve">that the </w:t>
      </w:r>
      <w:r w:rsidRPr="00B85851">
        <w:t>ISO</w:t>
      </w:r>
      <w:r w:rsidRPr="00B85851">
        <w:t xml:space="preserve"> is authorized to address or remedy in its Tariffs</w:t>
      </w:r>
      <w:r w:rsidRPr="00B85851">
        <w:t>; and (ii) administration of the New York Electric Markets</w:t>
      </w:r>
      <w:r w:rsidRPr="00B85851">
        <w:t>.  In addition</w:t>
      </w:r>
      <w:r w:rsidRPr="00B85851">
        <w:t xml:space="preserve">, </w:t>
      </w:r>
      <w:r>
        <w:t>Attachment O</w:t>
      </w:r>
      <w:r w:rsidRPr="00B85851">
        <w:t xml:space="preserve"> requires the Market Monitoring Unit to </w:t>
      </w:r>
      <w:r w:rsidRPr="00B85851">
        <w:t xml:space="preserve">timely: </w:t>
      </w:r>
      <w:r w:rsidRPr="00B85851">
        <w:t>(</w:t>
      </w:r>
      <w:r w:rsidRPr="00B85851">
        <w:t>a</w:t>
      </w:r>
      <w:r w:rsidRPr="00B85851">
        <w:t>) </w:t>
      </w:r>
      <w:r w:rsidRPr="00B85851">
        <w:t xml:space="preserve">report </w:t>
      </w:r>
      <w:r w:rsidRPr="00B85851">
        <w:t>any</w:t>
      </w:r>
      <w:r w:rsidRPr="00B85851">
        <w:t xml:space="preserve"> failure </w:t>
      </w:r>
      <w:r w:rsidRPr="00B85851">
        <w:t xml:space="preserve">by a Market Party or by the </w:t>
      </w:r>
      <w:r w:rsidRPr="00B85851">
        <w:t>ISO</w:t>
      </w:r>
      <w:r w:rsidRPr="00B85851">
        <w:t xml:space="preserve"> </w:t>
      </w:r>
      <w:r w:rsidRPr="00B85851">
        <w:t xml:space="preserve">to comply with any tariff or services agreement, or any </w:t>
      </w:r>
      <w:r w:rsidRPr="00B85851">
        <w:t xml:space="preserve">law, regulation, </w:t>
      </w:r>
      <w:r w:rsidRPr="00B85851">
        <w:t xml:space="preserve">rule, standard or procedure, </w:t>
      </w:r>
      <w:r w:rsidRPr="00B85851">
        <w:t xml:space="preserve">including </w:t>
      </w:r>
      <w:r w:rsidRPr="00B85851">
        <w:t>any</w:t>
      </w:r>
      <w:r>
        <w:t xml:space="preserve"> market power mitigation or other reme</w:t>
      </w:r>
      <w:r>
        <w:t xml:space="preserve">dial measure, if such violation or failure to comply impairs or threatens to impair the </w:t>
      </w:r>
      <w:r>
        <w:lastRenderedPageBreak/>
        <w:t xml:space="preserve">competitiveness or economic efficiency of any of the New York </w:t>
      </w:r>
      <w:r w:rsidRPr="00B85851">
        <w:t>Electric Markets; (</w:t>
      </w:r>
      <w:r w:rsidRPr="00B85851">
        <w:t>b</w:t>
      </w:r>
      <w:r w:rsidRPr="00B85851">
        <w:t>)</w:t>
      </w:r>
      <w:r w:rsidRPr="00B85851">
        <w:t> </w:t>
      </w:r>
      <w:r w:rsidRPr="00B85851">
        <w:t xml:space="preserve">submit </w:t>
      </w:r>
      <w:r w:rsidRPr="00B85851">
        <w:t xml:space="preserve">to the </w:t>
      </w:r>
      <w:r w:rsidRPr="00B85851">
        <w:t xml:space="preserve">FERC, or other </w:t>
      </w:r>
      <w:r w:rsidRPr="00B85851">
        <w:t>appropriate regulatory or enforcement agency</w:t>
      </w:r>
      <w:r w:rsidRPr="00B85851">
        <w:t>,</w:t>
      </w:r>
      <w:r w:rsidRPr="00B85851">
        <w:t xml:space="preserve"> evidence of possible violation of state or federal law for the preservation of competition</w:t>
      </w:r>
      <w:r w:rsidRPr="00B85851">
        <w:t xml:space="preserve"> (including violations of FERC’s regulations and the </w:t>
      </w:r>
      <w:r w:rsidRPr="00B85851">
        <w:t>ISO</w:t>
      </w:r>
      <w:r w:rsidRPr="00B85851">
        <w:t xml:space="preserve"> Tariff rules)</w:t>
      </w:r>
      <w:r w:rsidRPr="00B85851">
        <w:t>; and (c)</w:t>
      </w:r>
      <w:r w:rsidRPr="00B85851">
        <w:t> report on perceived market design flaws that the Market Monitoring Unit believes coul</w:t>
      </w:r>
      <w:r w:rsidRPr="00B85851">
        <w:t>d be effectively remedied by rule or tariff changes</w:t>
      </w:r>
      <w:r w:rsidRPr="00B85851">
        <w:t xml:space="preserve">.  </w:t>
      </w:r>
      <w:r>
        <w:t>Attachment O</w:t>
      </w:r>
      <w:r w:rsidRPr="00B85851">
        <w:t xml:space="preserve"> is intended to minimize interference with open and competitive markets.</w:t>
      </w:r>
    </w:p>
    <w:p w:rsidR="004227C0" w:rsidRPr="00B85851" w:rsidRDefault="00E649FE" w:rsidP="00097133">
      <w:pPr>
        <w:pStyle w:val="Heading3"/>
      </w:pPr>
      <w:bookmarkStart w:id="4" w:name="_Toc261344225"/>
      <w:r>
        <w:t>30.</w:t>
      </w:r>
      <w:r w:rsidRPr="00B85851">
        <w:t>1.2</w:t>
      </w:r>
      <w:r w:rsidRPr="00B85851">
        <w:tab/>
      </w:r>
      <w:r w:rsidRPr="00B85851">
        <w:t xml:space="preserve">Implementation of </w:t>
      </w:r>
      <w:bookmarkEnd w:id="4"/>
      <w:r>
        <w:t>Attachment O</w:t>
      </w:r>
    </w:p>
    <w:p w:rsidR="004227C0" w:rsidRDefault="00E649FE" w:rsidP="00097133">
      <w:pPr>
        <w:pStyle w:val="Bodypara"/>
      </w:pPr>
      <w:r>
        <w:t xml:space="preserve">All persons or entities responsible for the implementation of </w:t>
      </w:r>
      <w:r>
        <w:t>Attachment O</w:t>
      </w:r>
      <w:r>
        <w:t xml:space="preserve"> shal</w:t>
      </w:r>
      <w:r>
        <w:t>l do so in a manner consistent with and intended to achieve both: (i) the creation and operation of New York Electric Markets that are robust, competitive, efficient and non-discriminatory; and (ii) the safe and reliable operation of the electric system in</w:t>
      </w:r>
      <w:r>
        <w:t xml:space="preserve"> New York Control Area.</w:t>
      </w:r>
    </w:p>
    <w:p w:rsidR="004227C0" w:rsidRPr="00B85851" w:rsidRDefault="00E649FE" w:rsidP="00097133">
      <w:pPr>
        <w:pStyle w:val="Heading3"/>
      </w:pPr>
      <w:bookmarkStart w:id="5" w:name="_Toc261344226"/>
      <w:r>
        <w:t>30.</w:t>
      </w:r>
      <w:r w:rsidRPr="00B85851">
        <w:t>1.3</w:t>
      </w:r>
      <w:r w:rsidRPr="00B85851">
        <w:tab/>
      </w:r>
      <w:r w:rsidRPr="00B85851">
        <w:t xml:space="preserve">Persons and Entities Subject to </w:t>
      </w:r>
      <w:bookmarkEnd w:id="5"/>
      <w:r>
        <w:t>Attachment O</w:t>
      </w:r>
    </w:p>
    <w:p w:rsidR="006249F4" w:rsidRPr="00137BF8" w:rsidRDefault="00E649FE" w:rsidP="00097133">
      <w:pPr>
        <w:pStyle w:val="Bodypara"/>
        <w:rPr>
          <w:u w:val="double"/>
        </w:rPr>
      </w:pPr>
      <w:r w:rsidRPr="00B85851">
        <w:t xml:space="preserve">The </w:t>
      </w:r>
      <w:r w:rsidRPr="00B85851">
        <w:t>ISO</w:t>
      </w:r>
      <w:r w:rsidRPr="00B85851">
        <w:t xml:space="preserve">, the </w:t>
      </w:r>
      <w:r w:rsidRPr="00B85851">
        <w:t>Market Monitoring Unit</w:t>
      </w:r>
      <w:r w:rsidRPr="00B85851">
        <w:t>, and any person or entity participating in any of the New York Electric Markets or that takes service under or is a party to any tariff or agree</w:t>
      </w:r>
      <w:r w:rsidRPr="00B85851">
        <w:t xml:space="preserve">ment administered by the </w:t>
      </w:r>
      <w:r w:rsidRPr="00B85851">
        <w:t>ISO</w:t>
      </w:r>
      <w:r w:rsidRPr="00B85851">
        <w:t xml:space="preserve">, shall be subject to the terms, conditions and obligations of </w:t>
      </w:r>
      <w:r>
        <w:t>Attachment O</w:t>
      </w:r>
      <w:r w:rsidRPr="00B85851">
        <w:t>.</w:t>
      </w:r>
      <w:r w:rsidRPr="00B85851">
        <w:t xml:space="preserve">  Entities that are subject to </w:t>
      </w:r>
      <w:r>
        <w:t>Attachment O</w:t>
      </w:r>
      <w:r w:rsidRPr="00B85851">
        <w:t xml:space="preserve"> may </w:t>
      </w:r>
      <w:r w:rsidRPr="00B85851">
        <w:t xml:space="preserve">also </w:t>
      </w:r>
      <w:r w:rsidRPr="00B85851">
        <w:t>be held responsible for actions or inaction by their Affiliates.</w:t>
      </w:r>
      <w:r w:rsidRPr="00B85851">
        <w:t xml:space="preserve">  </w:t>
      </w:r>
    </w:p>
    <w:p w:rsidR="006249F4" w:rsidRPr="0028463D" w:rsidRDefault="00E649FE" w:rsidP="006249F4"/>
    <w:sectPr w:rsidR="006249F4" w:rsidRPr="0028463D" w:rsidSect="005D12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F36" w:rsidRDefault="00425F36" w:rsidP="00425F36">
      <w:pPr>
        <w:spacing w:after="0" w:line="240" w:lineRule="auto"/>
      </w:pPr>
      <w:r>
        <w:separator/>
      </w:r>
    </w:p>
  </w:endnote>
  <w:endnote w:type="continuationSeparator" w:id="0">
    <w:p w:rsidR="00425F36" w:rsidRDefault="00425F36" w:rsidP="00425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36" w:rsidRDefault="00E649F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25F36">
      <w:rPr>
        <w:rFonts w:ascii="Arial" w:eastAsia="Arial" w:hAnsi="Arial" w:cs="Arial"/>
        <w:color w:val="000000"/>
        <w:sz w:val="16"/>
      </w:rPr>
      <w:fldChar w:fldCharType="begin"/>
    </w:r>
    <w:r>
      <w:rPr>
        <w:rFonts w:ascii="Arial" w:eastAsia="Arial" w:hAnsi="Arial" w:cs="Arial"/>
        <w:color w:val="000000"/>
        <w:sz w:val="16"/>
      </w:rPr>
      <w:instrText>PAGE</w:instrText>
    </w:r>
    <w:r w:rsidR="00425F3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36" w:rsidRDefault="00E649F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25F36">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separate"/>
    </w:r>
    <w:r>
      <w:rPr>
        <w:rFonts w:ascii="Arial" w:eastAsia="Arial" w:hAnsi="Arial" w:cs="Arial"/>
        <w:noProof/>
        <w:color w:val="000000"/>
        <w:sz w:val="16"/>
      </w:rPr>
      <w:t>1</w:t>
    </w:r>
    <w:r w:rsidR="00425F3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36" w:rsidRDefault="00E649F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25F36">
      <w:rPr>
        <w:rFonts w:ascii="Arial" w:eastAsia="Arial" w:hAnsi="Arial" w:cs="Arial"/>
        <w:color w:val="000000"/>
        <w:sz w:val="16"/>
      </w:rPr>
      <w:fldChar w:fldCharType="begin"/>
    </w:r>
    <w:r>
      <w:rPr>
        <w:rFonts w:ascii="Arial" w:eastAsia="Arial" w:hAnsi="Arial" w:cs="Arial"/>
        <w:color w:val="000000"/>
        <w:sz w:val="16"/>
      </w:rPr>
      <w:instrText>PAGE</w:instrText>
    </w:r>
    <w:r w:rsidR="00425F3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F36" w:rsidRDefault="00425F36" w:rsidP="00425F36">
      <w:pPr>
        <w:spacing w:after="0" w:line="240" w:lineRule="auto"/>
      </w:pPr>
      <w:r>
        <w:separator/>
      </w:r>
    </w:p>
  </w:footnote>
  <w:footnote w:type="continuationSeparator" w:id="0">
    <w:p w:rsidR="00425F36" w:rsidRDefault="00425F36" w:rsidP="00425F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36" w:rsidRDefault="00E649F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 MST Att O Introduction and Purpose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36" w:rsidRDefault="00E649FE">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30 MST Attachment O - Market Monitoring Plan --&gt; 30.1 MST Att O Introduction and Purpose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36" w:rsidRDefault="00E649F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 MST Att O Introduction and Purpose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50AE9590">
      <w:start w:val="1"/>
      <w:numFmt w:val="bullet"/>
      <w:pStyle w:val="Bulletpara"/>
      <w:lvlText w:val=""/>
      <w:lvlJc w:val="left"/>
      <w:pPr>
        <w:tabs>
          <w:tab w:val="num" w:pos="720"/>
        </w:tabs>
        <w:ind w:left="720" w:hanging="360"/>
      </w:pPr>
      <w:rPr>
        <w:rFonts w:ascii="Symbol" w:hAnsi="Symbol" w:hint="default"/>
      </w:rPr>
    </w:lvl>
    <w:lvl w:ilvl="1" w:tplc="271E1166" w:tentative="1">
      <w:start w:val="1"/>
      <w:numFmt w:val="bullet"/>
      <w:lvlText w:val="o"/>
      <w:lvlJc w:val="left"/>
      <w:pPr>
        <w:tabs>
          <w:tab w:val="num" w:pos="1440"/>
        </w:tabs>
        <w:ind w:left="1440" w:hanging="360"/>
      </w:pPr>
      <w:rPr>
        <w:rFonts w:ascii="Courier New" w:hAnsi="Courier New" w:cs="Courier New" w:hint="default"/>
      </w:rPr>
    </w:lvl>
    <w:lvl w:ilvl="2" w:tplc="C4BAC3C6" w:tentative="1">
      <w:start w:val="1"/>
      <w:numFmt w:val="bullet"/>
      <w:lvlText w:val=""/>
      <w:lvlJc w:val="left"/>
      <w:pPr>
        <w:tabs>
          <w:tab w:val="num" w:pos="2160"/>
        </w:tabs>
        <w:ind w:left="2160" w:hanging="360"/>
      </w:pPr>
      <w:rPr>
        <w:rFonts w:ascii="Wingdings" w:hAnsi="Wingdings" w:hint="default"/>
      </w:rPr>
    </w:lvl>
    <w:lvl w:ilvl="3" w:tplc="17D6D4A8" w:tentative="1">
      <w:start w:val="1"/>
      <w:numFmt w:val="bullet"/>
      <w:lvlText w:val=""/>
      <w:lvlJc w:val="left"/>
      <w:pPr>
        <w:tabs>
          <w:tab w:val="num" w:pos="2880"/>
        </w:tabs>
        <w:ind w:left="2880" w:hanging="360"/>
      </w:pPr>
      <w:rPr>
        <w:rFonts w:ascii="Symbol" w:hAnsi="Symbol" w:hint="default"/>
      </w:rPr>
    </w:lvl>
    <w:lvl w:ilvl="4" w:tplc="AD402048" w:tentative="1">
      <w:start w:val="1"/>
      <w:numFmt w:val="bullet"/>
      <w:lvlText w:val="o"/>
      <w:lvlJc w:val="left"/>
      <w:pPr>
        <w:tabs>
          <w:tab w:val="num" w:pos="3600"/>
        </w:tabs>
        <w:ind w:left="3600" w:hanging="360"/>
      </w:pPr>
      <w:rPr>
        <w:rFonts w:ascii="Courier New" w:hAnsi="Courier New" w:cs="Courier New" w:hint="default"/>
      </w:rPr>
    </w:lvl>
    <w:lvl w:ilvl="5" w:tplc="AE9AC77C" w:tentative="1">
      <w:start w:val="1"/>
      <w:numFmt w:val="bullet"/>
      <w:lvlText w:val=""/>
      <w:lvlJc w:val="left"/>
      <w:pPr>
        <w:tabs>
          <w:tab w:val="num" w:pos="4320"/>
        </w:tabs>
        <w:ind w:left="4320" w:hanging="360"/>
      </w:pPr>
      <w:rPr>
        <w:rFonts w:ascii="Wingdings" w:hAnsi="Wingdings" w:hint="default"/>
      </w:rPr>
    </w:lvl>
    <w:lvl w:ilvl="6" w:tplc="5F4AF3C0" w:tentative="1">
      <w:start w:val="1"/>
      <w:numFmt w:val="bullet"/>
      <w:lvlText w:val=""/>
      <w:lvlJc w:val="left"/>
      <w:pPr>
        <w:tabs>
          <w:tab w:val="num" w:pos="5040"/>
        </w:tabs>
        <w:ind w:left="5040" w:hanging="360"/>
      </w:pPr>
      <w:rPr>
        <w:rFonts w:ascii="Symbol" w:hAnsi="Symbol" w:hint="default"/>
      </w:rPr>
    </w:lvl>
    <w:lvl w:ilvl="7" w:tplc="C2966E52" w:tentative="1">
      <w:start w:val="1"/>
      <w:numFmt w:val="bullet"/>
      <w:lvlText w:val="o"/>
      <w:lvlJc w:val="left"/>
      <w:pPr>
        <w:tabs>
          <w:tab w:val="num" w:pos="5760"/>
        </w:tabs>
        <w:ind w:left="5760" w:hanging="360"/>
      </w:pPr>
      <w:rPr>
        <w:rFonts w:ascii="Courier New" w:hAnsi="Courier New" w:cs="Courier New" w:hint="default"/>
      </w:rPr>
    </w:lvl>
    <w:lvl w:ilvl="8" w:tplc="97B68CD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D6C843DC">
      <w:start w:val="1"/>
      <w:numFmt w:val="lowerRoman"/>
      <w:lvlText w:val="(%1)"/>
      <w:lvlJc w:val="left"/>
      <w:pPr>
        <w:tabs>
          <w:tab w:val="num" w:pos="2448"/>
        </w:tabs>
        <w:ind w:left="2448" w:hanging="648"/>
      </w:pPr>
      <w:rPr>
        <w:rFonts w:hint="default"/>
        <w:b w:val="0"/>
        <w:i w:val="0"/>
        <w:u w:val="none"/>
      </w:rPr>
    </w:lvl>
    <w:lvl w:ilvl="1" w:tplc="C2EA1F0A" w:tentative="1">
      <w:start w:val="1"/>
      <w:numFmt w:val="lowerLetter"/>
      <w:lvlText w:val="%2."/>
      <w:lvlJc w:val="left"/>
      <w:pPr>
        <w:tabs>
          <w:tab w:val="num" w:pos="1440"/>
        </w:tabs>
        <w:ind w:left="1440" w:hanging="360"/>
      </w:pPr>
    </w:lvl>
    <w:lvl w:ilvl="2" w:tplc="05641B52" w:tentative="1">
      <w:start w:val="1"/>
      <w:numFmt w:val="lowerRoman"/>
      <w:lvlText w:val="%3."/>
      <w:lvlJc w:val="right"/>
      <w:pPr>
        <w:tabs>
          <w:tab w:val="num" w:pos="2160"/>
        </w:tabs>
        <w:ind w:left="2160" w:hanging="180"/>
      </w:pPr>
    </w:lvl>
    <w:lvl w:ilvl="3" w:tplc="85963484" w:tentative="1">
      <w:start w:val="1"/>
      <w:numFmt w:val="decimal"/>
      <w:lvlText w:val="%4."/>
      <w:lvlJc w:val="left"/>
      <w:pPr>
        <w:tabs>
          <w:tab w:val="num" w:pos="2880"/>
        </w:tabs>
        <w:ind w:left="2880" w:hanging="360"/>
      </w:pPr>
    </w:lvl>
    <w:lvl w:ilvl="4" w:tplc="FDF8CB68" w:tentative="1">
      <w:start w:val="1"/>
      <w:numFmt w:val="lowerLetter"/>
      <w:lvlText w:val="%5."/>
      <w:lvlJc w:val="left"/>
      <w:pPr>
        <w:tabs>
          <w:tab w:val="num" w:pos="3600"/>
        </w:tabs>
        <w:ind w:left="3600" w:hanging="360"/>
      </w:pPr>
    </w:lvl>
    <w:lvl w:ilvl="5" w:tplc="DD883420" w:tentative="1">
      <w:start w:val="1"/>
      <w:numFmt w:val="lowerRoman"/>
      <w:lvlText w:val="%6."/>
      <w:lvlJc w:val="right"/>
      <w:pPr>
        <w:tabs>
          <w:tab w:val="num" w:pos="4320"/>
        </w:tabs>
        <w:ind w:left="4320" w:hanging="180"/>
      </w:pPr>
    </w:lvl>
    <w:lvl w:ilvl="6" w:tplc="06843952" w:tentative="1">
      <w:start w:val="1"/>
      <w:numFmt w:val="decimal"/>
      <w:lvlText w:val="%7."/>
      <w:lvlJc w:val="left"/>
      <w:pPr>
        <w:tabs>
          <w:tab w:val="num" w:pos="5040"/>
        </w:tabs>
        <w:ind w:left="5040" w:hanging="360"/>
      </w:pPr>
    </w:lvl>
    <w:lvl w:ilvl="7" w:tplc="73305C4A" w:tentative="1">
      <w:start w:val="1"/>
      <w:numFmt w:val="lowerLetter"/>
      <w:lvlText w:val="%8."/>
      <w:lvlJc w:val="left"/>
      <w:pPr>
        <w:tabs>
          <w:tab w:val="num" w:pos="5760"/>
        </w:tabs>
        <w:ind w:left="5760" w:hanging="360"/>
      </w:pPr>
    </w:lvl>
    <w:lvl w:ilvl="8" w:tplc="F92EEEF2"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9788A34C">
      <w:start w:val="1"/>
      <w:numFmt w:val="decimal"/>
      <w:lvlText w:val="%1."/>
      <w:lvlJc w:val="left"/>
      <w:pPr>
        <w:tabs>
          <w:tab w:val="num" w:pos="720"/>
        </w:tabs>
        <w:ind w:left="720" w:hanging="360"/>
      </w:pPr>
    </w:lvl>
    <w:lvl w:ilvl="1" w:tplc="2CA88EF6" w:tentative="1">
      <w:start w:val="1"/>
      <w:numFmt w:val="lowerLetter"/>
      <w:lvlText w:val="%2."/>
      <w:lvlJc w:val="left"/>
      <w:pPr>
        <w:tabs>
          <w:tab w:val="num" w:pos="1440"/>
        </w:tabs>
        <w:ind w:left="1440" w:hanging="360"/>
      </w:pPr>
    </w:lvl>
    <w:lvl w:ilvl="2" w:tplc="0376FF6C" w:tentative="1">
      <w:start w:val="1"/>
      <w:numFmt w:val="lowerRoman"/>
      <w:lvlText w:val="%3."/>
      <w:lvlJc w:val="right"/>
      <w:pPr>
        <w:tabs>
          <w:tab w:val="num" w:pos="2160"/>
        </w:tabs>
        <w:ind w:left="2160" w:hanging="180"/>
      </w:pPr>
    </w:lvl>
    <w:lvl w:ilvl="3" w:tplc="754682F4" w:tentative="1">
      <w:start w:val="1"/>
      <w:numFmt w:val="decimal"/>
      <w:lvlText w:val="%4."/>
      <w:lvlJc w:val="left"/>
      <w:pPr>
        <w:tabs>
          <w:tab w:val="num" w:pos="2880"/>
        </w:tabs>
        <w:ind w:left="2880" w:hanging="360"/>
      </w:pPr>
    </w:lvl>
    <w:lvl w:ilvl="4" w:tplc="50265A86" w:tentative="1">
      <w:start w:val="1"/>
      <w:numFmt w:val="lowerLetter"/>
      <w:lvlText w:val="%5."/>
      <w:lvlJc w:val="left"/>
      <w:pPr>
        <w:tabs>
          <w:tab w:val="num" w:pos="3600"/>
        </w:tabs>
        <w:ind w:left="3600" w:hanging="360"/>
      </w:pPr>
    </w:lvl>
    <w:lvl w:ilvl="5" w:tplc="49BAB8D2" w:tentative="1">
      <w:start w:val="1"/>
      <w:numFmt w:val="lowerRoman"/>
      <w:lvlText w:val="%6."/>
      <w:lvlJc w:val="right"/>
      <w:pPr>
        <w:tabs>
          <w:tab w:val="num" w:pos="4320"/>
        </w:tabs>
        <w:ind w:left="4320" w:hanging="180"/>
      </w:pPr>
    </w:lvl>
    <w:lvl w:ilvl="6" w:tplc="D1B25A12" w:tentative="1">
      <w:start w:val="1"/>
      <w:numFmt w:val="decimal"/>
      <w:lvlText w:val="%7."/>
      <w:lvlJc w:val="left"/>
      <w:pPr>
        <w:tabs>
          <w:tab w:val="num" w:pos="5040"/>
        </w:tabs>
        <w:ind w:left="5040" w:hanging="360"/>
      </w:pPr>
    </w:lvl>
    <w:lvl w:ilvl="7" w:tplc="D4C4F9F8" w:tentative="1">
      <w:start w:val="1"/>
      <w:numFmt w:val="lowerLetter"/>
      <w:lvlText w:val="%8."/>
      <w:lvlJc w:val="left"/>
      <w:pPr>
        <w:tabs>
          <w:tab w:val="num" w:pos="5760"/>
        </w:tabs>
        <w:ind w:left="5760" w:hanging="360"/>
      </w:pPr>
    </w:lvl>
    <w:lvl w:ilvl="8" w:tplc="6794FB58"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3432BEDC">
      <w:start w:val="1"/>
      <w:numFmt w:val="bullet"/>
      <w:lvlText w:val=""/>
      <w:lvlJc w:val="left"/>
      <w:pPr>
        <w:tabs>
          <w:tab w:val="num" w:pos="5760"/>
        </w:tabs>
        <w:ind w:left="5760" w:hanging="360"/>
      </w:pPr>
      <w:rPr>
        <w:rFonts w:ascii="Symbol" w:hAnsi="Symbol" w:hint="default"/>
        <w:color w:val="auto"/>
        <w:u w:val="none"/>
      </w:rPr>
    </w:lvl>
    <w:lvl w:ilvl="1" w:tplc="7C540DE4" w:tentative="1">
      <w:start w:val="1"/>
      <w:numFmt w:val="bullet"/>
      <w:lvlText w:val="o"/>
      <w:lvlJc w:val="left"/>
      <w:pPr>
        <w:tabs>
          <w:tab w:val="num" w:pos="3600"/>
        </w:tabs>
        <w:ind w:left="3600" w:hanging="360"/>
      </w:pPr>
      <w:rPr>
        <w:rFonts w:ascii="Courier New" w:hAnsi="Courier New" w:hint="default"/>
      </w:rPr>
    </w:lvl>
    <w:lvl w:ilvl="2" w:tplc="46408298" w:tentative="1">
      <w:start w:val="1"/>
      <w:numFmt w:val="bullet"/>
      <w:lvlText w:val=""/>
      <w:lvlJc w:val="left"/>
      <w:pPr>
        <w:tabs>
          <w:tab w:val="num" w:pos="4320"/>
        </w:tabs>
        <w:ind w:left="4320" w:hanging="360"/>
      </w:pPr>
      <w:rPr>
        <w:rFonts w:ascii="Wingdings" w:hAnsi="Wingdings" w:hint="default"/>
      </w:rPr>
    </w:lvl>
    <w:lvl w:ilvl="3" w:tplc="A5B0F2B8">
      <w:start w:val="1"/>
      <w:numFmt w:val="bullet"/>
      <w:lvlText w:val=""/>
      <w:lvlJc w:val="left"/>
      <w:pPr>
        <w:tabs>
          <w:tab w:val="num" w:pos="5040"/>
        </w:tabs>
        <w:ind w:left="5040" w:hanging="360"/>
      </w:pPr>
      <w:rPr>
        <w:rFonts w:ascii="Symbol" w:hAnsi="Symbol" w:hint="default"/>
      </w:rPr>
    </w:lvl>
    <w:lvl w:ilvl="4" w:tplc="3D648040" w:tentative="1">
      <w:start w:val="1"/>
      <w:numFmt w:val="bullet"/>
      <w:lvlText w:val="o"/>
      <w:lvlJc w:val="left"/>
      <w:pPr>
        <w:tabs>
          <w:tab w:val="num" w:pos="5760"/>
        </w:tabs>
        <w:ind w:left="5760" w:hanging="360"/>
      </w:pPr>
      <w:rPr>
        <w:rFonts w:ascii="Courier New" w:hAnsi="Courier New" w:hint="default"/>
      </w:rPr>
    </w:lvl>
    <w:lvl w:ilvl="5" w:tplc="9410CBCA" w:tentative="1">
      <w:start w:val="1"/>
      <w:numFmt w:val="bullet"/>
      <w:lvlText w:val=""/>
      <w:lvlJc w:val="left"/>
      <w:pPr>
        <w:tabs>
          <w:tab w:val="num" w:pos="6480"/>
        </w:tabs>
        <w:ind w:left="6480" w:hanging="360"/>
      </w:pPr>
      <w:rPr>
        <w:rFonts w:ascii="Wingdings" w:hAnsi="Wingdings" w:hint="default"/>
      </w:rPr>
    </w:lvl>
    <w:lvl w:ilvl="6" w:tplc="79F67338" w:tentative="1">
      <w:start w:val="1"/>
      <w:numFmt w:val="bullet"/>
      <w:lvlText w:val=""/>
      <w:lvlJc w:val="left"/>
      <w:pPr>
        <w:tabs>
          <w:tab w:val="num" w:pos="7200"/>
        </w:tabs>
        <w:ind w:left="7200" w:hanging="360"/>
      </w:pPr>
      <w:rPr>
        <w:rFonts w:ascii="Symbol" w:hAnsi="Symbol" w:hint="default"/>
      </w:rPr>
    </w:lvl>
    <w:lvl w:ilvl="7" w:tplc="A48659D2" w:tentative="1">
      <w:start w:val="1"/>
      <w:numFmt w:val="bullet"/>
      <w:lvlText w:val="o"/>
      <w:lvlJc w:val="left"/>
      <w:pPr>
        <w:tabs>
          <w:tab w:val="num" w:pos="7920"/>
        </w:tabs>
        <w:ind w:left="7920" w:hanging="360"/>
      </w:pPr>
      <w:rPr>
        <w:rFonts w:ascii="Courier New" w:hAnsi="Courier New" w:hint="default"/>
      </w:rPr>
    </w:lvl>
    <w:lvl w:ilvl="8" w:tplc="2F706BA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C35A0724">
      <w:start w:val="1"/>
      <w:numFmt w:val="decimal"/>
      <w:lvlText w:val="(%1)"/>
      <w:lvlJc w:val="left"/>
      <w:pPr>
        <w:tabs>
          <w:tab w:val="num" w:pos="2520"/>
        </w:tabs>
        <w:ind w:left="2520" w:hanging="720"/>
      </w:pPr>
      <w:rPr>
        <w:rFonts w:hint="default"/>
      </w:rPr>
    </w:lvl>
    <w:lvl w:ilvl="1" w:tplc="3A10F49E">
      <w:start w:val="1"/>
      <w:numFmt w:val="lowerRoman"/>
      <w:lvlText w:val="(%2)"/>
      <w:lvlJc w:val="left"/>
      <w:pPr>
        <w:tabs>
          <w:tab w:val="num" w:pos="1800"/>
        </w:tabs>
        <w:ind w:left="1800" w:hanging="720"/>
      </w:pPr>
      <w:rPr>
        <w:rFonts w:hint="default"/>
        <w:b w:val="0"/>
      </w:rPr>
    </w:lvl>
    <w:lvl w:ilvl="2" w:tplc="DCF8D6DA">
      <w:start w:val="1"/>
      <w:numFmt w:val="decimal"/>
      <w:lvlText w:val="(%3)"/>
      <w:lvlJc w:val="right"/>
      <w:pPr>
        <w:tabs>
          <w:tab w:val="num" w:pos="2160"/>
        </w:tabs>
        <w:ind w:left="2160" w:hanging="180"/>
      </w:pPr>
      <w:rPr>
        <w:rFonts w:ascii="Times New Roman" w:eastAsia="Times New Roman" w:hAnsi="Times New Roman" w:cs="Times New Roman"/>
        <w:b w:val="0"/>
      </w:rPr>
    </w:lvl>
    <w:lvl w:ilvl="3" w:tplc="1A70B426">
      <w:start w:val="1"/>
      <w:numFmt w:val="lowerRoman"/>
      <w:lvlText w:val="(%4)"/>
      <w:lvlJc w:val="left"/>
      <w:pPr>
        <w:tabs>
          <w:tab w:val="num" w:pos="2520"/>
        </w:tabs>
        <w:ind w:left="2880" w:hanging="360"/>
      </w:pPr>
      <w:rPr>
        <w:rFonts w:hint="default"/>
        <w:b w:val="0"/>
      </w:rPr>
    </w:lvl>
    <w:lvl w:ilvl="4" w:tplc="BBE02E56" w:tentative="1">
      <w:start w:val="1"/>
      <w:numFmt w:val="lowerLetter"/>
      <w:lvlText w:val="%5."/>
      <w:lvlJc w:val="left"/>
      <w:pPr>
        <w:tabs>
          <w:tab w:val="num" w:pos="3600"/>
        </w:tabs>
        <w:ind w:left="3600" w:hanging="360"/>
      </w:pPr>
    </w:lvl>
    <w:lvl w:ilvl="5" w:tplc="FB94EAE6" w:tentative="1">
      <w:start w:val="1"/>
      <w:numFmt w:val="lowerRoman"/>
      <w:lvlText w:val="%6."/>
      <w:lvlJc w:val="right"/>
      <w:pPr>
        <w:tabs>
          <w:tab w:val="num" w:pos="4320"/>
        </w:tabs>
        <w:ind w:left="4320" w:hanging="180"/>
      </w:pPr>
    </w:lvl>
    <w:lvl w:ilvl="6" w:tplc="1CC032E2" w:tentative="1">
      <w:start w:val="1"/>
      <w:numFmt w:val="decimal"/>
      <w:lvlText w:val="%7."/>
      <w:lvlJc w:val="left"/>
      <w:pPr>
        <w:tabs>
          <w:tab w:val="num" w:pos="5040"/>
        </w:tabs>
        <w:ind w:left="5040" w:hanging="360"/>
      </w:pPr>
    </w:lvl>
    <w:lvl w:ilvl="7" w:tplc="69A68A6E" w:tentative="1">
      <w:start w:val="1"/>
      <w:numFmt w:val="lowerLetter"/>
      <w:lvlText w:val="%8."/>
      <w:lvlJc w:val="left"/>
      <w:pPr>
        <w:tabs>
          <w:tab w:val="num" w:pos="5760"/>
        </w:tabs>
        <w:ind w:left="5760" w:hanging="360"/>
      </w:pPr>
    </w:lvl>
    <w:lvl w:ilvl="8" w:tplc="09C88400"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5F36"/>
    <w:rsid w:val="00425F36"/>
    <w:rsid w:val="00E649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D3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8454EC"/>
    <w:pPr>
      <w:keepNext/>
      <w:pageBreakBefore/>
      <w:spacing w:before="240" w:after="240"/>
      <w:ind w:left="720" w:hanging="720"/>
      <w:outlineLvl w:val="0"/>
    </w:pPr>
    <w:rPr>
      <w:b/>
    </w:rPr>
  </w:style>
  <w:style w:type="paragraph" w:styleId="Heading2">
    <w:name w:val="heading 2"/>
    <w:basedOn w:val="Normal"/>
    <w:next w:val="Normal"/>
    <w:qFormat/>
    <w:rsid w:val="008454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454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54EC"/>
    <w:pPr>
      <w:keepNext/>
      <w:tabs>
        <w:tab w:val="left" w:pos="1800"/>
      </w:tabs>
      <w:spacing w:before="240" w:after="240"/>
      <w:ind w:left="1800" w:hanging="1080"/>
      <w:outlineLvl w:val="3"/>
    </w:pPr>
    <w:rPr>
      <w:b/>
    </w:rPr>
  </w:style>
  <w:style w:type="paragraph" w:styleId="Heading5">
    <w:name w:val="heading 5"/>
    <w:basedOn w:val="Normal"/>
    <w:next w:val="Normal"/>
    <w:qFormat/>
    <w:rsid w:val="008454EC"/>
    <w:pPr>
      <w:keepNext/>
      <w:spacing w:line="480" w:lineRule="auto"/>
      <w:ind w:left="1440" w:right="-90" w:hanging="720"/>
      <w:outlineLvl w:val="4"/>
    </w:pPr>
    <w:rPr>
      <w:b/>
    </w:rPr>
  </w:style>
  <w:style w:type="paragraph" w:styleId="Heading6">
    <w:name w:val="heading 6"/>
    <w:basedOn w:val="Normal"/>
    <w:next w:val="Normal"/>
    <w:qFormat/>
    <w:rsid w:val="008454EC"/>
    <w:pPr>
      <w:keepNext/>
      <w:spacing w:line="480" w:lineRule="auto"/>
      <w:ind w:left="1080" w:right="-90" w:hanging="360"/>
      <w:outlineLvl w:val="5"/>
    </w:pPr>
    <w:rPr>
      <w:b/>
    </w:rPr>
  </w:style>
  <w:style w:type="paragraph" w:styleId="Heading7">
    <w:name w:val="heading 7"/>
    <w:basedOn w:val="Normal"/>
    <w:next w:val="Normal"/>
    <w:qFormat/>
    <w:rsid w:val="008454EC"/>
    <w:pPr>
      <w:keepNext/>
      <w:spacing w:line="480" w:lineRule="auto"/>
      <w:ind w:left="720" w:right="630"/>
      <w:outlineLvl w:val="6"/>
    </w:pPr>
    <w:rPr>
      <w:b/>
    </w:rPr>
  </w:style>
  <w:style w:type="paragraph" w:styleId="Heading8">
    <w:name w:val="heading 8"/>
    <w:basedOn w:val="Normal"/>
    <w:next w:val="Normal"/>
    <w:qFormat/>
    <w:rsid w:val="008454EC"/>
    <w:pPr>
      <w:keepNext/>
      <w:spacing w:line="480" w:lineRule="auto"/>
      <w:ind w:left="720" w:right="-90"/>
      <w:outlineLvl w:val="7"/>
    </w:pPr>
    <w:rPr>
      <w:b/>
    </w:rPr>
  </w:style>
  <w:style w:type="paragraph" w:styleId="Heading9">
    <w:name w:val="heading 9"/>
    <w:basedOn w:val="Normal"/>
    <w:next w:val="Normal"/>
    <w:qFormat/>
    <w:rsid w:val="008454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4EC"/>
    <w:rPr>
      <w:b/>
      <w:snapToGrid w:val="0"/>
      <w:sz w:val="24"/>
      <w:lang w:val="en-US" w:eastAsia="en-US" w:bidi="ar-SA"/>
    </w:rPr>
  </w:style>
  <w:style w:type="paragraph" w:styleId="Footer">
    <w:name w:val="footer"/>
    <w:basedOn w:val="Normal"/>
    <w:rsid w:val="00425F36"/>
    <w:pPr>
      <w:tabs>
        <w:tab w:val="center" w:pos="4320"/>
        <w:tab w:val="right" w:pos="8640"/>
      </w:tabs>
    </w:pPr>
  </w:style>
  <w:style w:type="character" w:styleId="PageNumber">
    <w:name w:val="page number"/>
    <w:basedOn w:val="DefaultParagraphFont"/>
    <w:rsid w:val="00425F36"/>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8454EC"/>
    <w:pPr>
      <w:tabs>
        <w:tab w:val="clear" w:pos="1800"/>
      </w:tabs>
      <w:ind w:left="720" w:firstLine="0"/>
    </w:pPr>
  </w:style>
  <w:style w:type="paragraph" w:styleId="FootnoteText">
    <w:name w:val="footnote text"/>
    <w:basedOn w:val="Normal"/>
    <w:semiHidden/>
    <w:rsid w:val="00425F36"/>
    <w:pPr>
      <w:jc w:val="both"/>
    </w:pPr>
    <w:rPr>
      <w:sz w:val="20"/>
    </w:rPr>
  </w:style>
  <w:style w:type="character" w:styleId="FootnoteReference">
    <w:name w:val="footnote reference"/>
    <w:semiHidden/>
    <w:rsid w:val="008454EC"/>
  </w:style>
  <w:style w:type="paragraph" w:styleId="Header">
    <w:name w:val="header"/>
    <w:basedOn w:val="Normal"/>
    <w:rsid w:val="008454EC"/>
    <w:pPr>
      <w:tabs>
        <w:tab w:val="center" w:pos="4680"/>
        <w:tab w:val="right" w:pos="9360"/>
      </w:tabs>
    </w:pPr>
    <w:rPr>
      <w:szCs w:val="24"/>
    </w:rPr>
  </w:style>
  <w:style w:type="paragraph" w:styleId="Title">
    <w:name w:val="Title"/>
    <w:basedOn w:val="Normal"/>
    <w:qFormat/>
    <w:rsid w:val="00425F36"/>
    <w:pPr>
      <w:spacing w:after="240"/>
      <w:jc w:val="center"/>
    </w:pPr>
    <w:rPr>
      <w:rFonts w:ascii="Times New Roman" w:hAnsi="Times New Roman"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8454EC"/>
    <w:pPr>
      <w:spacing w:before="240" w:after="240"/>
    </w:pPr>
  </w:style>
  <w:style w:type="paragraph" w:customStyle="1" w:styleId="Definitionindent">
    <w:name w:val="Definition indent"/>
    <w:basedOn w:val="Definition"/>
    <w:rsid w:val="008454EC"/>
    <w:pPr>
      <w:spacing w:before="120" w:after="120"/>
      <w:ind w:left="720"/>
    </w:pPr>
  </w:style>
  <w:style w:type="paragraph" w:customStyle="1" w:styleId="Bodypara">
    <w:name w:val="Body para"/>
    <w:basedOn w:val="Normal"/>
    <w:rsid w:val="008454EC"/>
    <w:pPr>
      <w:spacing w:line="480" w:lineRule="auto"/>
      <w:ind w:firstLine="720"/>
    </w:pPr>
  </w:style>
  <w:style w:type="paragraph" w:customStyle="1" w:styleId="alphapara">
    <w:name w:val="alpha para"/>
    <w:basedOn w:val="Bodypara"/>
    <w:rsid w:val="008454EC"/>
    <w:pPr>
      <w:ind w:left="1440" w:hanging="720"/>
    </w:pPr>
  </w:style>
  <w:style w:type="paragraph" w:styleId="Date">
    <w:name w:val="Date"/>
    <w:basedOn w:val="Normal"/>
    <w:next w:val="Normal"/>
    <w:rsid w:val="008454EC"/>
  </w:style>
  <w:style w:type="paragraph" w:customStyle="1" w:styleId="TOCheading">
    <w:name w:val="TOC heading"/>
    <w:basedOn w:val="Normal"/>
    <w:rsid w:val="008454EC"/>
    <w:pPr>
      <w:spacing w:before="240" w:after="240"/>
    </w:pPr>
    <w:rPr>
      <w:b/>
    </w:rPr>
  </w:style>
  <w:style w:type="paragraph" w:styleId="DocumentMap">
    <w:name w:val="Document Map"/>
    <w:basedOn w:val="Normal"/>
    <w:semiHidden/>
    <w:rsid w:val="008454EC"/>
    <w:pPr>
      <w:shd w:val="clear" w:color="auto" w:fill="000080"/>
    </w:pPr>
    <w:rPr>
      <w:rFonts w:ascii="Tahoma" w:hAnsi="Tahoma" w:cs="Tahoma"/>
      <w:sz w:val="20"/>
    </w:rPr>
  </w:style>
  <w:style w:type="paragraph" w:customStyle="1" w:styleId="Footers">
    <w:name w:val="Footers"/>
    <w:basedOn w:val="Heading1"/>
    <w:rsid w:val="008454EC"/>
    <w:pPr>
      <w:tabs>
        <w:tab w:val="left" w:pos="1440"/>
        <w:tab w:val="left" w:pos="7020"/>
        <w:tab w:val="right" w:pos="9360"/>
      </w:tabs>
    </w:pPr>
    <w:rPr>
      <w:b w:val="0"/>
      <w:sz w:val="20"/>
    </w:rPr>
  </w:style>
  <w:style w:type="paragraph" w:customStyle="1" w:styleId="alphaheading">
    <w:name w:val="alpha heading"/>
    <w:basedOn w:val="Normal"/>
    <w:rsid w:val="008454EC"/>
    <w:pPr>
      <w:keepNext/>
      <w:tabs>
        <w:tab w:val="left" w:pos="1440"/>
      </w:tabs>
      <w:spacing w:before="240" w:after="240"/>
      <w:ind w:left="1440" w:hanging="720"/>
    </w:pPr>
    <w:rPr>
      <w:b/>
      <w:szCs w:val="24"/>
    </w:rPr>
  </w:style>
  <w:style w:type="paragraph" w:customStyle="1" w:styleId="romannumeralpara">
    <w:name w:val="roman numeral para"/>
    <w:basedOn w:val="Normal"/>
    <w:rsid w:val="008454EC"/>
    <w:pPr>
      <w:spacing w:line="480" w:lineRule="auto"/>
      <w:ind w:left="1440" w:hanging="720"/>
    </w:pPr>
  </w:style>
  <w:style w:type="paragraph" w:customStyle="1" w:styleId="Bulletpara">
    <w:name w:val="Bullet para"/>
    <w:basedOn w:val="Normal"/>
    <w:rsid w:val="008454EC"/>
    <w:pPr>
      <w:numPr>
        <w:numId w:val="36"/>
      </w:numPr>
      <w:tabs>
        <w:tab w:val="left" w:pos="900"/>
      </w:tabs>
      <w:spacing w:before="120" w:after="120"/>
    </w:pPr>
    <w:rPr>
      <w:szCs w:val="24"/>
    </w:rPr>
  </w:style>
  <w:style w:type="paragraph" w:styleId="TOC1">
    <w:name w:val="toc 1"/>
    <w:basedOn w:val="Normal"/>
    <w:next w:val="Normal"/>
    <w:semiHidden/>
    <w:rsid w:val="008454EC"/>
  </w:style>
  <w:style w:type="paragraph" w:customStyle="1" w:styleId="Tarifftitle">
    <w:name w:val="Tariff title"/>
    <w:basedOn w:val="Normal"/>
    <w:rsid w:val="008454EC"/>
    <w:rPr>
      <w:b/>
      <w:sz w:val="28"/>
      <w:szCs w:val="28"/>
    </w:rPr>
  </w:style>
  <w:style w:type="paragraph" w:styleId="TOC2">
    <w:name w:val="toc 2"/>
    <w:basedOn w:val="Normal"/>
    <w:next w:val="Normal"/>
    <w:semiHidden/>
    <w:rsid w:val="008454EC"/>
    <w:pPr>
      <w:ind w:left="240"/>
    </w:pPr>
  </w:style>
  <w:style w:type="character" w:styleId="Hyperlink">
    <w:name w:val="Hyperlink"/>
    <w:basedOn w:val="DefaultParagraphFont"/>
    <w:rsid w:val="008454EC"/>
    <w:rPr>
      <w:color w:val="0000FF"/>
      <w:u w:val="single"/>
    </w:rPr>
  </w:style>
  <w:style w:type="paragraph" w:styleId="TOC3">
    <w:name w:val="toc 3"/>
    <w:basedOn w:val="Normal"/>
    <w:next w:val="Normal"/>
    <w:semiHidden/>
    <w:rsid w:val="008454EC"/>
    <w:pPr>
      <w:ind w:left="480"/>
    </w:pPr>
  </w:style>
  <w:style w:type="paragraph" w:styleId="TOC4">
    <w:name w:val="toc 4"/>
    <w:basedOn w:val="Normal"/>
    <w:next w:val="Normal"/>
    <w:semiHidden/>
    <w:rsid w:val="008454EC"/>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8454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2010-03-10T14:35:00Z</cp:lastPrinted>
  <dcterms:created xsi:type="dcterms:W3CDTF">2017-12-13T19:38:00Z</dcterms:created>
  <dcterms:modified xsi:type="dcterms:W3CDTF">2017-12-13T19:38:00Z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