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A0" w:rsidRDefault="00F460B9" w:rsidP="00DB7FA0">
      <w:pPr>
        <w:pStyle w:val="Heading1"/>
      </w:pPr>
      <w:bookmarkStart w:id="0" w:name="_Toc261265391"/>
      <w:bookmarkStart w:id="1" w:name="_Toc263669219"/>
      <w:r>
        <w:t>28</w:t>
      </w:r>
      <w:r>
        <w:tab/>
      </w:r>
      <w:r>
        <w:t xml:space="preserve">Attachment M-1 – </w:t>
      </w:r>
      <w:r>
        <w:t xml:space="preserve">Operating Protocol For The Implementation Of Commission Opinion </w:t>
      </w:r>
      <w:r>
        <w:t xml:space="preserve">No. 476 - </w:t>
      </w:r>
      <w:r w:rsidRPr="00AF0CBA">
        <w:t>(DOCKET NO. EL02-23-000 (Phase II))</w:t>
      </w:r>
      <w:bookmarkEnd w:id="0"/>
      <w:bookmarkEnd w:id="1"/>
    </w:p>
    <w:p w:rsidR="00DB7FA0" w:rsidRDefault="00F460B9" w:rsidP="00783D82">
      <w:pPr>
        <w:pStyle w:val="romannumeralpara"/>
      </w:pPr>
      <w:bookmarkStart w:id="2" w:name="_DV_M2"/>
      <w:bookmarkStart w:id="3" w:name="_DV_M3"/>
      <w:bookmarkStart w:id="4" w:name="_DV_M4"/>
      <w:bookmarkStart w:id="5" w:name="_DV_M7"/>
      <w:bookmarkEnd w:id="2"/>
      <w:bookmarkEnd w:id="3"/>
      <w:bookmarkEnd w:id="4"/>
      <w:bookmarkEnd w:id="5"/>
      <w:r>
        <w:t>28.</w:t>
      </w:r>
      <w:r w:rsidRPr="00411536">
        <w:t>1.1</w:t>
      </w:r>
      <w:r w:rsidRPr="00411536">
        <w:tab/>
      </w:r>
      <w:r>
        <w:tab/>
      </w:r>
      <w:r w:rsidRPr="00411536">
        <w:t>This “Operating Protocol” establishes procedures for the planning, operation, control, and scheduling of energy by t</w:t>
      </w:r>
      <w:r w:rsidRPr="00411536">
        <w:t>he New York Independent System Operator, Inc. (NYISO), PJM Interconnection, LLC (PJM), Consolidated Edison</w:t>
      </w:r>
      <w:r>
        <w:t xml:space="preserve"> Company of New York (ConEd) and Public Service Electric and Gas Company (PSE&amp;G) (collectively, the “parties”), pursuant to contracts dated May 22, 19</w:t>
      </w:r>
      <w:r>
        <w:t>75 (as amended May 9, 1978) and May 8, 1978 between ConEd and PSE&amp;G.  The 1975 contract is referred to herein as the 400 MW contract and the 1978 contract is referred to as the 600 MW contract.  The two contracts are referred to collectively as the “600/40</w:t>
      </w:r>
      <w:r>
        <w:t>0 MW contracts.”</w:t>
      </w:r>
    </w:p>
    <w:p w:rsidR="00DB7FA0" w:rsidRDefault="00F460B9" w:rsidP="00783D82">
      <w:pPr>
        <w:pStyle w:val="romannumeralpara"/>
      </w:pPr>
      <w:bookmarkStart w:id="6" w:name="_DV_M8"/>
      <w:bookmarkEnd w:id="6"/>
      <w:r>
        <w:t>28.1.2</w:t>
      </w:r>
      <w:r>
        <w:tab/>
      </w:r>
      <w:r>
        <w:tab/>
      </w:r>
      <w:r>
        <w:t>This Operating Protocol shall be used by the NYISO and PJM in preparing to operate, and operating in real-time, to the hourly flow of energy between them pursuant to the 600/400 MW contracts as established by this Operating Protoco</w:t>
      </w:r>
      <w:r>
        <w:t>l.</w:t>
      </w:r>
    </w:p>
    <w:p w:rsidR="00DB7FA0" w:rsidRDefault="00F460B9" w:rsidP="00783D82">
      <w:pPr>
        <w:pStyle w:val="romannumeralpara"/>
      </w:pPr>
      <w:bookmarkStart w:id="7" w:name="_DV_M9"/>
      <w:bookmarkEnd w:id="7"/>
      <w:r>
        <w:t>28.1.3</w:t>
      </w:r>
      <w:r>
        <w:tab/>
      </w:r>
      <w:r>
        <w:tab/>
      </w:r>
      <w:r>
        <w:t>During system emergencies, the appropriate emergency procedures of the NYISO and PJM, if necessary, shall take priority over the provisions of this Operating Protocol.  The NYISO and PJM dispatchers shall have the authority to implement their re</w:t>
      </w:r>
      <w:r>
        <w:t xml:space="preserve">spective emergency procedures in whatever order is required to ensure overall system reliability.  Without limiting the foregoing, the order of load relief measures and contract reductions </w:t>
      </w:r>
      <w:bookmarkStart w:id="8" w:name="_DV_C2"/>
      <w:r>
        <w:t>when there is an emergency on the PJM system</w:t>
      </w:r>
      <w:bookmarkStart w:id="9" w:name="_DV_M10"/>
      <w:bookmarkEnd w:id="8"/>
      <w:bookmarkEnd w:id="9"/>
      <w:r>
        <w:t xml:space="preserve"> will be:   </w:t>
      </w:r>
    </w:p>
    <w:p w:rsidR="00DB7FA0" w:rsidRDefault="00F460B9" w:rsidP="00DB7FA0">
      <w:pPr>
        <w:ind w:left="2160"/>
        <w:jc w:val="both"/>
      </w:pPr>
      <w:bookmarkStart w:id="10" w:name="_DV_M11"/>
      <w:bookmarkEnd w:id="10"/>
      <w:r>
        <w:t>•</w:t>
      </w:r>
      <w:r>
        <w:tab/>
        <w:t>Reductio</w:t>
      </w:r>
      <w:r>
        <w:t>n of the 400 MW contract</w:t>
      </w:r>
      <w:r>
        <w:rPr>
          <w:vertAlign w:val="superscript"/>
        </w:rPr>
        <w:footnoteReference w:id="1"/>
      </w:r>
    </w:p>
    <w:p w:rsidR="00DB7FA0" w:rsidRDefault="00F460B9" w:rsidP="00DB7FA0">
      <w:pPr>
        <w:ind w:left="2160"/>
        <w:jc w:val="both"/>
      </w:pPr>
      <w:bookmarkStart w:id="11" w:name="_DV_M12"/>
      <w:bookmarkEnd w:id="11"/>
      <w:r>
        <w:lastRenderedPageBreak/>
        <w:t>•</w:t>
      </w:r>
      <w:r>
        <w:tab/>
        <w:t xml:space="preserve">Calling of Active Load Management </w:t>
      </w:r>
    </w:p>
    <w:p w:rsidR="00DB7FA0" w:rsidRDefault="00F460B9" w:rsidP="00DB7FA0">
      <w:pPr>
        <w:ind w:left="2160"/>
        <w:jc w:val="both"/>
      </w:pPr>
      <w:bookmarkStart w:id="12" w:name="_DV_M13"/>
      <w:bookmarkEnd w:id="12"/>
      <w:r>
        <w:t>•</w:t>
      </w:r>
      <w:r>
        <w:tab/>
        <w:t>Voltage reduction</w:t>
      </w:r>
    </w:p>
    <w:p w:rsidR="00DB7FA0" w:rsidRDefault="00F460B9" w:rsidP="00DB7FA0">
      <w:pPr>
        <w:ind w:left="2160"/>
        <w:jc w:val="both"/>
      </w:pPr>
      <w:bookmarkStart w:id="13" w:name="_DV_M14"/>
      <w:bookmarkEnd w:id="13"/>
      <w:r>
        <w:t>•</w:t>
      </w:r>
      <w:r>
        <w:tab/>
        <w:t>Reduction of the 600 MW contract</w:t>
      </w:r>
      <w:r>
        <w:rPr>
          <w:vertAlign w:val="superscript"/>
        </w:rPr>
        <w:footnoteReference w:id="2"/>
      </w:r>
    </w:p>
    <w:p w:rsidR="00DB7FA0" w:rsidRDefault="00F460B9" w:rsidP="00DB7FA0">
      <w:pPr>
        <w:ind w:left="2160"/>
        <w:jc w:val="both"/>
      </w:pPr>
      <w:bookmarkStart w:id="14" w:name="_DV_M15"/>
      <w:bookmarkEnd w:id="14"/>
      <w:r>
        <w:t>•</w:t>
      </w:r>
      <w:r>
        <w:tab/>
        <w:t>Load shedding</w:t>
      </w:r>
    </w:p>
    <w:p w:rsidR="00DB7FA0" w:rsidRDefault="00F460B9" w:rsidP="00DB7FA0">
      <w:pPr>
        <w:jc w:val="both"/>
      </w:pPr>
      <w:bookmarkStart w:id="15" w:name="_DV_M16"/>
      <w:bookmarkEnd w:id="15"/>
    </w:p>
    <w:p w:rsidR="00DB7FA0" w:rsidRDefault="00F460B9" w:rsidP="00783D82">
      <w:pPr>
        <w:pStyle w:val="romannumeralpara"/>
        <w:ind w:firstLine="0"/>
      </w:pPr>
      <w:r>
        <w:t>In addition, if PJM declares an emergency condition that arises from outages on the PSE&amp;G system the NYISO and PJM may a</w:t>
      </w:r>
      <w:r>
        <w:t xml:space="preserve">gree to deliver up to 400 MW to Goethals for re-delivery to </w:t>
      </w:r>
      <w:smartTag w:uri="urn:schemas-microsoft-com:office:smarttags" w:element="place">
        <w:smartTag w:uri="urn:schemas-microsoft-com:office:smarttags" w:element="City">
          <w:r>
            <w:t>Hudson</w:t>
          </w:r>
        </w:smartTag>
      </w:smartTag>
      <w:r>
        <w:t xml:space="preserve"> via the NYISO’s system.  Such emergency re-deliveries shall not be considered in the calculation of the Real-Time Market Desired Flow under Appendices 1 an</w:t>
      </w:r>
      <w:r>
        <w:t>d 3 of this Operating Protocol.</w:t>
      </w:r>
    </w:p>
    <w:p w:rsidR="00DB7FA0" w:rsidRDefault="00F460B9" w:rsidP="00783D82">
      <w:pPr>
        <w:pStyle w:val="romannumeralpara"/>
      </w:pPr>
      <w:r>
        <w:t>28</w:t>
      </w:r>
      <w:r>
        <w:t>.1.4</w:t>
      </w:r>
      <w:r>
        <w:tab/>
      </w:r>
      <w:r>
        <w:tab/>
      </w:r>
      <w:r>
        <w:t>All aspects of this Operating Protocol are subject to the dispute resolution procedures of PJM and the NYISO.</w:t>
      </w:r>
    </w:p>
    <w:p w:rsidR="00DB7FA0" w:rsidRDefault="00F460B9" w:rsidP="00783D82">
      <w:pPr>
        <w:pStyle w:val="romannumeralpara"/>
      </w:pPr>
      <w:r>
        <w:t>28.1.5</w:t>
      </w:r>
      <w:r>
        <w:tab/>
      </w:r>
      <w:r>
        <w:tab/>
      </w:r>
      <w:r>
        <w:t>Because the procedures in this Operating Protocol are new, the parties will review all aspects of this Operating Protocol on a perio</w:t>
      </w:r>
      <w:r>
        <w:t>dic basis, initially monthly and, after a six month period, annually, to determine if modifications are required to effectuate the Commission’s Opinion No. 476 in Docket No. EL02-23-000 (Phase II).</w:t>
      </w:r>
    </w:p>
    <w:p w:rsidR="00DB7FA0" w:rsidRDefault="00F460B9" w:rsidP="00783D82">
      <w:pPr>
        <w:pStyle w:val="romannumeralpara"/>
      </w:pPr>
      <w:r>
        <w:t>28.1.6</w:t>
      </w:r>
      <w:r>
        <w:tab/>
      </w:r>
      <w:r>
        <w:tab/>
      </w:r>
      <w:r>
        <w:t>All aspects of this Operating Protocol are subject</w:t>
      </w:r>
      <w:r>
        <w:t xml:space="preserve"> to, and this Operating Protocol may need to be revised or extinguished in order to accommodate, the outcome of ongoing Commission and Federal court proceedings addressing FERC Docket No. EL02-</w:t>
      </w:r>
      <w:r>
        <w:lastRenderedPageBreak/>
        <w:t>23, including all sub-dockets thereof.  This Operating Protocol</w:t>
      </w:r>
      <w:r>
        <w:t xml:space="preserve"> implements the directives set forth in the Commission Opinion No. 476 without resolving issues that are still pending before the Commission or that have been appealed to the Federal courts.</w:t>
      </w:r>
      <w:bookmarkStart w:id="16" w:name="_DV_M18"/>
      <w:bookmarkEnd w:id="16"/>
    </w:p>
    <w:p w:rsidR="00DB7FA0" w:rsidRDefault="00F460B9" w:rsidP="00783D82">
      <w:pPr>
        <w:pStyle w:val="romannumeralpara"/>
      </w:pPr>
      <w:r>
        <w:t>28.1.7</w:t>
      </w:r>
      <w:r>
        <w:tab/>
      </w:r>
      <w:r>
        <w:tab/>
      </w:r>
      <w:r>
        <w:t xml:space="preserve">Attached and included as part of this Operating Protocol </w:t>
      </w:r>
      <w:r>
        <w:t>are the following appendices:</w:t>
      </w:r>
    </w:p>
    <w:p w:rsidR="00DB7FA0" w:rsidRDefault="00F460B9" w:rsidP="00DB7FA0">
      <w:pPr>
        <w:tabs>
          <w:tab w:val="left" w:pos="2520"/>
        </w:tabs>
        <w:ind w:left="1080"/>
      </w:pPr>
      <w:r>
        <w:t>Appendix 1</w:t>
      </w:r>
      <w:r>
        <w:tab/>
        <w:t>Process Flow</w:t>
      </w:r>
    </w:p>
    <w:p w:rsidR="00DB7FA0" w:rsidRDefault="00F460B9" w:rsidP="00DB7FA0">
      <w:pPr>
        <w:tabs>
          <w:tab w:val="left" w:pos="2520"/>
        </w:tabs>
        <w:ind w:left="1080"/>
      </w:pPr>
      <w:r>
        <w:t>Appendix 2</w:t>
      </w:r>
      <w:r>
        <w:tab/>
        <w:t>Transmission Constraints and Outages Associated with the Contracts</w:t>
      </w:r>
    </w:p>
    <w:p w:rsidR="00DB7FA0" w:rsidRDefault="00F460B9" w:rsidP="00DB7FA0">
      <w:pPr>
        <w:tabs>
          <w:tab w:val="left" w:pos="2520"/>
        </w:tabs>
        <w:ind w:left="2520" w:hanging="1440"/>
      </w:pPr>
      <w:r>
        <w:t>Appendix 3</w:t>
      </w:r>
      <w:r>
        <w:tab/>
        <w:t>The Day-Ahead Market and Real-Time Market Desired Flow Calculation</w:t>
      </w:r>
    </w:p>
    <w:p w:rsidR="00DB7FA0" w:rsidRDefault="00F460B9" w:rsidP="00DB7FA0">
      <w:pPr>
        <w:tabs>
          <w:tab w:val="left" w:pos="1080"/>
        </w:tabs>
        <w:ind w:left="2520" w:hanging="1440"/>
      </w:pPr>
      <w:r>
        <w:t>Appendix 4</w:t>
      </w:r>
      <w:r>
        <w:tab/>
        <w:t>Market Monitoring Procedures and In</w:t>
      </w:r>
      <w:r>
        <w:t>formation Sharing Procedures</w:t>
      </w:r>
    </w:p>
    <w:p w:rsidR="00DB7FA0" w:rsidRDefault="00F460B9" w:rsidP="00DB7FA0">
      <w:pPr>
        <w:tabs>
          <w:tab w:val="left" w:pos="1080"/>
        </w:tabs>
        <w:ind w:left="2520" w:hanging="1440"/>
      </w:pPr>
      <w:r>
        <w:t>Appendix 5</w:t>
      </w:r>
      <w:r>
        <w:tab/>
        <w:t>Impairments Impacting Delivery</w:t>
      </w:r>
    </w:p>
    <w:p w:rsidR="00DB7FA0" w:rsidRDefault="00F460B9" w:rsidP="00DB7FA0">
      <w:pPr>
        <w:tabs>
          <w:tab w:val="left" w:pos="1080"/>
        </w:tabs>
        <w:ind w:left="2520" w:hanging="1440"/>
      </w:pPr>
      <w:r>
        <w:t>Appendix 6</w:t>
      </w:r>
      <w:r>
        <w:tab/>
        <w:t>Operation of the PARs</w:t>
      </w:r>
    </w:p>
    <w:p w:rsidR="00DB7FA0" w:rsidRDefault="00F460B9" w:rsidP="00DB7FA0">
      <w:pPr>
        <w:tabs>
          <w:tab w:val="left" w:pos="1080"/>
        </w:tabs>
        <w:ind w:left="2520" w:hanging="1440"/>
      </w:pPr>
      <w:r>
        <w:t>Appendix 7</w:t>
      </w:r>
      <w:r>
        <w:tab/>
        <w:t>Distribution of Flows Associated with Implementation of Day-Ahead and Real-Time Market Desired Flows</w:t>
      </w:r>
    </w:p>
    <w:p w:rsidR="00DB7FA0" w:rsidRDefault="00F460B9" w:rsidP="00DB7FA0">
      <w:pPr>
        <w:tabs>
          <w:tab w:val="left" w:pos="1080"/>
        </w:tabs>
        <w:ind w:left="2520" w:hanging="1440"/>
      </w:pPr>
      <w:r>
        <w:t>Appendix 8</w:t>
      </w:r>
      <w:r>
        <w:tab/>
        <w:t>References</w:t>
      </w:r>
    </w:p>
    <w:p w:rsidR="00DB7FA0" w:rsidRDefault="00F460B9" w:rsidP="00DB7FA0">
      <w:pPr>
        <w:tabs>
          <w:tab w:val="left" w:pos="1080"/>
        </w:tabs>
        <w:ind w:left="2520" w:hanging="1440"/>
      </w:pPr>
      <w:r>
        <w:t>Appendix 9</w:t>
      </w:r>
      <w:r>
        <w:tab/>
      </w:r>
      <w:r>
        <w:t>Comparison of Contracts</w:t>
      </w:r>
    </w:p>
    <w:p w:rsidR="00DB7FA0" w:rsidRDefault="00F460B9" w:rsidP="00DB7FA0">
      <w:pPr>
        <w:tabs>
          <w:tab w:val="left" w:pos="1080"/>
        </w:tabs>
        <w:ind w:left="2520" w:hanging="1440"/>
      </w:pPr>
      <w:r>
        <w:t>Appendix 10</w:t>
      </w:r>
      <w:r>
        <w:tab/>
        <w:t>Definitions</w:t>
      </w:r>
    </w:p>
    <w:p w:rsidR="00DB7FA0" w:rsidRDefault="00F460B9" w:rsidP="00DB7FA0">
      <w:pPr>
        <w:tabs>
          <w:tab w:val="left" w:pos="1080"/>
        </w:tabs>
        <w:ind w:left="2520" w:hanging="1440"/>
        <w:jc w:val="both"/>
      </w:pPr>
    </w:p>
    <w:sectPr w:rsidR="00DB7FA0" w:rsidSect="006B5C0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28" w:rsidRDefault="00BF1728" w:rsidP="00BF1728">
      <w:pPr>
        <w:spacing w:after="0" w:line="240" w:lineRule="auto"/>
      </w:pPr>
      <w:r>
        <w:separator/>
      </w:r>
    </w:p>
  </w:endnote>
  <w:endnote w:type="continuationSeparator" w:id="0">
    <w:p w:rsidR="00BF1728" w:rsidRDefault="00BF1728" w:rsidP="00BF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F1728">
      <w:rPr>
        <w:rFonts w:ascii="Arial" w:eastAsia="Arial" w:hAnsi="Arial" w:cs="Arial"/>
        <w:color w:val="000000"/>
        <w:sz w:val="16"/>
      </w:rPr>
      <w:fldChar w:fldCharType="begin"/>
    </w:r>
    <w:r>
      <w:rPr>
        <w:rFonts w:ascii="Arial" w:eastAsia="Arial" w:hAnsi="Arial" w:cs="Arial"/>
        <w:color w:val="000000"/>
        <w:sz w:val="16"/>
      </w:rPr>
      <w:instrText>PAGE</w:instrText>
    </w:r>
    <w:r w:rsidR="00BF17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F17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F17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jc w:val="right"/>
      <w:rPr>
        <w:rFonts w:ascii="Arial" w:eastAsia="Arial" w:hAnsi="Arial" w:cs="Arial"/>
        <w:color w:val="000000"/>
        <w:sz w:val="16"/>
      </w:rPr>
    </w:pPr>
    <w:r>
      <w:rPr>
        <w:rFonts w:ascii="Arial" w:eastAsia="Arial" w:hAnsi="Arial" w:cs="Arial"/>
        <w:color w:val="000000"/>
        <w:sz w:val="16"/>
      </w:rPr>
      <w:t>Effective Date: 6/30/2010 - Docket #: ER10-165</w:t>
    </w:r>
    <w:r>
      <w:rPr>
        <w:rFonts w:ascii="Arial" w:eastAsia="Arial" w:hAnsi="Arial" w:cs="Arial"/>
        <w:color w:val="000000"/>
        <w:sz w:val="16"/>
      </w:rPr>
      <w:t xml:space="preserve">7-000 - Page </w:t>
    </w:r>
    <w:r w:rsidR="00BF17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17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12" w:rsidRDefault="00F460B9">
      <w:r>
        <w:separator/>
      </w:r>
    </w:p>
  </w:footnote>
  <w:footnote w:type="continuationSeparator" w:id="0">
    <w:p w:rsidR="00823A12" w:rsidRDefault="00F460B9">
      <w:r>
        <w:continuationSeparator/>
      </w:r>
    </w:p>
  </w:footnote>
  <w:footnote w:id="1">
    <w:p w:rsidR="00634BCB" w:rsidRDefault="00F460B9" w:rsidP="00DB7FA0">
      <w:pPr>
        <w:jc w:val="both"/>
        <w:rPr>
          <w:sz w:val="20"/>
        </w:rPr>
      </w:pPr>
      <w:r w:rsidRPr="0064200D">
        <w:rPr>
          <w:vertAlign w:val="superscript"/>
        </w:rPr>
        <w:footnoteRef/>
      </w:r>
      <w:r>
        <w:tab/>
      </w:r>
      <w:r>
        <w:rPr>
          <w:sz w:val="20"/>
        </w:rPr>
        <w:t>If ConEd converts the 400 MW contract to firm transmission service (by purchasing PJM firm transmission service</w:t>
      </w:r>
      <w:r>
        <w:rPr>
          <w:b/>
          <w:sz w:val="20"/>
        </w:rPr>
        <w:t xml:space="preserve">, </w:t>
      </w:r>
      <w:r w:rsidRPr="0064200D">
        <w:rPr>
          <w:sz w:val="20"/>
        </w:rPr>
        <w:t xml:space="preserve">with a credit for payments ConEd has made to PSE&amp;G for non-firm transmission service), then the 400 MW contract will </w:t>
      </w:r>
      <w:r w:rsidRPr="0064200D">
        <w:rPr>
          <w:sz w:val="20"/>
        </w:rPr>
        <w:t>be treated in the same manner as the 600 MW contract.</w:t>
      </w:r>
    </w:p>
    <w:p w:rsidR="00634BCB" w:rsidRPr="0064200D" w:rsidRDefault="00F460B9" w:rsidP="00DB7FA0">
      <w:pPr>
        <w:jc w:val="both"/>
      </w:pPr>
    </w:p>
  </w:footnote>
  <w:footnote w:id="2">
    <w:p w:rsidR="00634BCB" w:rsidRDefault="00F460B9" w:rsidP="00DB7FA0">
      <w:pPr>
        <w:jc w:val="both"/>
        <w:rPr>
          <w:sz w:val="20"/>
        </w:rPr>
      </w:pPr>
      <w:r w:rsidRPr="0064200D">
        <w:rPr>
          <w:vertAlign w:val="superscript"/>
        </w:rPr>
        <w:footnoteRef/>
      </w:r>
      <w:r>
        <w:tab/>
      </w:r>
      <w:r>
        <w:rPr>
          <w:sz w:val="20"/>
        </w:rPr>
        <w:t>The 600 MW contract shall be reduced in the same manner as all other firm transactions in PJM.</w:t>
      </w:r>
    </w:p>
    <w:p w:rsidR="00634BCB" w:rsidRDefault="00F460B9" w:rsidP="00DB7FA0">
      <w:pPr>
        <w:jc w:val="both"/>
        <w:rPr>
          <w:sz w:val="20"/>
        </w:rPr>
      </w:pPr>
    </w:p>
    <w:p w:rsidR="00634BCB" w:rsidRPr="00411536" w:rsidRDefault="00F460B9" w:rsidP="00DB7FA0">
      <w:pPr>
        <w:tabs>
          <w:tab w:val="left" w:pos="1440"/>
          <w:tab w:val="left" w:pos="5760"/>
          <w:tab w:val="right" w:pos="9360"/>
        </w:tabs>
        <w:rPr>
          <w:sz w:val="20"/>
        </w:rPr>
      </w:pPr>
    </w:p>
    <w:p w:rsidR="00634BCB" w:rsidRPr="008B60ED" w:rsidRDefault="00F460B9" w:rsidP="00DB7FA0">
      <w:pPr>
        <w:jc w:val="both"/>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w:t>
    </w:r>
    <w:r>
      <w:rPr>
        <w:rFonts w:ascii="Arial" w:eastAsia="Arial" w:hAnsi="Arial" w:cs="Arial"/>
        <w:color w:val="000000"/>
        <w:sz w:val="16"/>
      </w:rPr>
      <w:t>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28" w:rsidRDefault="00F460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F4877E"/>
    <w:lvl w:ilvl="0">
      <w:start w:val="1"/>
      <w:numFmt w:val="bullet"/>
      <w:lvlText w:val=""/>
      <w:lvlJc w:val="left"/>
      <w:pPr>
        <w:tabs>
          <w:tab w:val="num" w:pos="360"/>
        </w:tabs>
        <w:ind w:left="360" w:hanging="360"/>
      </w:pPr>
      <w:rPr>
        <w:rFonts w:ascii="Symbol" w:hAnsi="Symbol" w:hint="default"/>
      </w:rPr>
    </w:lvl>
  </w:abstractNum>
  <w:abstractNum w:abstractNumId="1">
    <w:nsid w:val="029B32F0"/>
    <w:multiLevelType w:val="hybridMultilevel"/>
    <w:tmpl w:val="1E308E88"/>
    <w:lvl w:ilvl="0" w:tplc="0F1E3658">
      <w:start w:val="1"/>
      <w:numFmt w:val="bullet"/>
      <w:lvlText w:val=""/>
      <w:lvlJc w:val="left"/>
      <w:pPr>
        <w:tabs>
          <w:tab w:val="num" w:pos="1440"/>
        </w:tabs>
        <w:ind w:left="1440" w:hanging="360"/>
      </w:pPr>
      <w:rPr>
        <w:rFonts w:ascii="Symbol" w:hAnsi="Symbol" w:hint="default"/>
      </w:rPr>
    </w:lvl>
    <w:lvl w:ilvl="1" w:tplc="45729CF0">
      <w:start w:val="1"/>
      <w:numFmt w:val="bullet"/>
      <w:lvlText w:val="o"/>
      <w:lvlJc w:val="left"/>
      <w:pPr>
        <w:tabs>
          <w:tab w:val="num" w:pos="2160"/>
        </w:tabs>
        <w:ind w:left="2160" w:hanging="360"/>
      </w:pPr>
      <w:rPr>
        <w:rFonts w:ascii="Courier New" w:hAnsi="Courier New" w:cs="Courier New" w:hint="default"/>
      </w:rPr>
    </w:lvl>
    <w:lvl w:ilvl="2" w:tplc="157E0B6E" w:tentative="1">
      <w:start w:val="1"/>
      <w:numFmt w:val="bullet"/>
      <w:lvlText w:val=""/>
      <w:lvlJc w:val="left"/>
      <w:pPr>
        <w:tabs>
          <w:tab w:val="num" w:pos="2880"/>
        </w:tabs>
        <w:ind w:left="2880" w:hanging="360"/>
      </w:pPr>
      <w:rPr>
        <w:rFonts w:ascii="Wingdings" w:hAnsi="Wingdings" w:hint="default"/>
      </w:rPr>
    </w:lvl>
    <w:lvl w:ilvl="3" w:tplc="E980997E" w:tentative="1">
      <w:start w:val="1"/>
      <w:numFmt w:val="bullet"/>
      <w:lvlText w:val=""/>
      <w:lvlJc w:val="left"/>
      <w:pPr>
        <w:tabs>
          <w:tab w:val="num" w:pos="3600"/>
        </w:tabs>
        <w:ind w:left="3600" w:hanging="360"/>
      </w:pPr>
      <w:rPr>
        <w:rFonts w:ascii="Symbol" w:hAnsi="Symbol" w:hint="default"/>
      </w:rPr>
    </w:lvl>
    <w:lvl w:ilvl="4" w:tplc="FC54BDC8" w:tentative="1">
      <w:start w:val="1"/>
      <w:numFmt w:val="bullet"/>
      <w:lvlText w:val="o"/>
      <w:lvlJc w:val="left"/>
      <w:pPr>
        <w:tabs>
          <w:tab w:val="num" w:pos="4320"/>
        </w:tabs>
        <w:ind w:left="4320" w:hanging="360"/>
      </w:pPr>
      <w:rPr>
        <w:rFonts w:ascii="Courier New" w:hAnsi="Courier New" w:cs="Courier New" w:hint="default"/>
      </w:rPr>
    </w:lvl>
    <w:lvl w:ilvl="5" w:tplc="21C4C4F2" w:tentative="1">
      <w:start w:val="1"/>
      <w:numFmt w:val="bullet"/>
      <w:lvlText w:val=""/>
      <w:lvlJc w:val="left"/>
      <w:pPr>
        <w:tabs>
          <w:tab w:val="num" w:pos="5040"/>
        </w:tabs>
        <w:ind w:left="5040" w:hanging="360"/>
      </w:pPr>
      <w:rPr>
        <w:rFonts w:ascii="Wingdings" w:hAnsi="Wingdings" w:hint="default"/>
      </w:rPr>
    </w:lvl>
    <w:lvl w:ilvl="6" w:tplc="2A4ADECE" w:tentative="1">
      <w:start w:val="1"/>
      <w:numFmt w:val="bullet"/>
      <w:lvlText w:val=""/>
      <w:lvlJc w:val="left"/>
      <w:pPr>
        <w:tabs>
          <w:tab w:val="num" w:pos="5760"/>
        </w:tabs>
        <w:ind w:left="5760" w:hanging="360"/>
      </w:pPr>
      <w:rPr>
        <w:rFonts w:ascii="Symbol" w:hAnsi="Symbol" w:hint="default"/>
      </w:rPr>
    </w:lvl>
    <w:lvl w:ilvl="7" w:tplc="3A4282BA" w:tentative="1">
      <w:start w:val="1"/>
      <w:numFmt w:val="bullet"/>
      <w:lvlText w:val="o"/>
      <w:lvlJc w:val="left"/>
      <w:pPr>
        <w:tabs>
          <w:tab w:val="num" w:pos="6480"/>
        </w:tabs>
        <w:ind w:left="6480" w:hanging="360"/>
      </w:pPr>
      <w:rPr>
        <w:rFonts w:ascii="Courier New" w:hAnsi="Courier New" w:cs="Courier New" w:hint="default"/>
      </w:rPr>
    </w:lvl>
    <w:lvl w:ilvl="8" w:tplc="A574E2EC"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F8463F66">
      <w:start w:val="1"/>
      <w:numFmt w:val="bullet"/>
      <w:pStyle w:val="Bulletpara"/>
      <w:lvlText w:val=""/>
      <w:lvlJc w:val="left"/>
      <w:pPr>
        <w:tabs>
          <w:tab w:val="num" w:pos="720"/>
        </w:tabs>
        <w:ind w:left="720" w:hanging="360"/>
      </w:pPr>
      <w:rPr>
        <w:rFonts w:ascii="Symbol" w:hAnsi="Symbol" w:hint="default"/>
      </w:rPr>
    </w:lvl>
    <w:lvl w:ilvl="1" w:tplc="8ED04DBC" w:tentative="1">
      <w:start w:val="1"/>
      <w:numFmt w:val="bullet"/>
      <w:lvlText w:val="o"/>
      <w:lvlJc w:val="left"/>
      <w:pPr>
        <w:tabs>
          <w:tab w:val="num" w:pos="1440"/>
        </w:tabs>
        <w:ind w:left="1440" w:hanging="360"/>
      </w:pPr>
      <w:rPr>
        <w:rFonts w:ascii="Courier New" w:hAnsi="Courier New" w:cs="Courier New" w:hint="default"/>
      </w:rPr>
    </w:lvl>
    <w:lvl w:ilvl="2" w:tplc="B2A61F20" w:tentative="1">
      <w:start w:val="1"/>
      <w:numFmt w:val="bullet"/>
      <w:lvlText w:val=""/>
      <w:lvlJc w:val="left"/>
      <w:pPr>
        <w:tabs>
          <w:tab w:val="num" w:pos="2160"/>
        </w:tabs>
        <w:ind w:left="2160" w:hanging="360"/>
      </w:pPr>
      <w:rPr>
        <w:rFonts w:ascii="Wingdings" w:hAnsi="Wingdings" w:hint="default"/>
      </w:rPr>
    </w:lvl>
    <w:lvl w:ilvl="3" w:tplc="702CE14A" w:tentative="1">
      <w:start w:val="1"/>
      <w:numFmt w:val="bullet"/>
      <w:lvlText w:val=""/>
      <w:lvlJc w:val="left"/>
      <w:pPr>
        <w:tabs>
          <w:tab w:val="num" w:pos="2880"/>
        </w:tabs>
        <w:ind w:left="2880" w:hanging="360"/>
      </w:pPr>
      <w:rPr>
        <w:rFonts w:ascii="Symbol" w:hAnsi="Symbol" w:hint="default"/>
      </w:rPr>
    </w:lvl>
    <w:lvl w:ilvl="4" w:tplc="99887E9A" w:tentative="1">
      <w:start w:val="1"/>
      <w:numFmt w:val="bullet"/>
      <w:lvlText w:val="o"/>
      <w:lvlJc w:val="left"/>
      <w:pPr>
        <w:tabs>
          <w:tab w:val="num" w:pos="3600"/>
        </w:tabs>
        <w:ind w:left="3600" w:hanging="360"/>
      </w:pPr>
      <w:rPr>
        <w:rFonts w:ascii="Courier New" w:hAnsi="Courier New" w:cs="Courier New" w:hint="default"/>
      </w:rPr>
    </w:lvl>
    <w:lvl w:ilvl="5" w:tplc="4F9A1D9A" w:tentative="1">
      <w:start w:val="1"/>
      <w:numFmt w:val="bullet"/>
      <w:lvlText w:val=""/>
      <w:lvlJc w:val="left"/>
      <w:pPr>
        <w:tabs>
          <w:tab w:val="num" w:pos="4320"/>
        </w:tabs>
        <w:ind w:left="4320" w:hanging="360"/>
      </w:pPr>
      <w:rPr>
        <w:rFonts w:ascii="Wingdings" w:hAnsi="Wingdings" w:hint="default"/>
      </w:rPr>
    </w:lvl>
    <w:lvl w:ilvl="6" w:tplc="FBFA397C" w:tentative="1">
      <w:start w:val="1"/>
      <w:numFmt w:val="bullet"/>
      <w:lvlText w:val=""/>
      <w:lvlJc w:val="left"/>
      <w:pPr>
        <w:tabs>
          <w:tab w:val="num" w:pos="5040"/>
        </w:tabs>
        <w:ind w:left="5040" w:hanging="360"/>
      </w:pPr>
      <w:rPr>
        <w:rFonts w:ascii="Symbol" w:hAnsi="Symbol" w:hint="default"/>
      </w:rPr>
    </w:lvl>
    <w:lvl w:ilvl="7" w:tplc="9E58122E" w:tentative="1">
      <w:start w:val="1"/>
      <w:numFmt w:val="bullet"/>
      <w:lvlText w:val="o"/>
      <w:lvlJc w:val="left"/>
      <w:pPr>
        <w:tabs>
          <w:tab w:val="num" w:pos="5760"/>
        </w:tabs>
        <w:ind w:left="5760" w:hanging="360"/>
      </w:pPr>
      <w:rPr>
        <w:rFonts w:ascii="Courier New" w:hAnsi="Courier New" w:cs="Courier New" w:hint="default"/>
      </w:rPr>
    </w:lvl>
    <w:lvl w:ilvl="8" w:tplc="F66ADBE2" w:tentative="1">
      <w:start w:val="1"/>
      <w:numFmt w:val="bullet"/>
      <w:lvlText w:val=""/>
      <w:lvlJc w:val="left"/>
      <w:pPr>
        <w:tabs>
          <w:tab w:val="num" w:pos="6480"/>
        </w:tabs>
        <w:ind w:left="6480" w:hanging="360"/>
      </w:pPr>
      <w:rPr>
        <w:rFonts w:ascii="Wingdings" w:hAnsi="Wingdings" w:hint="default"/>
      </w:rPr>
    </w:lvl>
  </w:abstractNum>
  <w:abstractNum w:abstractNumId="3">
    <w:nsid w:val="0F8F0FFC"/>
    <w:multiLevelType w:val="hybridMultilevel"/>
    <w:tmpl w:val="B1D00270"/>
    <w:lvl w:ilvl="0" w:tplc="A202C5A8">
      <w:start w:val="1"/>
      <w:numFmt w:val="bullet"/>
      <w:lvlText w:val=""/>
      <w:lvlJc w:val="left"/>
      <w:pPr>
        <w:tabs>
          <w:tab w:val="num" w:pos="1440"/>
        </w:tabs>
        <w:ind w:left="1440" w:hanging="360"/>
      </w:pPr>
      <w:rPr>
        <w:rFonts w:ascii="Symbol" w:hAnsi="Symbol" w:hint="default"/>
      </w:rPr>
    </w:lvl>
    <w:lvl w:ilvl="1" w:tplc="42DE9FD2" w:tentative="1">
      <w:start w:val="1"/>
      <w:numFmt w:val="bullet"/>
      <w:lvlText w:val="o"/>
      <w:lvlJc w:val="left"/>
      <w:pPr>
        <w:tabs>
          <w:tab w:val="num" w:pos="2160"/>
        </w:tabs>
        <w:ind w:left="2160" w:hanging="360"/>
      </w:pPr>
      <w:rPr>
        <w:rFonts w:ascii="Courier New" w:hAnsi="Courier New" w:cs="Courier New" w:hint="default"/>
      </w:rPr>
    </w:lvl>
    <w:lvl w:ilvl="2" w:tplc="D61EFDD4" w:tentative="1">
      <w:start w:val="1"/>
      <w:numFmt w:val="bullet"/>
      <w:lvlText w:val=""/>
      <w:lvlJc w:val="left"/>
      <w:pPr>
        <w:tabs>
          <w:tab w:val="num" w:pos="2880"/>
        </w:tabs>
        <w:ind w:left="2880" w:hanging="360"/>
      </w:pPr>
      <w:rPr>
        <w:rFonts w:ascii="Wingdings" w:hAnsi="Wingdings" w:hint="default"/>
      </w:rPr>
    </w:lvl>
    <w:lvl w:ilvl="3" w:tplc="42A41DD8" w:tentative="1">
      <w:start w:val="1"/>
      <w:numFmt w:val="bullet"/>
      <w:lvlText w:val=""/>
      <w:lvlJc w:val="left"/>
      <w:pPr>
        <w:tabs>
          <w:tab w:val="num" w:pos="3600"/>
        </w:tabs>
        <w:ind w:left="3600" w:hanging="360"/>
      </w:pPr>
      <w:rPr>
        <w:rFonts w:ascii="Symbol" w:hAnsi="Symbol" w:hint="default"/>
      </w:rPr>
    </w:lvl>
    <w:lvl w:ilvl="4" w:tplc="32181A84" w:tentative="1">
      <w:start w:val="1"/>
      <w:numFmt w:val="bullet"/>
      <w:lvlText w:val="o"/>
      <w:lvlJc w:val="left"/>
      <w:pPr>
        <w:tabs>
          <w:tab w:val="num" w:pos="4320"/>
        </w:tabs>
        <w:ind w:left="4320" w:hanging="360"/>
      </w:pPr>
      <w:rPr>
        <w:rFonts w:ascii="Courier New" w:hAnsi="Courier New" w:cs="Courier New" w:hint="default"/>
      </w:rPr>
    </w:lvl>
    <w:lvl w:ilvl="5" w:tplc="86501298" w:tentative="1">
      <w:start w:val="1"/>
      <w:numFmt w:val="bullet"/>
      <w:lvlText w:val=""/>
      <w:lvlJc w:val="left"/>
      <w:pPr>
        <w:tabs>
          <w:tab w:val="num" w:pos="5040"/>
        </w:tabs>
        <w:ind w:left="5040" w:hanging="360"/>
      </w:pPr>
      <w:rPr>
        <w:rFonts w:ascii="Wingdings" w:hAnsi="Wingdings" w:hint="default"/>
      </w:rPr>
    </w:lvl>
    <w:lvl w:ilvl="6" w:tplc="AED80BE2" w:tentative="1">
      <w:start w:val="1"/>
      <w:numFmt w:val="bullet"/>
      <w:lvlText w:val=""/>
      <w:lvlJc w:val="left"/>
      <w:pPr>
        <w:tabs>
          <w:tab w:val="num" w:pos="5760"/>
        </w:tabs>
        <w:ind w:left="5760" w:hanging="360"/>
      </w:pPr>
      <w:rPr>
        <w:rFonts w:ascii="Symbol" w:hAnsi="Symbol" w:hint="default"/>
      </w:rPr>
    </w:lvl>
    <w:lvl w:ilvl="7" w:tplc="365CD724" w:tentative="1">
      <w:start w:val="1"/>
      <w:numFmt w:val="bullet"/>
      <w:lvlText w:val="o"/>
      <w:lvlJc w:val="left"/>
      <w:pPr>
        <w:tabs>
          <w:tab w:val="num" w:pos="6480"/>
        </w:tabs>
        <w:ind w:left="6480" w:hanging="360"/>
      </w:pPr>
      <w:rPr>
        <w:rFonts w:ascii="Courier New" w:hAnsi="Courier New" w:cs="Courier New" w:hint="default"/>
      </w:rPr>
    </w:lvl>
    <w:lvl w:ilvl="8" w:tplc="133898CC" w:tentative="1">
      <w:start w:val="1"/>
      <w:numFmt w:val="bullet"/>
      <w:lvlText w:val=""/>
      <w:lvlJc w:val="left"/>
      <w:pPr>
        <w:tabs>
          <w:tab w:val="num" w:pos="7200"/>
        </w:tabs>
        <w:ind w:left="7200" w:hanging="360"/>
      </w:pPr>
      <w:rPr>
        <w:rFonts w:ascii="Wingdings" w:hAnsi="Wingdings" w:hint="default"/>
      </w:rPr>
    </w:lvl>
  </w:abstractNum>
  <w:abstractNum w:abstractNumId="4">
    <w:nsid w:val="108277BC"/>
    <w:multiLevelType w:val="multilevel"/>
    <w:tmpl w:val="8CB6BAD6"/>
    <w:lvl w:ilvl="0">
      <w:start w:val="1"/>
      <w:numFmt w:val="upperRoman"/>
      <w:lvlText w:val="%1."/>
      <w:lvlJc w:val="left"/>
      <w:pPr>
        <w:tabs>
          <w:tab w:val="num" w:pos="36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upperLetter"/>
      <w:lvlText w:val="%2."/>
      <w:lvlJc w:val="left"/>
      <w:pPr>
        <w:tabs>
          <w:tab w:val="num" w:pos="108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1800"/>
        </w:tabs>
        <w:ind w:left="1440" w:hanging="720"/>
      </w:pPr>
      <w:rPr>
        <w:b w:val="0"/>
        <w:i w:val="0"/>
        <w:caps w:val="0"/>
        <w:strike w:val="0"/>
        <w:dstrike w:val="0"/>
        <w:outline w:val="0"/>
        <w:shadow w:val="0"/>
        <w:emboss w:val="0"/>
        <w:imprint w:val="0"/>
        <w:vanish w:val="0"/>
        <w:color w:val="auto"/>
        <w:u w:val="none"/>
        <w:effect w:val="none"/>
        <w:vertAlign w:val="baseline"/>
      </w:rPr>
    </w:lvl>
    <w:lvl w:ilvl="3">
      <w:start w:val="1"/>
      <w:numFmt w:val="none"/>
      <w:suff w:val="nothing"/>
      <w:lvlText w:val=""/>
      <w:lvlJc w:val="left"/>
      <w:pPr>
        <w:tabs>
          <w:tab w:val="num" w:pos="2520"/>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none"/>
      <w:suff w:val="nothing"/>
      <w:lvlText w:val=""/>
      <w:lvlJc w:val="left"/>
      <w:pPr>
        <w:tabs>
          <w:tab w:val="num" w:pos="3240"/>
        </w:tabs>
        <w:ind w:left="0" w:firstLine="0"/>
      </w:pPr>
      <w:rPr>
        <w:color w:val="auto"/>
      </w:rPr>
    </w:lvl>
    <w:lvl w:ilvl="5">
      <w:start w:val="1"/>
      <w:numFmt w:val="none"/>
      <w:suff w:val="nothing"/>
      <w:lvlText w:val=""/>
      <w:lvlJc w:val="left"/>
      <w:pPr>
        <w:tabs>
          <w:tab w:val="num" w:pos="3960"/>
        </w:tabs>
        <w:ind w:left="0" w:firstLine="0"/>
      </w:pPr>
      <w:rPr>
        <w:color w:val="auto"/>
      </w:rPr>
    </w:lvl>
    <w:lvl w:ilvl="6">
      <w:start w:val="1"/>
      <w:numFmt w:val="none"/>
      <w:suff w:val="nothing"/>
      <w:lvlText w:val=""/>
      <w:lvlJc w:val="left"/>
      <w:pPr>
        <w:tabs>
          <w:tab w:val="num" w:pos="4680"/>
        </w:tabs>
        <w:ind w:left="0" w:firstLine="0"/>
      </w:pPr>
      <w:rPr>
        <w:color w:val="auto"/>
      </w:rPr>
    </w:lvl>
    <w:lvl w:ilvl="7">
      <w:start w:val="1"/>
      <w:numFmt w:val="none"/>
      <w:suff w:val="nothing"/>
      <w:lvlText w:val=""/>
      <w:lvlJc w:val="left"/>
      <w:pPr>
        <w:tabs>
          <w:tab w:val="num" w:pos="5400"/>
        </w:tabs>
        <w:ind w:left="0" w:firstLine="0"/>
      </w:pPr>
      <w:rPr>
        <w:color w:val="auto"/>
      </w:rPr>
    </w:lvl>
    <w:lvl w:ilvl="8">
      <w:start w:val="1"/>
      <w:numFmt w:val="none"/>
      <w:suff w:val="nothing"/>
      <w:lvlText w:val=""/>
      <w:lvlJc w:val="left"/>
      <w:pPr>
        <w:tabs>
          <w:tab w:val="num" w:pos="6120"/>
        </w:tabs>
        <w:ind w:left="0" w:firstLine="0"/>
      </w:pPr>
      <w:rPr>
        <w:color w:val="auto"/>
      </w:rPr>
    </w:lvl>
  </w:abstractNum>
  <w:abstractNum w:abstractNumId="5">
    <w:nsid w:val="11256AC0"/>
    <w:multiLevelType w:val="hybridMultilevel"/>
    <w:tmpl w:val="A2426FF8"/>
    <w:lvl w:ilvl="0" w:tplc="95E8609A">
      <w:start w:val="1"/>
      <w:numFmt w:val="bullet"/>
      <w:lvlText w:val=""/>
      <w:lvlJc w:val="left"/>
      <w:pPr>
        <w:tabs>
          <w:tab w:val="num" w:pos="1440"/>
        </w:tabs>
        <w:ind w:left="1440" w:hanging="360"/>
      </w:pPr>
      <w:rPr>
        <w:rFonts w:ascii="Symbol" w:hAnsi="Symbol" w:hint="default"/>
      </w:rPr>
    </w:lvl>
    <w:lvl w:ilvl="1" w:tplc="4A144CF8" w:tentative="1">
      <w:start w:val="1"/>
      <w:numFmt w:val="bullet"/>
      <w:lvlText w:val="o"/>
      <w:lvlJc w:val="left"/>
      <w:pPr>
        <w:tabs>
          <w:tab w:val="num" w:pos="2160"/>
        </w:tabs>
        <w:ind w:left="2160" w:hanging="360"/>
      </w:pPr>
      <w:rPr>
        <w:rFonts w:ascii="Courier New" w:hAnsi="Courier New" w:cs="Courier New" w:hint="default"/>
      </w:rPr>
    </w:lvl>
    <w:lvl w:ilvl="2" w:tplc="4EC2CAD0" w:tentative="1">
      <w:start w:val="1"/>
      <w:numFmt w:val="bullet"/>
      <w:lvlText w:val=""/>
      <w:lvlJc w:val="left"/>
      <w:pPr>
        <w:tabs>
          <w:tab w:val="num" w:pos="2880"/>
        </w:tabs>
        <w:ind w:left="2880" w:hanging="360"/>
      </w:pPr>
      <w:rPr>
        <w:rFonts w:ascii="Wingdings" w:hAnsi="Wingdings" w:hint="default"/>
      </w:rPr>
    </w:lvl>
    <w:lvl w:ilvl="3" w:tplc="275663D0" w:tentative="1">
      <w:start w:val="1"/>
      <w:numFmt w:val="bullet"/>
      <w:lvlText w:val=""/>
      <w:lvlJc w:val="left"/>
      <w:pPr>
        <w:tabs>
          <w:tab w:val="num" w:pos="3600"/>
        </w:tabs>
        <w:ind w:left="3600" w:hanging="360"/>
      </w:pPr>
      <w:rPr>
        <w:rFonts w:ascii="Symbol" w:hAnsi="Symbol" w:hint="default"/>
      </w:rPr>
    </w:lvl>
    <w:lvl w:ilvl="4" w:tplc="77DCB3F6" w:tentative="1">
      <w:start w:val="1"/>
      <w:numFmt w:val="bullet"/>
      <w:lvlText w:val="o"/>
      <w:lvlJc w:val="left"/>
      <w:pPr>
        <w:tabs>
          <w:tab w:val="num" w:pos="4320"/>
        </w:tabs>
        <w:ind w:left="4320" w:hanging="360"/>
      </w:pPr>
      <w:rPr>
        <w:rFonts w:ascii="Courier New" w:hAnsi="Courier New" w:cs="Courier New" w:hint="default"/>
      </w:rPr>
    </w:lvl>
    <w:lvl w:ilvl="5" w:tplc="8FAA0AC2" w:tentative="1">
      <w:start w:val="1"/>
      <w:numFmt w:val="bullet"/>
      <w:lvlText w:val=""/>
      <w:lvlJc w:val="left"/>
      <w:pPr>
        <w:tabs>
          <w:tab w:val="num" w:pos="5040"/>
        </w:tabs>
        <w:ind w:left="5040" w:hanging="360"/>
      </w:pPr>
      <w:rPr>
        <w:rFonts w:ascii="Wingdings" w:hAnsi="Wingdings" w:hint="default"/>
      </w:rPr>
    </w:lvl>
    <w:lvl w:ilvl="6" w:tplc="2D4E8A3C" w:tentative="1">
      <w:start w:val="1"/>
      <w:numFmt w:val="bullet"/>
      <w:lvlText w:val=""/>
      <w:lvlJc w:val="left"/>
      <w:pPr>
        <w:tabs>
          <w:tab w:val="num" w:pos="5760"/>
        </w:tabs>
        <w:ind w:left="5760" w:hanging="360"/>
      </w:pPr>
      <w:rPr>
        <w:rFonts w:ascii="Symbol" w:hAnsi="Symbol" w:hint="default"/>
      </w:rPr>
    </w:lvl>
    <w:lvl w:ilvl="7" w:tplc="B246CF1C" w:tentative="1">
      <w:start w:val="1"/>
      <w:numFmt w:val="bullet"/>
      <w:lvlText w:val="o"/>
      <w:lvlJc w:val="left"/>
      <w:pPr>
        <w:tabs>
          <w:tab w:val="num" w:pos="6480"/>
        </w:tabs>
        <w:ind w:left="6480" w:hanging="360"/>
      </w:pPr>
      <w:rPr>
        <w:rFonts w:ascii="Courier New" w:hAnsi="Courier New" w:cs="Courier New" w:hint="default"/>
      </w:rPr>
    </w:lvl>
    <w:lvl w:ilvl="8" w:tplc="19066250" w:tentative="1">
      <w:start w:val="1"/>
      <w:numFmt w:val="bullet"/>
      <w:lvlText w:val=""/>
      <w:lvlJc w:val="left"/>
      <w:pPr>
        <w:tabs>
          <w:tab w:val="num" w:pos="7200"/>
        </w:tabs>
        <w:ind w:left="7200" w:hanging="360"/>
      </w:pPr>
      <w:rPr>
        <w:rFonts w:ascii="Wingdings" w:hAnsi="Wingdings" w:hint="default"/>
      </w:rPr>
    </w:lvl>
  </w:abstractNum>
  <w:abstractNum w:abstractNumId="6">
    <w:nsid w:val="2ADE3DDB"/>
    <w:multiLevelType w:val="hybridMultilevel"/>
    <w:tmpl w:val="4336EA44"/>
    <w:lvl w:ilvl="0" w:tplc="6AF0EF50">
      <w:start w:val="1"/>
      <w:numFmt w:val="bullet"/>
      <w:lvlText w:val=""/>
      <w:lvlJc w:val="left"/>
      <w:pPr>
        <w:tabs>
          <w:tab w:val="num" w:pos="1440"/>
        </w:tabs>
        <w:ind w:left="1440" w:hanging="360"/>
      </w:pPr>
      <w:rPr>
        <w:rFonts w:ascii="Symbol" w:hAnsi="Symbol" w:hint="default"/>
      </w:rPr>
    </w:lvl>
    <w:lvl w:ilvl="1" w:tplc="56988020" w:tentative="1">
      <w:start w:val="1"/>
      <w:numFmt w:val="bullet"/>
      <w:lvlText w:val="o"/>
      <w:lvlJc w:val="left"/>
      <w:pPr>
        <w:tabs>
          <w:tab w:val="num" w:pos="2160"/>
        </w:tabs>
        <w:ind w:left="2160" w:hanging="360"/>
      </w:pPr>
      <w:rPr>
        <w:rFonts w:ascii="Courier New" w:hAnsi="Courier New" w:cs="Courier New" w:hint="default"/>
      </w:rPr>
    </w:lvl>
    <w:lvl w:ilvl="2" w:tplc="B6EE3DDE" w:tentative="1">
      <w:start w:val="1"/>
      <w:numFmt w:val="bullet"/>
      <w:lvlText w:val=""/>
      <w:lvlJc w:val="left"/>
      <w:pPr>
        <w:tabs>
          <w:tab w:val="num" w:pos="2880"/>
        </w:tabs>
        <w:ind w:left="2880" w:hanging="360"/>
      </w:pPr>
      <w:rPr>
        <w:rFonts w:ascii="Wingdings" w:hAnsi="Wingdings" w:hint="default"/>
      </w:rPr>
    </w:lvl>
    <w:lvl w:ilvl="3" w:tplc="F3324E8C" w:tentative="1">
      <w:start w:val="1"/>
      <w:numFmt w:val="bullet"/>
      <w:lvlText w:val=""/>
      <w:lvlJc w:val="left"/>
      <w:pPr>
        <w:tabs>
          <w:tab w:val="num" w:pos="3600"/>
        </w:tabs>
        <w:ind w:left="3600" w:hanging="360"/>
      </w:pPr>
      <w:rPr>
        <w:rFonts w:ascii="Symbol" w:hAnsi="Symbol" w:hint="default"/>
      </w:rPr>
    </w:lvl>
    <w:lvl w:ilvl="4" w:tplc="BE0A0986" w:tentative="1">
      <w:start w:val="1"/>
      <w:numFmt w:val="bullet"/>
      <w:lvlText w:val="o"/>
      <w:lvlJc w:val="left"/>
      <w:pPr>
        <w:tabs>
          <w:tab w:val="num" w:pos="4320"/>
        </w:tabs>
        <w:ind w:left="4320" w:hanging="360"/>
      </w:pPr>
      <w:rPr>
        <w:rFonts w:ascii="Courier New" w:hAnsi="Courier New" w:cs="Courier New" w:hint="default"/>
      </w:rPr>
    </w:lvl>
    <w:lvl w:ilvl="5" w:tplc="D0ACEFC0" w:tentative="1">
      <w:start w:val="1"/>
      <w:numFmt w:val="bullet"/>
      <w:lvlText w:val=""/>
      <w:lvlJc w:val="left"/>
      <w:pPr>
        <w:tabs>
          <w:tab w:val="num" w:pos="5040"/>
        </w:tabs>
        <w:ind w:left="5040" w:hanging="360"/>
      </w:pPr>
      <w:rPr>
        <w:rFonts w:ascii="Wingdings" w:hAnsi="Wingdings" w:hint="default"/>
      </w:rPr>
    </w:lvl>
    <w:lvl w:ilvl="6" w:tplc="2FE4C05C" w:tentative="1">
      <w:start w:val="1"/>
      <w:numFmt w:val="bullet"/>
      <w:lvlText w:val=""/>
      <w:lvlJc w:val="left"/>
      <w:pPr>
        <w:tabs>
          <w:tab w:val="num" w:pos="5760"/>
        </w:tabs>
        <w:ind w:left="5760" w:hanging="360"/>
      </w:pPr>
      <w:rPr>
        <w:rFonts w:ascii="Symbol" w:hAnsi="Symbol" w:hint="default"/>
      </w:rPr>
    </w:lvl>
    <w:lvl w:ilvl="7" w:tplc="108897B4" w:tentative="1">
      <w:start w:val="1"/>
      <w:numFmt w:val="bullet"/>
      <w:lvlText w:val="o"/>
      <w:lvlJc w:val="left"/>
      <w:pPr>
        <w:tabs>
          <w:tab w:val="num" w:pos="6480"/>
        </w:tabs>
        <w:ind w:left="6480" w:hanging="360"/>
      </w:pPr>
      <w:rPr>
        <w:rFonts w:ascii="Courier New" w:hAnsi="Courier New" w:cs="Courier New" w:hint="default"/>
      </w:rPr>
    </w:lvl>
    <w:lvl w:ilvl="8" w:tplc="8206B6D8" w:tentative="1">
      <w:start w:val="1"/>
      <w:numFmt w:val="bullet"/>
      <w:lvlText w:val=""/>
      <w:lvlJc w:val="left"/>
      <w:pPr>
        <w:tabs>
          <w:tab w:val="num" w:pos="7200"/>
        </w:tabs>
        <w:ind w:left="7200" w:hanging="360"/>
      </w:pPr>
      <w:rPr>
        <w:rFonts w:ascii="Wingdings" w:hAnsi="Wingdings" w:hint="default"/>
      </w:rPr>
    </w:lvl>
  </w:abstractNum>
  <w:abstractNum w:abstractNumId="7">
    <w:nsid w:val="372A749B"/>
    <w:multiLevelType w:val="hybridMultilevel"/>
    <w:tmpl w:val="EBD879C0"/>
    <w:lvl w:ilvl="0" w:tplc="478C4818">
      <w:start w:val="1"/>
      <w:numFmt w:val="lowerRoman"/>
      <w:lvlText w:val="(%1)"/>
      <w:lvlJc w:val="left"/>
      <w:pPr>
        <w:tabs>
          <w:tab w:val="num" w:pos="2448"/>
        </w:tabs>
        <w:ind w:left="2448" w:hanging="648"/>
      </w:pPr>
      <w:rPr>
        <w:rFonts w:hint="default"/>
        <w:b w:val="0"/>
        <w:i w:val="0"/>
        <w:u w:val="none"/>
      </w:rPr>
    </w:lvl>
    <w:lvl w:ilvl="1" w:tplc="0C848446" w:tentative="1">
      <w:start w:val="1"/>
      <w:numFmt w:val="lowerLetter"/>
      <w:lvlText w:val="%2."/>
      <w:lvlJc w:val="left"/>
      <w:pPr>
        <w:tabs>
          <w:tab w:val="num" w:pos="1440"/>
        </w:tabs>
        <w:ind w:left="1440" w:hanging="360"/>
      </w:pPr>
    </w:lvl>
    <w:lvl w:ilvl="2" w:tplc="16B220B4" w:tentative="1">
      <w:start w:val="1"/>
      <w:numFmt w:val="lowerRoman"/>
      <w:lvlText w:val="%3."/>
      <w:lvlJc w:val="right"/>
      <w:pPr>
        <w:tabs>
          <w:tab w:val="num" w:pos="2160"/>
        </w:tabs>
        <w:ind w:left="2160" w:hanging="180"/>
      </w:pPr>
    </w:lvl>
    <w:lvl w:ilvl="3" w:tplc="FE72189A" w:tentative="1">
      <w:start w:val="1"/>
      <w:numFmt w:val="decimal"/>
      <w:lvlText w:val="%4."/>
      <w:lvlJc w:val="left"/>
      <w:pPr>
        <w:tabs>
          <w:tab w:val="num" w:pos="2880"/>
        </w:tabs>
        <w:ind w:left="2880" w:hanging="360"/>
      </w:pPr>
    </w:lvl>
    <w:lvl w:ilvl="4" w:tplc="391085E2" w:tentative="1">
      <w:start w:val="1"/>
      <w:numFmt w:val="lowerLetter"/>
      <w:lvlText w:val="%5."/>
      <w:lvlJc w:val="left"/>
      <w:pPr>
        <w:tabs>
          <w:tab w:val="num" w:pos="3600"/>
        </w:tabs>
        <w:ind w:left="3600" w:hanging="360"/>
      </w:pPr>
    </w:lvl>
    <w:lvl w:ilvl="5" w:tplc="AF04C884" w:tentative="1">
      <w:start w:val="1"/>
      <w:numFmt w:val="lowerRoman"/>
      <w:lvlText w:val="%6."/>
      <w:lvlJc w:val="right"/>
      <w:pPr>
        <w:tabs>
          <w:tab w:val="num" w:pos="4320"/>
        </w:tabs>
        <w:ind w:left="4320" w:hanging="180"/>
      </w:pPr>
    </w:lvl>
    <w:lvl w:ilvl="6" w:tplc="E870BC20" w:tentative="1">
      <w:start w:val="1"/>
      <w:numFmt w:val="decimal"/>
      <w:lvlText w:val="%7."/>
      <w:lvlJc w:val="left"/>
      <w:pPr>
        <w:tabs>
          <w:tab w:val="num" w:pos="5040"/>
        </w:tabs>
        <w:ind w:left="5040" w:hanging="360"/>
      </w:pPr>
    </w:lvl>
    <w:lvl w:ilvl="7" w:tplc="CF741F5C" w:tentative="1">
      <w:start w:val="1"/>
      <w:numFmt w:val="lowerLetter"/>
      <w:lvlText w:val="%8."/>
      <w:lvlJc w:val="left"/>
      <w:pPr>
        <w:tabs>
          <w:tab w:val="num" w:pos="5760"/>
        </w:tabs>
        <w:ind w:left="5760" w:hanging="360"/>
      </w:pPr>
    </w:lvl>
    <w:lvl w:ilvl="8" w:tplc="6E201B6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CC3C9842">
      <w:start w:val="1"/>
      <w:numFmt w:val="bullet"/>
      <w:lvlText w:val=""/>
      <w:lvlJc w:val="left"/>
      <w:pPr>
        <w:tabs>
          <w:tab w:val="num" w:pos="5760"/>
        </w:tabs>
        <w:ind w:left="5760" w:hanging="360"/>
      </w:pPr>
      <w:rPr>
        <w:rFonts w:ascii="Symbol" w:hAnsi="Symbol" w:hint="default"/>
        <w:color w:val="auto"/>
        <w:u w:val="none"/>
      </w:rPr>
    </w:lvl>
    <w:lvl w:ilvl="1" w:tplc="934A1222" w:tentative="1">
      <w:start w:val="1"/>
      <w:numFmt w:val="bullet"/>
      <w:lvlText w:val="o"/>
      <w:lvlJc w:val="left"/>
      <w:pPr>
        <w:tabs>
          <w:tab w:val="num" w:pos="3600"/>
        </w:tabs>
        <w:ind w:left="3600" w:hanging="360"/>
      </w:pPr>
      <w:rPr>
        <w:rFonts w:ascii="Courier New" w:hAnsi="Courier New" w:hint="default"/>
      </w:rPr>
    </w:lvl>
    <w:lvl w:ilvl="2" w:tplc="FDCE8840" w:tentative="1">
      <w:start w:val="1"/>
      <w:numFmt w:val="bullet"/>
      <w:lvlText w:val=""/>
      <w:lvlJc w:val="left"/>
      <w:pPr>
        <w:tabs>
          <w:tab w:val="num" w:pos="4320"/>
        </w:tabs>
        <w:ind w:left="4320" w:hanging="360"/>
      </w:pPr>
      <w:rPr>
        <w:rFonts w:ascii="Wingdings" w:hAnsi="Wingdings" w:hint="default"/>
      </w:rPr>
    </w:lvl>
    <w:lvl w:ilvl="3" w:tplc="8D0471A6">
      <w:start w:val="1"/>
      <w:numFmt w:val="bullet"/>
      <w:lvlText w:val=""/>
      <w:lvlJc w:val="left"/>
      <w:pPr>
        <w:tabs>
          <w:tab w:val="num" w:pos="5040"/>
        </w:tabs>
        <w:ind w:left="5040" w:hanging="360"/>
      </w:pPr>
      <w:rPr>
        <w:rFonts w:ascii="Symbol" w:hAnsi="Symbol" w:hint="default"/>
      </w:rPr>
    </w:lvl>
    <w:lvl w:ilvl="4" w:tplc="783271F8" w:tentative="1">
      <w:start w:val="1"/>
      <w:numFmt w:val="bullet"/>
      <w:lvlText w:val="o"/>
      <w:lvlJc w:val="left"/>
      <w:pPr>
        <w:tabs>
          <w:tab w:val="num" w:pos="5760"/>
        </w:tabs>
        <w:ind w:left="5760" w:hanging="360"/>
      </w:pPr>
      <w:rPr>
        <w:rFonts w:ascii="Courier New" w:hAnsi="Courier New" w:hint="default"/>
      </w:rPr>
    </w:lvl>
    <w:lvl w:ilvl="5" w:tplc="966E6274" w:tentative="1">
      <w:start w:val="1"/>
      <w:numFmt w:val="bullet"/>
      <w:lvlText w:val=""/>
      <w:lvlJc w:val="left"/>
      <w:pPr>
        <w:tabs>
          <w:tab w:val="num" w:pos="6480"/>
        </w:tabs>
        <w:ind w:left="6480" w:hanging="360"/>
      </w:pPr>
      <w:rPr>
        <w:rFonts w:ascii="Wingdings" w:hAnsi="Wingdings" w:hint="default"/>
      </w:rPr>
    </w:lvl>
    <w:lvl w:ilvl="6" w:tplc="52EC8A8C" w:tentative="1">
      <w:start w:val="1"/>
      <w:numFmt w:val="bullet"/>
      <w:lvlText w:val=""/>
      <w:lvlJc w:val="left"/>
      <w:pPr>
        <w:tabs>
          <w:tab w:val="num" w:pos="7200"/>
        </w:tabs>
        <w:ind w:left="7200" w:hanging="360"/>
      </w:pPr>
      <w:rPr>
        <w:rFonts w:ascii="Symbol" w:hAnsi="Symbol" w:hint="default"/>
      </w:rPr>
    </w:lvl>
    <w:lvl w:ilvl="7" w:tplc="B4469838" w:tentative="1">
      <w:start w:val="1"/>
      <w:numFmt w:val="bullet"/>
      <w:lvlText w:val="o"/>
      <w:lvlJc w:val="left"/>
      <w:pPr>
        <w:tabs>
          <w:tab w:val="num" w:pos="7920"/>
        </w:tabs>
        <w:ind w:left="7920" w:hanging="360"/>
      </w:pPr>
      <w:rPr>
        <w:rFonts w:ascii="Courier New" w:hAnsi="Courier New" w:hint="default"/>
      </w:rPr>
    </w:lvl>
    <w:lvl w:ilvl="8" w:tplc="1CE250F6" w:tentative="1">
      <w:start w:val="1"/>
      <w:numFmt w:val="bullet"/>
      <w:lvlText w:val=""/>
      <w:lvlJc w:val="left"/>
      <w:pPr>
        <w:tabs>
          <w:tab w:val="num" w:pos="8640"/>
        </w:tabs>
        <w:ind w:left="8640" w:hanging="360"/>
      </w:pPr>
      <w:rPr>
        <w:rFonts w:ascii="Wingdings" w:hAnsi="Wingdings" w:hint="default"/>
      </w:rPr>
    </w:lvl>
  </w:abstractNum>
  <w:abstractNum w:abstractNumId="15">
    <w:nsid w:val="6A60266B"/>
    <w:multiLevelType w:val="hybridMultilevel"/>
    <w:tmpl w:val="741A8A18"/>
    <w:lvl w:ilvl="0" w:tplc="5A18D0F4">
      <w:start w:val="1"/>
      <w:numFmt w:val="bullet"/>
      <w:lvlText w:val=""/>
      <w:lvlJc w:val="left"/>
      <w:pPr>
        <w:tabs>
          <w:tab w:val="num" w:pos="1440"/>
        </w:tabs>
        <w:ind w:left="1440" w:hanging="360"/>
      </w:pPr>
      <w:rPr>
        <w:rFonts w:ascii="Symbol" w:hAnsi="Symbol" w:hint="default"/>
      </w:rPr>
    </w:lvl>
    <w:lvl w:ilvl="1" w:tplc="C3542ABA">
      <w:start w:val="1"/>
      <w:numFmt w:val="bullet"/>
      <w:lvlText w:val="o"/>
      <w:lvlJc w:val="left"/>
      <w:pPr>
        <w:tabs>
          <w:tab w:val="num" w:pos="2160"/>
        </w:tabs>
        <w:ind w:left="2160" w:hanging="360"/>
      </w:pPr>
      <w:rPr>
        <w:rFonts w:ascii="Courier New" w:hAnsi="Courier New" w:cs="Courier New" w:hint="default"/>
      </w:rPr>
    </w:lvl>
    <w:lvl w:ilvl="2" w:tplc="68225056" w:tentative="1">
      <w:start w:val="1"/>
      <w:numFmt w:val="bullet"/>
      <w:lvlText w:val=""/>
      <w:lvlJc w:val="left"/>
      <w:pPr>
        <w:tabs>
          <w:tab w:val="num" w:pos="2880"/>
        </w:tabs>
        <w:ind w:left="2880" w:hanging="360"/>
      </w:pPr>
      <w:rPr>
        <w:rFonts w:ascii="Wingdings" w:hAnsi="Wingdings" w:hint="default"/>
      </w:rPr>
    </w:lvl>
    <w:lvl w:ilvl="3" w:tplc="5A54DD7A" w:tentative="1">
      <w:start w:val="1"/>
      <w:numFmt w:val="bullet"/>
      <w:lvlText w:val=""/>
      <w:lvlJc w:val="left"/>
      <w:pPr>
        <w:tabs>
          <w:tab w:val="num" w:pos="3600"/>
        </w:tabs>
        <w:ind w:left="3600" w:hanging="360"/>
      </w:pPr>
      <w:rPr>
        <w:rFonts w:ascii="Symbol" w:hAnsi="Symbol" w:hint="default"/>
      </w:rPr>
    </w:lvl>
    <w:lvl w:ilvl="4" w:tplc="266A2532" w:tentative="1">
      <w:start w:val="1"/>
      <w:numFmt w:val="bullet"/>
      <w:lvlText w:val="o"/>
      <w:lvlJc w:val="left"/>
      <w:pPr>
        <w:tabs>
          <w:tab w:val="num" w:pos="4320"/>
        </w:tabs>
        <w:ind w:left="4320" w:hanging="360"/>
      </w:pPr>
      <w:rPr>
        <w:rFonts w:ascii="Courier New" w:hAnsi="Courier New" w:cs="Courier New" w:hint="default"/>
      </w:rPr>
    </w:lvl>
    <w:lvl w:ilvl="5" w:tplc="3E70D906" w:tentative="1">
      <w:start w:val="1"/>
      <w:numFmt w:val="bullet"/>
      <w:lvlText w:val=""/>
      <w:lvlJc w:val="left"/>
      <w:pPr>
        <w:tabs>
          <w:tab w:val="num" w:pos="5040"/>
        </w:tabs>
        <w:ind w:left="5040" w:hanging="360"/>
      </w:pPr>
      <w:rPr>
        <w:rFonts w:ascii="Wingdings" w:hAnsi="Wingdings" w:hint="default"/>
      </w:rPr>
    </w:lvl>
    <w:lvl w:ilvl="6" w:tplc="4C44337C" w:tentative="1">
      <w:start w:val="1"/>
      <w:numFmt w:val="bullet"/>
      <w:lvlText w:val=""/>
      <w:lvlJc w:val="left"/>
      <w:pPr>
        <w:tabs>
          <w:tab w:val="num" w:pos="5760"/>
        </w:tabs>
        <w:ind w:left="5760" w:hanging="360"/>
      </w:pPr>
      <w:rPr>
        <w:rFonts w:ascii="Symbol" w:hAnsi="Symbol" w:hint="default"/>
      </w:rPr>
    </w:lvl>
    <w:lvl w:ilvl="7" w:tplc="9B208DAA" w:tentative="1">
      <w:start w:val="1"/>
      <w:numFmt w:val="bullet"/>
      <w:lvlText w:val="o"/>
      <w:lvlJc w:val="left"/>
      <w:pPr>
        <w:tabs>
          <w:tab w:val="num" w:pos="6480"/>
        </w:tabs>
        <w:ind w:left="6480" w:hanging="360"/>
      </w:pPr>
      <w:rPr>
        <w:rFonts w:ascii="Courier New" w:hAnsi="Courier New" w:cs="Courier New" w:hint="default"/>
      </w:rPr>
    </w:lvl>
    <w:lvl w:ilvl="8" w:tplc="29AAC612" w:tentative="1">
      <w:start w:val="1"/>
      <w:numFmt w:val="bullet"/>
      <w:lvlText w:val=""/>
      <w:lvlJc w:val="left"/>
      <w:pPr>
        <w:tabs>
          <w:tab w:val="num" w:pos="7200"/>
        </w:tabs>
        <w:ind w:left="720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4"/>
  </w:num>
  <w:num w:numId="2">
    <w:abstractNumId w:val="4"/>
  </w:num>
  <w:num w:numId="3">
    <w:abstractNumId w:val="0"/>
  </w:num>
  <w:num w:numId="4">
    <w:abstractNumId w:val="3"/>
  </w:num>
  <w:num w:numId="5">
    <w:abstractNumId w:val="15"/>
  </w:num>
  <w:num w:numId="6">
    <w:abstractNumId w:val="1"/>
  </w:num>
  <w:num w:numId="7">
    <w:abstractNumId w:val="5"/>
  </w:num>
  <w:num w:numId="8">
    <w:abstractNumId w:val="6"/>
  </w:num>
  <w:num w:numId="9">
    <w:abstractNumId w:val="18"/>
  </w:num>
  <w:num w:numId="10">
    <w:abstractNumId w:val="9"/>
  </w:num>
  <w:num w:numId="11">
    <w:abstractNumId w:val="10"/>
  </w:num>
  <w:num w:numId="12">
    <w:abstractNumId w:val="16"/>
  </w:num>
  <w:num w:numId="13">
    <w:abstractNumId w:val="8"/>
  </w:num>
  <w:num w:numId="14">
    <w:abstractNumId w:val="17"/>
  </w:num>
  <w:num w:numId="15">
    <w:abstractNumId w:val="13"/>
  </w:num>
  <w:num w:numId="16">
    <w:abstractNumId w:val="12"/>
  </w:num>
  <w:num w:numId="17">
    <w:abstractNumId w:val="11"/>
  </w:num>
  <w:num w:numId="18">
    <w:abstractNumId w:val="2"/>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1728"/>
    <w:rsid w:val="00BF1728"/>
    <w:rsid w:val="00F460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3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47AA"/>
    <w:pPr>
      <w:keepNext/>
      <w:pageBreakBefore/>
      <w:spacing w:before="240" w:after="240"/>
      <w:ind w:left="720" w:hanging="720"/>
      <w:outlineLvl w:val="0"/>
    </w:pPr>
    <w:rPr>
      <w:b/>
    </w:rPr>
  </w:style>
  <w:style w:type="paragraph" w:styleId="Heading2">
    <w:name w:val="heading 2"/>
    <w:basedOn w:val="Normal"/>
    <w:next w:val="Normal"/>
    <w:qFormat/>
    <w:rsid w:val="005447A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47A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47AA"/>
    <w:pPr>
      <w:keepNext/>
      <w:tabs>
        <w:tab w:val="left" w:pos="1800"/>
      </w:tabs>
      <w:spacing w:before="240" w:after="240"/>
      <w:ind w:left="1800" w:hanging="1080"/>
      <w:outlineLvl w:val="3"/>
    </w:pPr>
    <w:rPr>
      <w:b/>
    </w:rPr>
  </w:style>
  <w:style w:type="paragraph" w:styleId="Heading5">
    <w:name w:val="heading 5"/>
    <w:basedOn w:val="Normal"/>
    <w:next w:val="Normal"/>
    <w:qFormat/>
    <w:rsid w:val="005447AA"/>
    <w:pPr>
      <w:keepNext/>
      <w:spacing w:line="480" w:lineRule="auto"/>
      <w:ind w:left="1440" w:right="-90" w:hanging="720"/>
      <w:outlineLvl w:val="4"/>
    </w:pPr>
    <w:rPr>
      <w:b/>
    </w:rPr>
  </w:style>
  <w:style w:type="paragraph" w:styleId="Heading6">
    <w:name w:val="heading 6"/>
    <w:basedOn w:val="Normal"/>
    <w:next w:val="Normal"/>
    <w:qFormat/>
    <w:rsid w:val="005447AA"/>
    <w:pPr>
      <w:keepNext/>
      <w:spacing w:line="480" w:lineRule="auto"/>
      <w:ind w:left="1080" w:right="-90" w:hanging="360"/>
      <w:outlineLvl w:val="5"/>
    </w:pPr>
    <w:rPr>
      <w:b/>
    </w:rPr>
  </w:style>
  <w:style w:type="paragraph" w:styleId="Heading7">
    <w:name w:val="heading 7"/>
    <w:basedOn w:val="Normal"/>
    <w:next w:val="Normal"/>
    <w:qFormat/>
    <w:rsid w:val="005447AA"/>
    <w:pPr>
      <w:keepNext/>
      <w:spacing w:line="480" w:lineRule="auto"/>
      <w:ind w:left="720" w:right="630"/>
      <w:outlineLvl w:val="6"/>
    </w:pPr>
    <w:rPr>
      <w:b/>
    </w:rPr>
  </w:style>
  <w:style w:type="paragraph" w:styleId="Heading8">
    <w:name w:val="heading 8"/>
    <w:basedOn w:val="Normal"/>
    <w:next w:val="Normal"/>
    <w:qFormat/>
    <w:rsid w:val="005447AA"/>
    <w:pPr>
      <w:keepNext/>
      <w:spacing w:line="480" w:lineRule="auto"/>
      <w:ind w:left="720" w:right="-90"/>
      <w:outlineLvl w:val="7"/>
    </w:pPr>
    <w:rPr>
      <w:b/>
    </w:rPr>
  </w:style>
  <w:style w:type="paragraph" w:styleId="Heading9">
    <w:name w:val="heading 9"/>
    <w:basedOn w:val="Normal"/>
    <w:next w:val="Normal"/>
    <w:qFormat/>
    <w:rsid w:val="005447A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47AA"/>
    <w:rPr>
      <w:color w:val="0000FF"/>
      <w:u w:val="single"/>
    </w:rPr>
  </w:style>
  <w:style w:type="paragraph" w:styleId="FootnoteText">
    <w:name w:val="footnote text"/>
    <w:basedOn w:val="Normal"/>
    <w:semiHidden/>
    <w:rsid w:val="00254640"/>
    <w:pPr>
      <w:spacing w:after="240"/>
    </w:pPr>
    <w:rPr>
      <w:sz w:val="20"/>
      <w:szCs w:val="20"/>
    </w:rPr>
  </w:style>
  <w:style w:type="character" w:styleId="FootnoteReference">
    <w:name w:val="footnote reference"/>
    <w:semiHidden/>
    <w:rsid w:val="005447AA"/>
  </w:style>
  <w:style w:type="table" w:styleId="TableGrid">
    <w:name w:val="Table Grid"/>
    <w:basedOn w:val="TableNormal"/>
    <w:rsid w:val="00C22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2AF2"/>
    <w:pPr>
      <w:tabs>
        <w:tab w:val="center" w:pos="4320"/>
        <w:tab w:val="right" w:pos="8640"/>
      </w:tabs>
    </w:pPr>
  </w:style>
  <w:style w:type="character" w:styleId="FollowedHyperlink">
    <w:name w:val="FollowedHyperlink"/>
    <w:basedOn w:val="DefaultParagraphFont"/>
    <w:rsid w:val="00C22AF2"/>
    <w:rPr>
      <w:color w:val="800080"/>
      <w:u w:val="single"/>
    </w:rPr>
  </w:style>
  <w:style w:type="paragraph" w:styleId="Header">
    <w:name w:val="header"/>
    <w:basedOn w:val="Normal"/>
    <w:rsid w:val="005447AA"/>
    <w:pPr>
      <w:tabs>
        <w:tab w:val="center" w:pos="4680"/>
        <w:tab w:val="right" w:pos="9360"/>
      </w:tabs>
    </w:pPr>
    <w:rPr>
      <w:szCs w:val="24"/>
    </w:rPr>
  </w:style>
  <w:style w:type="character" w:customStyle="1" w:styleId="Heading3Char">
    <w:name w:val="Heading 3 Char"/>
    <w:basedOn w:val="DefaultParagraphFont"/>
    <w:link w:val="Heading3"/>
    <w:rsid w:val="005447AA"/>
    <w:rPr>
      <w:b/>
      <w:snapToGrid w:val="0"/>
      <w:sz w:val="24"/>
      <w:lang w:val="en-US" w:eastAsia="en-US" w:bidi="ar-SA"/>
    </w:rPr>
  </w:style>
  <w:style w:type="character" w:customStyle="1" w:styleId="BodyparaChar">
    <w:name w:val="Body para Char"/>
    <w:basedOn w:val="DefaultParagraphFont"/>
    <w:link w:val="Bodypara"/>
    <w:rsid w:val="00DB7FA0"/>
    <w:rPr>
      <w:snapToGrid w:val="0"/>
      <w:sz w:val="24"/>
      <w:lang w:val="en-US" w:eastAsia="en-US" w:bidi="ar-SA"/>
    </w:rPr>
  </w:style>
  <w:style w:type="paragraph" w:customStyle="1" w:styleId="Bodypara">
    <w:name w:val="Body para"/>
    <w:basedOn w:val="Normal"/>
    <w:link w:val="BodyparaChar"/>
    <w:rsid w:val="005447AA"/>
    <w:pPr>
      <w:spacing w:line="480" w:lineRule="auto"/>
      <w:ind w:firstLine="720"/>
    </w:pPr>
  </w:style>
  <w:style w:type="paragraph" w:customStyle="1" w:styleId="Numberparasinglespaced">
    <w:name w:val="Number para single spaced"/>
    <w:basedOn w:val="Normal"/>
    <w:rsid w:val="00DB7FA0"/>
    <w:pPr>
      <w:widowControl w:val="0"/>
      <w:spacing w:before="120" w:after="120"/>
      <w:ind w:left="720" w:hanging="720"/>
    </w:pPr>
    <w:rPr>
      <w:snapToGrid w:val="0"/>
      <w:szCs w:val="20"/>
    </w:rPr>
  </w:style>
  <w:style w:type="paragraph" w:customStyle="1" w:styleId="Figurecaption">
    <w:name w:val="Figure caption"/>
    <w:basedOn w:val="Normal"/>
    <w:rsid w:val="00DB7FA0"/>
    <w:pPr>
      <w:widowControl w:val="0"/>
      <w:spacing w:before="120" w:after="240"/>
      <w:jc w:val="center"/>
    </w:pPr>
    <w:rPr>
      <w:b/>
      <w:snapToGrid w:val="0"/>
    </w:rPr>
  </w:style>
  <w:style w:type="paragraph" w:customStyle="1" w:styleId="Figure">
    <w:name w:val="Figure"/>
    <w:basedOn w:val="Normal"/>
    <w:rsid w:val="00DB7FA0"/>
    <w:pPr>
      <w:keepNext/>
      <w:widowControl w:val="0"/>
      <w:jc w:val="center"/>
    </w:pPr>
    <w:rPr>
      <w:snapToGrid w:val="0"/>
      <w:szCs w:val="20"/>
    </w:rPr>
  </w:style>
  <w:style w:type="paragraph" w:styleId="TOC1">
    <w:name w:val="toc 1"/>
    <w:basedOn w:val="Normal"/>
    <w:next w:val="Normal"/>
    <w:semiHidden/>
    <w:rsid w:val="005447AA"/>
  </w:style>
  <w:style w:type="paragraph" w:styleId="TOC2">
    <w:name w:val="toc 2"/>
    <w:basedOn w:val="Normal"/>
    <w:next w:val="Normal"/>
    <w:semiHidden/>
    <w:rsid w:val="005447AA"/>
    <w:pPr>
      <w:ind w:left="240"/>
    </w:pPr>
  </w:style>
  <w:style w:type="paragraph" w:styleId="TOC3">
    <w:name w:val="toc 3"/>
    <w:basedOn w:val="Normal"/>
    <w:next w:val="Normal"/>
    <w:semiHidden/>
    <w:rsid w:val="005447AA"/>
    <w:pPr>
      <w:ind w:left="480"/>
    </w:pPr>
  </w:style>
  <w:style w:type="paragraph" w:customStyle="1" w:styleId="Level1">
    <w:name w:val="Level 1"/>
    <w:basedOn w:val="Normal"/>
    <w:rsid w:val="005447AA"/>
    <w:pPr>
      <w:ind w:left="1890" w:hanging="720"/>
    </w:pPr>
  </w:style>
  <w:style w:type="paragraph" w:customStyle="1" w:styleId="Definition">
    <w:name w:val="Definition"/>
    <w:basedOn w:val="Normal"/>
    <w:rsid w:val="005447AA"/>
    <w:pPr>
      <w:spacing w:before="240" w:after="240"/>
    </w:pPr>
  </w:style>
  <w:style w:type="paragraph" w:customStyle="1" w:styleId="Definitionindent">
    <w:name w:val="Definition indent"/>
    <w:basedOn w:val="Definition"/>
    <w:rsid w:val="005447AA"/>
    <w:pPr>
      <w:spacing w:before="120" w:after="120"/>
      <w:ind w:left="720"/>
    </w:pPr>
  </w:style>
  <w:style w:type="paragraph" w:customStyle="1" w:styleId="alphapara">
    <w:name w:val="alpha para"/>
    <w:basedOn w:val="Bodypara"/>
    <w:rsid w:val="005447AA"/>
    <w:pPr>
      <w:ind w:left="1440" w:hanging="720"/>
    </w:pPr>
  </w:style>
  <w:style w:type="paragraph" w:styleId="Date">
    <w:name w:val="Date"/>
    <w:basedOn w:val="Normal"/>
    <w:next w:val="Normal"/>
    <w:rsid w:val="005447AA"/>
  </w:style>
  <w:style w:type="paragraph" w:customStyle="1" w:styleId="TOCheading">
    <w:name w:val="TOC heading"/>
    <w:basedOn w:val="Normal"/>
    <w:rsid w:val="005447AA"/>
    <w:pPr>
      <w:spacing w:before="240" w:after="240"/>
    </w:pPr>
    <w:rPr>
      <w:b/>
    </w:rPr>
  </w:style>
  <w:style w:type="paragraph" w:styleId="DocumentMap">
    <w:name w:val="Document Map"/>
    <w:basedOn w:val="Normal"/>
    <w:semiHidden/>
    <w:rsid w:val="005447AA"/>
    <w:pPr>
      <w:shd w:val="clear" w:color="auto" w:fill="000080"/>
    </w:pPr>
    <w:rPr>
      <w:rFonts w:ascii="Tahoma" w:hAnsi="Tahoma" w:cs="Tahoma"/>
      <w:sz w:val="20"/>
    </w:rPr>
  </w:style>
  <w:style w:type="paragraph" w:styleId="BalloonText">
    <w:name w:val="Balloon Text"/>
    <w:basedOn w:val="Normal"/>
    <w:semiHidden/>
    <w:rsid w:val="005447AA"/>
    <w:rPr>
      <w:rFonts w:ascii="Tahoma" w:hAnsi="Tahoma" w:cs="Tahoma"/>
      <w:sz w:val="16"/>
      <w:szCs w:val="16"/>
    </w:rPr>
  </w:style>
  <w:style w:type="paragraph" w:customStyle="1" w:styleId="Footers">
    <w:name w:val="Footers"/>
    <w:basedOn w:val="Heading1"/>
    <w:rsid w:val="005447AA"/>
    <w:pPr>
      <w:tabs>
        <w:tab w:val="left" w:pos="1440"/>
        <w:tab w:val="left" w:pos="7020"/>
        <w:tab w:val="right" w:pos="9360"/>
      </w:tabs>
    </w:pPr>
    <w:rPr>
      <w:b w:val="0"/>
      <w:sz w:val="20"/>
    </w:rPr>
  </w:style>
  <w:style w:type="paragraph" w:customStyle="1" w:styleId="subhead">
    <w:name w:val="subhead"/>
    <w:basedOn w:val="Heading4"/>
    <w:rsid w:val="005447AA"/>
    <w:pPr>
      <w:tabs>
        <w:tab w:val="clear" w:pos="1800"/>
      </w:tabs>
      <w:ind w:left="720" w:firstLine="0"/>
    </w:pPr>
  </w:style>
  <w:style w:type="paragraph" w:customStyle="1" w:styleId="alphaheading">
    <w:name w:val="alpha heading"/>
    <w:basedOn w:val="Normal"/>
    <w:rsid w:val="005447AA"/>
    <w:pPr>
      <w:keepNext/>
      <w:tabs>
        <w:tab w:val="left" w:pos="1440"/>
      </w:tabs>
      <w:spacing w:before="240" w:after="240"/>
      <w:ind w:left="1440" w:hanging="720"/>
    </w:pPr>
    <w:rPr>
      <w:b/>
      <w:szCs w:val="24"/>
    </w:rPr>
  </w:style>
  <w:style w:type="paragraph" w:customStyle="1" w:styleId="romannumeralpara">
    <w:name w:val="roman numeral para"/>
    <w:basedOn w:val="Normal"/>
    <w:rsid w:val="005447AA"/>
    <w:pPr>
      <w:spacing w:line="480" w:lineRule="auto"/>
      <w:ind w:left="1440" w:hanging="720"/>
    </w:pPr>
  </w:style>
  <w:style w:type="paragraph" w:customStyle="1" w:styleId="Bulletpara">
    <w:name w:val="Bullet para"/>
    <w:basedOn w:val="Normal"/>
    <w:rsid w:val="005447AA"/>
    <w:pPr>
      <w:numPr>
        <w:numId w:val="18"/>
      </w:numPr>
      <w:tabs>
        <w:tab w:val="left" w:pos="900"/>
      </w:tabs>
      <w:spacing w:before="120" w:after="120"/>
    </w:pPr>
    <w:rPr>
      <w:szCs w:val="24"/>
    </w:rPr>
  </w:style>
  <w:style w:type="paragraph" w:customStyle="1" w:styleId="Tarifftitle">
    <w:name w:val="Tariff title"/>
    <w:basedOn w:val="Normal"/>
    <w:rsid w:val="005447AA"/>
    <w:rPr>
      <w:b/>
      <w:sz w:val="28"/>
      <w:szCs w:val="28"/>
    </w:rPr>
  </w:style>
  <w:style w:type="paragraph" w:styleId="TOC4">
    <w:name w:val="toc 4"/>
    <w:basedOn w:val="Normal"/>
    <w:next w:val="Normal"/>
    <w:semiHidden/>
    <w:rsid w:val="005447A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2010-06-07T15:18:00Z</cp:lastPrinted>
  <dcterms:created xsi:type="dcterms:W3CDTF">2017-12-13T19:38:00Z</dcterms:created>
  <dcterms:modified xsi:type="dcterms:W3CDTF">2017-12-13T19:38:00Z</dcterms:modified>
</cp:coreProperties>
</file>