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16" w:rsidRPr="00A54564" w:rsidRDefault="00B25312" w:rsidP="005E06EC">
      <w:pPr>
        <w:pStyle w:val="Heading2"/>
      </w:pPr>
      <w:bookmarkStart w:id="0" w:name="_Toc263691857"/>
      <w:r>
        <w:t>26.5</w:t>
      </w:r>
      <w:r w:rsidRPr="00A54564">
        <w:tab/>
        <w:t>Additional Security</w:t>
      </w:r>
      <w:bookmarkEnd w:id="0"/>
    </w:p>
    <w:p w:rsidR="00A74F16" w:rsidRDefault="00B25312" w:rsidP="00933259">
      <w:pPr>
        <w:pStyle w:val="Bodypara"/>
      </w:pPr>
      <w:r w:rsidRPr="00F8629F">
        <w:t>A Customer shall be required to provide collateral to support its obligations to the ISO to (i) satisfy any credit requirement for bidding on or holding TCCs incurred on or after November 12, 2009, and (ii) to the extent that its Operating Requirement exce</w:t>
      </w:r>
      <w:r w:rsidRPr="00F8629F">
        <w:t>eds the total of its Unsecured Credit and any existing collateral by more than $10,000.  The ISO shall also not accept an Affiliate guarantee to satisfy any credit requirement for bidding on or holding TCCs incurred on or after November 12, 2009.  Notwiths</w:t>
      </w:r>
      <w:r w:rsidRPr="00F8629F">
        <w:t xml:space="preserve">tanding the preceding sentences, a Customer may use Unsecured Credit to satisfy its credit requirement for holding Fixed Price TCCs obtained pursuant to Section </w:t>
      </w:r>
      <w:r>
        <w:t>17.1.1.2</w:t>
      </w:r>
      <w:r w:rsidRPr="00F8629F">
        <w:t xml:space="preserve"> of Attachment B to this Services Tariff or Section </w:t>
      </w:r>
      <w:r>
        <w:t>16.1.1.2</w:t>
      </w:r>
      <w:r w:rsidRPr="00F8629F">
        <w:t xml:space="preserve"> of Attachment J to the OAT</w:t>
      </w:r>
      <w:r w:rsidRPr="00F8629F">
        <w:t>T.</w:t>
      </w:r>
    </w:p>
    <w:p w:rsidR="006F4EED" w:rsidRDefault="00B25312" w:rsidP="00A54564">
      <w:pPr>
        <w:pStyle w:val="Heading3"/>
      </w:pPr>
      <w:bookmarkStart w:id="1" w:name="_Toc263691858"/>
      <w:r>
        <w:t>26.5.1</w:t>
      </w:r>
      <w:r>
        <w:tab/>
        <w:t>Acceptable Collateral</w:t>
      </w:r>
      <w:bookmarkEnd w:id="1"/>
    </w:p>
    <w:p w:rsidR="00A54564" w:rsidRDefault="00B25312" w:rsidP="001D14B3">
      <w:pPr>
        <w:pStyle w:val="Heading4"/>
      </w:pPr>
      <w:bookmarkStart w:id="2" w:name="_Toc263691859"/>
      <w:r>
        <w:t>26.5.1.1</w:t>
      </w:r>
      <w:r>
        <w:tab/>
        <w:t>Cash deposit</w:t>
      </w:r>
      <w:bookmarkEnd w:id="2"/>
    </w:p>
    <w:p w:rsidR="006F4EED" w:rsidRDefault="00B25312" w:rsidP="001D14B3">
      <w:pPr>
        <w:pStyle w:val="Bodypara"/>
      </w:pPr>
      <w:r>
        <w:t>A cash deposit shall be held in escrow by the ISO, with actual interest earned on the deposit accrued to the Customer’s account.</w:t>
      </w:r>
    </w:p>
    <w:p w:rsidR="00A54564" w:rsidRDefault="00B25312" w:rsidP="001D14B3">
      <w:pPr>
        <w:pStyle w:val="Heading4"/>
      </w:pPr>
      <w:bookmarkStart w:id="3" w:name="_Toc263691860"/>
      <w:r>
        <w:t>26.5.1.2</w:t>
      </w:r>
      <w:r>
        <w:tab/>
        <w:t>Letter of credit</w:t>
      </w:r>
      <w:bookmarkEnd w:id="3"/>
    </w:p>
    <w:p w:rsidR="006F4EED" w:rsidRPr="001D14B3" w:rsidRDefault="00B25312" w:rsidP="001D14B3">
      <w:pPr>
        <w:pStyle w:val="Bodypara"/>
      </w:pPr>
      <w:r w:rsidRPr="001D14B3">
        <w:rPr>
          <w:bCs/>
        </w:rPr>
        <w:t>A letter of credit shall be in a form acceptabl</w:t>
      </w:r>
      <w:r w:rsidRPr="001D14B3">
        <w:rPr>
          <w:bCs/>
        </w:rPr>
        <w:t>e to the ISO and issued or guaranteed by an approved U.S. or Canadian commercial bank with a minimum “A” rating from Standard &amp; Poor’s, Fitch, Moody’s, or Dominion.  A Customer’s failure to provide a source of collateral in an amount sufficient to secure i</w:t>
      </w:r>
      <w:r w:rsidRPr="001D14B3">
        <w:rPr>
          <w:bCs/>
        </w:rPr>
        <w:t>ts obligations to the ISO fifty (50) days prior to the termination of a letter of credit, which source of collateral shall be guaranteed to remain in effect for a period of not less than one (1) year, shall be a condition of default enabling the ISO to imm</w:t>
      </w:r>
      <w:r w:rsidRPr="001D14B3">
        <w:rPr>
          <w:bCs/>
        </w:rPr>
        <w:t>ediately draw upon the full value of the letter of credit.</w:t>
      </w:r>
    </w:p>
    <w:p w:rsidR="00A54564" w:rsidRPr="001D14B3" w:rsidRDefault="00B25312" w:rsidP="001D14B3">
      <w:pPr>
        <w:pStyle w:val="Heading4"/>
      </w:pPr>
      <w:bookmarkStart w:id="4" w:name="_Toc263691861"/>
      <w:r>
        <w:lastRenderedPageBreak/>
        <w:t>26.5.1.3</w:t>
      </w:r>
      <w:r>
        <w:tab/>
        <w:t>Affiliate Guarantee</w:t>
      </w:r>
      <w:bookmarkEnd w:id="4"/>
    </w:p>
    <w:p w:rsidR="006F4EED" w:rsidRDefault="00B25312" w:rsidP="001D14B3">
      <w:pPr>
        <w:pStyle w:val="Bodypara"/>
      </w:pPr>
      <w:r>
        <w:t xml:space="preserve">An Affiliate guarantee must be in a form acceptable to the ISO and issued by an investment grade </w:t>
      </w:r>
      <w:smartTag w:uri="urn:schemas-microsoft-com:office:smarttags" w:element="place">
        <w:smartTag w:uri="urn:schemas-microsoft-com:office:smarttags" w:element="country-region">
          <w:r>
            <w:t>U.S.</w:t>
          </w:r>
        </w:smartTag>
      </w:smartTag>
      <w:r>
        <w:t xml:space="preserve"> or Canadian Affiliate.  A Customer’s failure to provide a source o</w:t>
      </w:r>
      <w:r>
        <w:t xml:space="preserve">f collateral in an </w:t>
      </w:r>
      <w:r w:rsidRPr="00A54564">
        <w:t>amount</w:t>
      </w:r>
      <w:r>
        <w:t xml:space="preserve"> sufficient to secure its obligations to the ISO fifty (50) da</w:t>
      </w:r>
      <w:r>
        <w:rPr>
          <w:iCs/>
        </w:rPr>
        <w:t>ys prior to the termination of an Affiliate guarantee, which source of collateral</w:t>
      </w:r>
      <w:r>
        <w:t xml:space="preserve"> shall be guaranteed to remain in effect for a period of not less than one (1) year, sha</w:t>
      </w:r>
      <w:r>
        <w:t>ll be a condition of default enabling the ISO to immediately demand payment in the full amount of the Affiliate guarantee.</w:t>
      </w:r>
    </w:p>
    <w:p w:rsidR="00A54564" w:rsidRDefault="00B25312" w:rsidP="001D14B3">
      <w:pPr>
        <w:pStyle w:val="Heading4"/>
      </w:pPr>
      <w:bookmarkStart w:id="5" w:name="_Toc263691862"/>
      <w:r>
        <w:t>26.5.1.4</w:t>
      </w:r>
      <w:r>
        <w:tab/>
        <w:t>Surety Bonds</w:t>
      </w:r>
      <w:bookmarkEnd w:id="5"/>
    </w:p>
    <w:p w:rsidR="006F4EED" w:rsidRPr="001D14B3" w:rsidRDefault="00B25312" w:rsidP="001D14B3">
      <w:pPr>
        <w:pStyle w:val="Bodypara"/>
        <w:rPr>
          <w:bCs/>
          <w:iCs/>
        </w:rPr>
      </w:pPr>
      <w:r w:rsidRPr="001D14B3">
        <w:rPr>
          <w:bCs/>
        </w:rPr>
        <w:t xml:space="preserve">A surety bond shall be in a form acceptable to the ISO, payable immediately upon demand </w:t>
      </w:r>
      <w:r w:rsidRPr="001D14B3">
        <w:t>without</w:t>
      </w:r>
      <w:r w:rsidRPr="001D14B3">
        <w:rPr>
          <w:bCs/>
        </w:rPr>
        <w:t xml:space="preserve"> prior demonstra</w:t>
      </w:r>
      <w:r w:rsidRPr="001D14B3">
        <w:rPr>
          <w:bCs/>
        </w:rPr>
        <w:t>tion of the validity of the demand, and issued by a U.S. Treasury-listed surety with a minimum “A” rating from A.M. Best.  A Customer’s failure to provide a source of collateral in an amount sufficient to secure its obligations to the ISO fifty (50) days p</w:t>
      </w:r>
      <w:r w:rsidRPr="001D14B3">
        <w:rPr>
          <w:bCs/>
        </w:rPr>
        <w:t xml:space="preserve">rior to the termination of a surety bond, which source of collateral shall </w:t>
      </w:r>
      <w:r w:rsidRPr="001D14B3">
        <w:rPr>
          <w:bCs/>
          <w:iCs/>
        </w:rPr>
        <w:t xml:space="preserve">be guaranteed to remain in effect for a period of not less than one (1) year, shall be a condition of </w:t>
      </w:r>
      <w:r w:rsidRPr="001D14B3">
        <w:t>default</w:t>
      </w:r>
      <w:r w:rsidRPr="001D14B3">
        <w:rPr>
          <w:bCs/>
          <w:iCs/>
        </w:rPr>
        <w:t xml:space="preserve"> enabling the ISO to immediately demand payment of the full value of the</w:t>
      </w:r>
      <w:r w:rsidRPr="001D14B3">
        <w:rPr>
          <w:bCs/>
          <w:iCs/>
        </w:rPr>
        <w:t xml:space="preserve"> surety bond.</w:t>
      </w:r>
    </w:p>
    <w:p w:rsidR="00A54564" w:rsidRDefault="00B25312" w:rsidP="001D14B3">
      <w:pPr>
        <w:pStyle w:val="Heading4"/>
      </w:pPr>
      <w:bookmarkStart w:id="6" w:name="_Toc263691863"/>
      <w:bookmarkStart w:id="7" w:name="_DV_C59"/>
      <w:r>
        <w:t>26.5.1.5</w:t>
      </w:r>
      <w:r>
        <w:tab/>
        <w:t>Netting of Amounts Receivable</w:t>
      </w:r>
      <w:bookmarkEnd w:id="6"/>
    </w:p>
    <w:p w:rsidR="001C4BCA" w:rsidRDefault="00B25312" w:rsidP="001D14B3">
      <w:pPr>
        <w:pStyle w:val="Bodypara"/>
        <w:rPr>
          <w:iCs/>
        </w:rPr>
      </w:pPr>
      <w:r>
        <w:t xml:space="preserve">Upon written notice to the ISO, a Customer may elect to treat as cash collateral the amount that the ISO determines will be owed to the Customer as of the day after the next </w:t>
      </w:r>
      <w:bookmarkEnd w:id="7"/>
      <w:r>
        <w:t>regular monthly payment to th</w:t>
      </w:r>
      <w:r>
        <w:t>e Customer and that will be payable to the Customer in the following regular monthly payment, provided that any such payment to the Customer may be adjusted by the ISO as necessary to correct for any error in this determination.</w:t>
      </w:r>
    </w:p>
    <w:p w:rsidR="001C4BCA" w:rsidRPr="00A54564" w:rsidRDefault="00B25312" w:rsidP="00A54564">
      <w:pPr>
        <w:pStyle w:val="Heading3"/>
      </w:pPr>
      <w:bookmarkStart w:id="8" w:name="_Toc263691864"/>
      <w:r>
        <w:lastRenderedPageBreak/>
        <w:t>26.5.2</w:t>
      </w:r>
      <w:r w:rsidRPr="00A54564">
        <w:tab/>
        <w:t>Cash Collateral Inve</w:t>
      </w:r>
      <w:r w:rsidRPr="00A54564">
        <w:t>stment Alternatives</w:t>
      </w:r>
      <w:bookmarkEnd w:id="8"/>
    </w:p>
    <w:p w:rsidR="00A54564" w:rsidRDefault="00B25312" w:rsidP="001D14B3">
      <w:pPr>
        <w:pStyle w:val="Heading4"/>
      </w:pPr>
      <w:bookmarkStart w:id="9" w:name="_Toc263691865"/>
      <w:r>
        <w:t>26.5.2.1</w:t>
      </w:r>
      <w:r w:rsidRPr="001D14B3">
        <w:tab/>
        <w:t>Investment Alternatives</w:t>
      </w:r>
      <w:bookmarkEnd w:id="9"/>
    </w:p>
    <w:p w:rsidR="001C4BCA" w:rsidRPr="00752E30" w:rsidRDefault="00B25312" w:rsidP="001D14B3">
      <w:pPr>
        <w:pStyle w:val="Bodypara"/>
      </w:pPr>
      <w:r w:rsidRPr="00752E30">
        <w:t xml:space="preserve">A Customer may elect to deposit some or all of its cash collateral it has posted with the ISO to satisfy its Operating Requirement into one or both of two bond funds: a short-term bond fund </w:t>
      </w:r>
      <w:r w:rsidRPr="009E7E87">
        <w:t xml:space="preserve">(“Short-Term </w:t>
      </w:r>
      <w:r w:rsidRPr="009E7E87">
        <w:t>Bond Fund”) and an intermediate-term bond fund</w:t>
      </w:r>
      <w:r w:rsidRPr="00752E30">
        <w:t xml:space="preserve"> (“Intermediate-Term Bond Fund”) (each a “Bond Fund”).  A Customer’s election shall be in writing and shall not be changed more than twice each year.</w:t>
      </w:r>
    </w:p>
    <w:p w:rsidR="00A54564" w:rsidRPr="001D14B3" w:rsidRDefault="00B25312" w:rsidP="001D14B3">
      <w:pPr>
        <w:pStyle w:val="Heading4"/>
      </w:pPr>
      <w:bookmarkStart w:id="10" w:name="_Toc263691866"/>
      <w:r>
        <w:t>26.5.2.2</w:t>
      </w:r>
      <w:r w:rsidRPr="001D14B3">
        <w:tab/>
      </w:r>
      <w:r w:rsidRPr="001D14B3">
        <w:t>Additional Premium</w:t>
      </w:r>
      <w:bookmarkEnd w:id="10"/>
    </w:p>
    <w:p w:rsidR="001C4BCA" w:rsidRPr="00752E30" w:rsidRDefault="00B25312" w:rsidP="001D14B3">
      <w:pPr>
        <w:pStyle w:val="Bodypara"/>
      </w:pPr>
      <w:r w:rsidRPr="00752E30">
        <w:t xml:space="preserve">A Customer electing to deposit </w:t>
      </w:r>
      <w:r w:rsidRPr="00752E30">
        <w:t>cash collateral into a Bond Fund shall be required to also deposit a premium above the base amount of cash collateral to protect against fluctuations in the value of the Bond Fund.  A 5% premium shall be required for investments in the Short-Term Bond Fund</w:t>
      </w:r>
      <w:r w:rsidRPr="00752E30">
        <w:t>.  A 10% premium shall be required for investments in t</w:t>
      </w:r>
      <w:r>
        <w:t>he Intermediate-Term Bond Fund.</w:t>
      </w:r>
    </w:p>
    <w:p w:rsidR="00A54564" w:rsidRDefault="00B25312" w:rsidP="001D14B3">
      <w:pPr>
        <w:pStyle w:val="Heading4"/>
      </w:pPr>
      <w:bookmarkStart w:id="11" w:name="_Toc263691867"/>
      <w:r>
        <w:t>26.5.2.3</w:t>
      </w:r>
      <w:r w:rsidRPr="001D14B3">
        <w:tab/>
        <w:t>ISO Monitoring</w:t>
      </w:r>
      <w:bookmarkEnd w:id="11"/>
    </w:p>
    <w:p w:rsidR="001C4BCA" w:rsidRPr="00A54564" w:rsidRDefault="00B25312" w:rsidP="001D14B3">
      <w:pPr>
        <w:pStyle w:val="Bodypara"/>
      </w:pPr>
      <w:r w:rsidRPr="00752E30">
        <w:t xml:space="preserve">The ISO shall monitor the value of the Bond Funds at least once each week.  If at any time the value of the Customer’s account </w:t>
      </w:r>
      <w:r w:rsidRPr="008F66F5">
        <w:t>in a Bond Fund red</w:t>
      </w:r>
      <w:r w:rsidRPr="008F66F5">
        <w:t>uces by an amount equal to fifty percent (50%) of the</w:t>
      </w:r>
      <w:r w:rsidRPr="00752E30">
        <w:t xml:space="preserve"> premium  required for participation in that Bond Fund, or more, the ISO shall provide the Customer with a notice requesting additional cash collateral to restore the required balance in the Bond Fund.  </w:t>
      </w:r>
      <w:r w:rsidRPr="00752E30">
        <w:t>If a Customer fails to provide the additional collateral by 4:00 p.m. on the business day following the NYISO’s notice requesting additional cash collateral, the ISO may immediately liquidate the Customer’s Bond Fund deposit and transfer the balance to a s</w:t>
      </w:r>
      <w:r w:rsidRPr="00752E30">
        <w:t>tandard c</w:t>
      </w:r>
      <w:r>
        <w:t>ash collateral deposit account.</w:t>
      </w:r>
    </w:p>
    <w:p w:rsidR="00A54564" w:rsidRDefault="00B25312" w:rsidP="001D14B3">
      <w:pPr>
        <w:pStyle w:val="Heading4"/>
      </w:pPr>
      <w:bookmarkStart w:id="12" w:name="_Toc263691868"/>
      <w:r>
        <w:t>26.5.2.4</w:t>
      </w:r>
      <w:r>
        <w:tab/>
      </w:r>
      <w:r w:rsidRPr="00752E30">
        <w:t>Example</w:t>
      </w:r>
      <w:bookmarkEnd w:id="12"/>
    </w:p>
    <w:p w:rsidR="002856B7" w:rsidRPr="00752E30" w:rsidRDefault="00B25312" w:rsidP="001D14B3">
      <w:pPr>
        <w:pStyle w:val="Bodypara"/>
      </w:pPr>
      <w:r w:rsidRPr="00752E30">
        <w:t>Assume a Customer has an Operating Requirement of $300 and elects to place $100 in the standard cash collateral deposit account; $100 in the Short-Term Bond Fund; and $100 in the Intermediate-Term B</w:t>
      </w:r>
      <w:r w:rsidRPr="00752E30">
        <w:t>ond Fund.  As such, the Customer would be required to place $100 in the standard cash collateral deposit account.  The Customer would be required to place $100 plus $5 (the 5% required premium) for a total of $105 to participate in the Short-Term Bond Fund</w:t>
      </w:r>
      <w:r w:rsidRPr="00752E30">
        <w:t>.  The Customer would be required to place $100 plus $10 (the 10% required premium) for a total of $110 to participate in the Intermediate-Term Bond Fund.  Assume further that upon the ISO monitoring, it discovers that the value of the Customer’s Short-Ter</w:t>
      </w:r>
      <w:r w:rsidRPr="00752E30">
        <w:t>m Bond Fund decreased to $102.50 while the value of the Intermediate-Term Bond Fund remained unchanged.  The ISO would then notify the Customer to provide an additional $2.50 of collateral such that the 5% premium would be met for the Short-Term Bond Fund.</w:t>
      </w:r>
      <w:r w:rsidRPr="00752E30">
        <w:t xml:space="preserve">  If the Customer failed to timely provide the additional collateral, the ISO may then liquidate the $102.50 balance in the Short-Term Bond Fund and place it in a standard cash collateral deposit account.  The Intermediate-Term Bond Fund would remain unaff</w:t>
      </w:r>
      <w:r w:rsidRPr="00752E30">
        <w:t>ected.</w:t>
      </w:r>
    </w:p>
    <w:p w:rsidR="00933259" w:rsidRDefault="00B25312" w:rsidP="00A54564">
      <w:pPr>
        <w:pStyle w:val="Heading3"/>
      </w:pPr>
      <w:bookmarkStart w:id="13" w:name="_Toc263691869"/>
      <w:r>
        <w:t>26.5.3</w:t>
      </w:r>
      <w:r w:rsidRPr="00752E30">
        <w:tab/>
        <w:t>Pay-down Agreement</w:t>
      </w:r>
      <w:bookmarkEnd w:id="13"/>
    </w:p>
    <w:p w:rsidR="002856B7" w:rsidRDefault="00B25312" w:rsidP="00A54564">
      <w:pPr>
        <w:pStyle w:val="Bodypara"/>
      </w:pPr>
      <w:r w:rsidRPr="00752E30">
        <w:t>In lieu of providing any collateral or additional collateral</w:t>
      </w:r>
      <w:r>
        <w:t xml:space="preserve"> otherwise required by the ISO’s creditworthiness requirements, a Customer may execute a pay-down agreement with the ISO pursuant to which the Customer shall, upon</w:t>
      </w:r>
      <w:r>
        <w:t xml:space="preserve"> written demand by the ISO, pay down the amount by which its </w:t>
      </w:r>
      <w:r w:rsidRPr="00752E30">
        <w:t xml:space="preserve">Operating Requirement, as calculated pursuant to Article </w:t>
      </w:r>
      <w:r w:rsidRPr="00C60188">
        <w:t>26.3</w:t>
      </w:r>
      <w:r w:rsidRPr="00752E30">
        <w:t xml:space="preserve"> of this Attachment K,</w:t>
      </w:r>
      <w:r>
        <w:t xml:space="preserve"> exceeds the amount of its Unsecured Credit and any existing collateral.  The ISO shall accept payment from a Cu</w:t>
      </w:r>
      <w:r>
        <w:t>stomer at any time, but such payment shall eliminate the Customer’s collateral requirements only if the payment is made pursuant to a pay-down agreement.</w:t>
      </w:r>
    </w:p>
    <w:p w:rsidR="00933259" w:rsidRDefault="00B25312" w:rsidP="00A54564">
      <w:pPr>
        <w:pStyle w:val="Heading3"/>
      </w:pPr>
      <w:bookmarkStart w:id="14" w:name="_Toc263691870"/>
      <w:r>
        <w:t>26.5.4</w:t>
      </w:r>
      <w:r w:rsidRPr="00A54564">
        <w:tab/>
        <w:t>Alternative Security Arrangements</w:t>
      </w:r>
      <w:bookmarkEnd w:id="14"/>
    </w:p>
    <w:p w:rsidR="002856B7" w:rsidRDefault="00B25312" w:rsidP="00A54564">
      <w:pPr>
        <w:pStyle w:val="Bodypara"/>
      </w:pPr>
      <w:r>
        <w:t>Alternative security arrangements substantially similar to th</w:t>
      </w:r>
      <w:r>
        <w:t>e credit requirements set forth in this Attachment K may be made in exigent circumstances to protect the financial position of the ISO if proposed by the Customer and approved by the ISO.</w:t>
      </w:r>
    </w:p>
    <w:sectPr w:rsidR="002856B7" w:rsidSect="00D052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3A" w:rsidRDefault="0023533A" w:rsidP="0023533A">
      <w:pPr>
        <w:spacing w:after="0" w:line="240" w:lineRule="auto"/>
      </w:pPr>
      <w:r>
        <w:separator/>
      </w:r>
    </w:p>
  </w:endnote>
  <w:endnote w:type="continuationSeparator" w:id="0">
    <w:p w:rsidR="0023533A" w:rsidRDefault="0023533A" w:rsidP="00235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A" w:rsidRDefault="00B2531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3533A">
      <w:rPr>
        <w:rFonts w:ascii="Arial" w:eastAsia="Arial" w:hAnsi="Arial" w:cs="Arial"/>
        <w:color w:val="000000"/>
        <w:sz w:val="16"/>
      </w:rPr>
      <w:fldChar w:fldCharType="begin"/>
    </w:r>
    <w:r>
      <w:rPr>
        <w:rFonts w:ascii="Arial" w:eastAsia="Arial" w:hAnsi="Arial" w:cs="Arial"/>
        <w:color w:val="000000"/>
        <w:sz w:val="16"/>
      </w:rPr>
      <w:instrText>PAGE</w:instrText>
    </w:r>
    <w:r w:rsidR="002353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A" w:rsidRDefault="00B2531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353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53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A" w:rsidRDefault="00B2531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3533A">
      <w:rPr>
        <w:rFonts w:ascii="Arial" w:eastAsia="Arial" w:hAnsi="Arial" w:cs="Arial"/>
        <w:color w:val="000000"/>
        <w:sz w:val="16"/>
      </w:rPr>
      <w:fldChar w:fldCharType="begin"/>
    </w:r>
    <w:r>
      <w:rPr>
        <w:rFonts w:ascii="Arial" w:eastAsia="Arial" w:hAnsi="Arial" w:cs="Arial"/>
        <w:color w:val="000000"/>
        <w:sz w:val="16"/>
      </w:rPr>
      <w:instrText>PAGE</w:instrText>
    </w:r>
    <w:r w:rsidR="002353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3A" w:rsidRDefault="0023533A" w:rsidP="0023533A">
      <w:pPr>
        <w:spacing w:after="0" w:line="240" w:lineRule="auto"/>
      </w:pPr>
      <w:r>
        <w:separator/>
      </w:r>
    </w:p>
  </w:footnote>
  <w:footnote w:type="continuationSeparator" w:id="0">
    <w:p w:rsidR="0023533A" w:rsidRDefault="0023533A" w:rsidP="00235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A" w:rsidRDefault="00B253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Additional Security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A" w:rsidRDefault="00B253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26 MST Attachment K - Creditworthiness Requirements For Cust --&gt; 26.5 MST Att K Additional Security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A" w:rsidRDefault="00B25312">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26 MST Attachment K - Creditworthiness Requirements For Cust --&gt; 26.5 MST Att K Additional Security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6712A1FE">
      <w:start w:val="1"/>
      <w:numFmt w:val="lowerRoman"/>
      <w:lvlText w:val="(%1)"/>
      <w:lvlJc w:val="left"/>
      <w:pPr>
        <w:tabs>
          <w:tab w:val="num" w:pos="2160"/>
        </w:tabs>
        <w:ind w:left="2160" w:hanging="720"/>
      </w:pPr>
      <w:rPr>
        <w:rFonts w:hint="default"/>
      </w:rPr>
    </w:lvl>
    <w:lvl w:ilvl="1" w:tplc="F4FE364C" w:tentative="1">
      <w:start w:val="1"/>
      <w:numFmt w:val="lowerLetter"/>
      <w:lvlText w:val="%2."/>
      <w:lvlJc w:val="left"/>
      <w:pPr>
        <w:tabs>
          <w:tab w:val="num" w:pos="2520"/>
        </w:tabs>
        <w:ind w:left="2520" w:hanging="360"/>
      </w:pPr>
    </w:lvl>
    <w:lvl w:ilvl="2" w:tplc="49A260E2" w:tentative="1">
      <w:start w:val="1"/>
      <w:numFmt w:val="lowerRoman"/>
      <w:lvlText w:val="%3."/>
      <w:lvlJc w:val="right"/>
      <w:pPr>
        <w:tabs>
          <w:tab w:val="num" w:pos="3240"/>
        </w:tabs>
        <w:ind w:left="3240" w:hanging="180"/>
      </w:pPr>
    </w:lvl>
    <w:lvl w:ilvl="3" w:tplc="311ED26C" w:tentative="1">
      <w:start w:val="1"/>
      <w:numFmt w:val="decimal"/>
      <w:lvlText w:val="%4."/>
      <w:lvlJc w:val="left"/>
      <w:pPr>
        <w:tabs>
          <w:tab w:val="num" w:pos="3960"/>
        </w:tabs>
        <w:ind w:left="3960" w:hanging="360"/>
      </w:pPr>
    </w:lvl>
    <w:lvl w:ilvl="4" w:tplc="33268BD0" w:tentative="1">
      <w:start w:val="1"/>
      <w:numFmt w:val="lowerLetter"/>
      <w:lvlText w:val="%5."/>
      <w:lvlJc w:val="left"/>
      <w:pPr>
        <w:tabs>
          <w:tab w:val="num" w:pos="4680"/>
        </w:tabs>
        <w:ind w:left="4680" w:hanging="360"/>
      </w:pPr>
    </w:lvl>
    <w:lvl w:ilvl="5" w:tplc="3E387C8C" w:tentative="1">
      <w:start w:val="1"/>
      <w:numFmt w:val="lowerRoman"/>
      <w:lvlText w:val="%6."/>
      <w:lvlJc w:val="right"/>
      <w:pPr>
        <w:tabs>
          <w:tab w:val="num" w:pos="5400"/>
        </w:tabs>
        <w:ind w:left="5400" w:hanging="180"/>
      </w:pPr>
    </w:lvl>
    <w:lvl w:ilvl="6" w:tplc="7644A016" w:tentative="1">
      <w:start w:val="1"/>
      <w:numFmt w:val="decimal"/>
      <w:lvlText w:val="%7."/>
      <w:lvlJc w:val="left"/>
      <w:pPr>
        <w:tabs>
          <w:tab w:val="num" w:pos="6120"/>
        </w:tabs>
        <w:ind w:left="6120" w:hanging="360"/>
      </w:pPr>
    </w:lvl>
    <w:lvl w:ilvl="7" w:tplc="F9108426" w:tentative="1">
      <w:start w:val="1"/>
      <w:numFmt w:val="lowerLetter"/>
      <w:lvlText w:val="%8."/>
      <w:lvlJc w:val="left"/>
      <w:pPr>
        <w:tabs>
          <w:tab w:val="num" w:pos="6840"/>
        </w:tabs>
        <w:ind w:left="6840" w:hanging="360"/>
      </w:pPr>
    </w:lvl>
    <w:lvl w:ilvl="8" w:tplc="14BAA8A2"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89F01E46">
      <w:start w:val="1"/>
      <w:numFmt w:val="bullet"/>
      <w:pStyle w:val="Bulletpara"/>
      <w:lvlText w:val=""/>
      <w:lvlJc w:val="left"/>
      <w:pPr>
        <w:tabs>
          <w:tab w:val="num" w:pos="720"/>
        </w:tabs>
        <w:ind w:left="720" w:hanging="360"/>
      </w:pPr>
      <w:rPr>
        <w:rFonts w:ascii="Symbol" w:hAnsi="Symbol" w:hint="default"/>
      </w:rPr>
    </w:lvl>
    <w:lvl w:ilvl="1" w:tplc="AB9E4D7A" w:tentative="1">
      <w:start w:val="1"/>
      <w:numFmt w:val="bullet"/>
      <w:lvlText w:val="o"/>
      <w:lvlJc w:val="left"/>
      <w:pPr>
        <w:tabs>
          <w:tab w:val="num" w:pos="1440"/>
        </w:tabs>
        <w:ind w:left="1440" w:hanging="360"/>
      </w:pPr>
      <w:rPr>
        <w:rFonts w:ascii="Courier New" w:hAnsi="Courier New" w:cs="Courier New" w:hint="default"/>
      </w:rPr>
    </w:lvl>
    <w:lvl w:ilvl="2" w:tplc="9D8C9A16" w:tentative="1">
      <w:start w:val="1"/>
      <w:numFmt w:val="bullet"/>
      <w:lvlText w:val=""/>
      <w:lvlJc w:val="left"/>
      <w:pPr>
        <w:tabs>
          <w:tab w:val="num" w:pos="2160"/>
        </w:tabs>
        <w:ind w:left="2160" w:hanging="360"/>
      </w:pPr>
      <w:rPr>
        <w:rFonts w:ascii="Wingdings" w:hAnsi="Wingdings" w:hint="default"/>
      </w:rPr>
    </w:lvl>
    <w:lvl w:ilvl="3" w:tplc="EE50367A" w:tentative="1">
      <w:start w:val="1"/>
      <w:numFmt w:val="bullet"/>
      <w:lvlText w:val=""/>
      <w:lvlJc w:val="left"/>
      <w:pPr>
        <w:tabs>
          <w:tab w:val="num" w:pos="2880"/>
        </w:tabs>
        <w:ind w:left="2880" w:hanging="360"/>
      </w:pPr>
      <w:rPr>
        <w:rFonts w:ascii="Symbol" w:hAnsi="Symbol" w:hint="default"/>
      </w:rPr>
    </w:lvl>
    <w:lvl w:ilvl="4" w:tplc="5322BE9E" w:tentative="1">
      <w:start w:val="1"/>
      <w:numFmt w:val="bullet"/>
      <w:lvlText w:val="o"/>
      <w:lvlJc w:val="left"/>
      <w:pPr>
        <w:tabs>
          <w:tab w:val="num" w:pos="3600"/>
        </w:tabs>
        <w:ind w:left="3600" w:hanging="360"/>
      </w:pPr>
      <w:rPr>
        <w:rFonts w:ascii="Courier New" w:hAnsi="Courier New" w:cs="Courier New" w:hint="default"/>
      </w:rPr>
    </w:lvl>
    <w:lvl w:ilvl="5" w:tplc="4EE62AD6" w:tentative="1">
      <w:start w:val="1"/>
      <w:numFmt w:val="bullet"/>
      <w:lvlText w:val=""/>
      <w:lvlJc w:val="left"/>
      <w:pPr>
        <w:tabs>
          <w:tab w:val="num" w:pos="4320"/>
        </w:tabs>
        <w:ind w:left="4320" w:hanging="360"/>
      </w:pPr>
      <w:rPr>
        <w:rFonts w:ascii="Wingdings" w:hAnsi="Wingdings" w:hint="default"/>
      </w:rPr>
    </w:lvl>
    <w:lvl w:ilvl="6" w:tplc="9FF4DFF6" w:tentative="1">
      <w:start w:val="1"/>
      <w:numFmt w:val="bullet"/>
      <w:lvlText w:val=""/>
      <w:lvlJc w:val="left"/>
      <w:pPr>
        <w:tabs>
          <w:tab w:val="num" w:pos="5040"/>
        </w:tabs>
        <w:ind w:left="5040" w:hanging="360"/>
      </w:pPr>
      <w:rPr>
        <w:rFonts w:ascii="Symbol" w:hAnsi="Symbol" w:hint="default"/>
      </w:rPr>
    </w:lvl>
    <w:lvl w:ilvl="7" w:tplc="6B5AF13A" w:tentative="1">
      <w:start w:val="1"/>
      <w:numFmt w:val="bullet"/>
      <w:lvlText w:val="o"/>
      <w:lvlJc w:val="left"/>
      <w:pPr>
        <w:tabs>
          <w:tab w:val="num" w:pos="5760"/>
        </w:tabs>
        <w:ind w:left="5760" w:hanging="360"/>
      </w:pPr>
      <w:rPr>
        <w:rFonts w:ascii="Courier New" w:hAnsi="Courier New" w:cs="Courier New" w:hint="default"/>
      </w:rPr>
    </w:lvl>
    <w:lvl w:ilvl="8" w:tplc="D62622A4"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02D02EBA">
      <w:start w:val="3"/>
      <w:numFmt w:val="lowerRoman"/>
      <w:lvlText w:val="(%1)"/>
      <w:lvlJc w:val="left"/>
      <w:pPr>
        <w:tabs>
          <w:tab w:val="num" w:pos="1440"/>
        </w:tabs>
        <w:ind w:left="1440" w:hanging="720"/>
      </w:pPr>
      <w:rPr>
        <w:rFonts w:hint="default"/>
        <w:b/>
      </w:rPr>
    </w:lvl>
    <w:lvl w:ilvl="1" w:tplc="0E40FB3E" w:tentative="1">
      <w:start w:val="1"/>
      <w:numFmt w:val="lowerLetter"/>
      <w:lvlText w:val="%2."/>
      <w:lvlJc w:val="left"/>
      <w:pPr>
        <w:tabs>
          <w:tab w:val="num" w:pos="1800"/>
        </w:tabs>
        <w:ind w:left="1800" w:hanging="360"/>
      </w:pPr>
    </w:lvl>
    <w:lvl w:ilvl="2" w:tplc="44502948" w:tentative="1">
      <w:start w:val="1"/>
      <w:numFmt w:val="lowerRoman"/>
      <w:lvlText w:val="%3."/>
      <w:lvlJc w:val="right"/>
      <w:pPr>
        <w:tabs>
          <w:tab w:val="num" w:pos="2520"/>
        </w:tabs>
        <w:ind w:left="2520" w:hanging="180"/>
      </w:pPr>
    </w:lvl>
    <w:lvl w:ilvl="3" w:tplc="0F1C1A68" w:tentative="1">
      <w:start w:val="1"/>
      <w:numFmt w:val="decimal"/>
      <w:lvlText w:val="%4."/>
      <w:lvlJc w:val="left"/>
      <w:pPr>
        <w:tabs>
          <w:tab w:val="num" w:pos="3240"/>
        </w:tabs>
        <w:ind w:left="3240" w:hanging="360"/>
      </w:pPr>
    </w:lvl>
    <w:lvl w:ilvl="4" w:tplc="83BEA7CA" w:tentative="1">
      <w:start w:val="1"/>
      <w:numFmt w:val="lowerLetter"/>
      <w:lvlText w:val="%5."/>
      <w:lvlJc w:val="left"/>
      <w:pPr>
        <w:tabs>
          <w:tab w:val="num" w:pos="3960"/>
        </w:tabs>
        <w:ind w:left="3960" w:hanging="360"/>
      </w:pPr>
    </w:lvl>
    <w:lvl w:ilvl="5" w:tplc="81D40942" w:tentative="1">
      <w:start w:val="1"/>
      <w:numFmt w:val="lowerRoman"/>
      <w:lvlText w:val="%6."/>
      <w:lvlJc w:val="right"/>
      <w:pPr>
        <w:tabs>
          <w:tab w:val="num" w:pos="4680"/>
        </w:tabs>
        <w:ind w:left="4680" w:hanging="180"/>
      </w:pPr>
    </w:lvl>
    <w:lvl w:ilvl="6" w:tplc="88E64868" w:tentative="1">
      <w:start w:val="1"/>
      <w:numFmt w:val="decimal"/>
      <w:lvlText w:val="%7."/>
      <w:lvlJc w:val="left"/>
      <w:pPr>
        <w:tabs>
          <w:tab w:val="num" w:pos="5400"/>
        </w:tabs>
        <w:ind w:left="5400" w:hanging="360"/>
      </w:pPr>
    </w:lvl>
    <w:lvl w:ilvl="7" w:tplc="0E38C028" w:tentative="1">
      <w:start w:val="1"/>
      <w:numFmt w:val="lowerLetter"/>
      <w:lvlText w:val="%8."/>
      <w:lvlJc w:val="left"/>
      <w:pPr>
        <w:tabs>
          <w:tab w:val="num" w:pos="6120"/>
        </w:tabs>
        <w:ind w:left="6120" w:hanging="360"/>
      </w:pPr>
    </w:lvl>
    <w:lvl w:ilvl="8" w:tplc="325409A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2BDAC7B4">
      <w:start w:val="1"/>
      <w:numFmt w:val="lowerRoman"/>
      <w:lvlText w:val="(%1)"/>
      <w:lvlJc w:val="left"/>
      <w:pPr>
        <w:tabs>
          <w:tab w:val="num" w:pos="2160"/>
        </w:tabs>
        <w:ind w:left="2160" w:hanging="720"/>
      </w:pPr>
      <w:rPr>
        <w:rFonts w:hint="default"/>
      </w:rPr>
    </w:lvl>
    <w:lvl w:ilvl="1" w:tplc="BAE0D1B4" w:tentative="1">
      <w:start w:val="1"/>
      <w:numFmt w:val="lowerLetter"/>
      <w:lvlText w:val="%2."/>
      <w:lvlJc w:val="left"/>
      <w:pPr>
        <w:tabs>
          <w:tab w:val="num" w:pos="2520"/>
        </w:tabs>
        <w:ind w:left="2520" w:hanging="360"/>
      </w:pPr>
    </w:lvl>
    <w:lvl w:ilvl="2" w:tplc="97AE842E" w:tentative="1">
      <w:start w:val="1"/>
      <w:numFmt w:val="lowerRoman"/>
      <w:lvlText w:val="%3."/>
      <w:lvlJc w:val="right"/>
      <w:pPr>
        <w:tabs>
          <w:tab w:val="num" w:pos="3240"/>
        </w:tabs>
        <w:ind w:left="3240" w:hanging="180"/>
      </w:pPr>
    </w:lvl>
    <w:lvl w:ilvl="3" w:tplc="7562BC62" w:tentative="1">
      <w:start w:val="1"/>
      <w:numFmt w:val="decimal"/>
      <w:lvlText w:val="%4."/>
      <w:lvlJc w:val="left"/>
      <w:pPr>
        <w:tabs>
          <w:tab w:val="num" w:pos="3960"/>
        </w:tabs>
        <w:ind w:left="3960" w:hanging="360"/>
      </w:pPr>
    </w:lvl>
    <w:lvl w:ilvl="4" w:tplc="8F227C8E" w:tentative="1">
      <w:start w:val="1"/>
      <w:numFmt w:val="lowerLetter"/>
      <w:lvlText w:val="%5."/>
      <w:lvlJc w:val="left"/>
      <w:pPr>
        <w:tabs>
          <w:tab w:val="num" w:pos="4680"/>
        </w:tabs>
        <w:ind w:left="4680" w:hanging="360"/>
      </w:pPr>
    </w:lvl>
    <w:lvl w:ilvl="5" w:tplc="D4E29FBA" w:tentative="1">
      <w:start w:val="1"/>
      <w:numFmt w:val="lowerRoman"/>
      <w:lvlText w:val="%6."/>
      <w:lvlJc w:val="right"/>
      <w:pPr>
        <w:tabs>
          <w:tab w:val="num" w:pos="5400"/>
        </w:tabs>
        <w:ind w:left="5400" w:hanging="180"/>
      </w:pPr>
    </w:lvl>
    <w:lvl w:ilvl="6" w:tplc="4A88C334" w:tentative="1">
      <w:start w:val="1"/>
      <w:numFmt w:val="decimal"/>
      <w:lvlText w:val="%7."/>
      <w:lvlJc w:val="left"/>
      <w:pPr>
        <w:tabs>
          <w:tab w:val="num" w:pos="6120"/>
        </w:tabs>
        <w:ind w:left="6120" w:hanging="360"/>
      </w:pPr>
    </w:lvl>
    <w:lvl w:ilvl="7" w:tplc="586EEFD8" w:tentative="1">
      <w:start w:val="1"/>
      <w:numFmt w:val="lowerLetter"/>
      <w:lvlText w:val="%8."/>
      <w:lvlJc w:val="left"/>
      <w:pPr>
        <w:tabs>
          <w:tab w:val="num" w:pos="6840"/>
        </w:tabs>
        <w:ind w:left="6840" w:hanging="360"/>
      </w:pPr>
    </w:lvl>
    <w:lvl w:ilvl="8" w:tplc="F20AF88A"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CF6607A0">
      <w:start w:val="1"/>
      <w:numFmt w:val="bullet"/>
      <w:lvlText w:val=""/>
      <w:lvlJc w:val="left"/>
      <w:pPr>
        <w:tabs>
          <w:tab w:val="num" w:pos="720"/>
        </w:tabs>
        <w:ind w:left="720" w:hanging="360"/>
      </w:pPr>
      <w:rPr>
        <w:rFonts w:ascii="Wingdings" w:hAnsi="Wingdings" w:hint="default"/>
      </w:rPr>
    </w:lvl>
    <w:lvl w:ilvl="1" w:tplc="EE2A839A">
      <w:start w:val="188"/>
      <w:numFmt w:val="bullet"/>
      <w:lvlText w:val=""/>
      <w:lvlJc w:val="left"/>
      <w:pPr>
        <w:tabs>
          <w:tab w:val="num" w:pos="1440"/>
        </w:tabs>
        <w:ind w:left="1440" w:hanging="360"/>
      </w:pPr>
      <w:rPr>
        <w:rFonts w:ascii="Wingdings" w:hAnsi="Wingdings" w:hint="default"/>
        <w:u w:val="none"/>
      </w:rPr>
    </w:lvl>
    <w:lvl w:ilvl="2" w:tplc="481EFFB6">
      <w:start w:val="188"/>
      <w:numFmt w:val="bullet"/>
      <w:lvlText w:val="•"/>
      <w:lvlJc w:val="left"/>
      <w:pPr>
        <w:tabs>
          <w:tab w:val="num" w:pos="2160"/>
        </w:tabs>
        <w:ind w:left="2160" w:hanging="360"/>
      </w:pPr>
      <w:rPr>
        <w:rFonts w:ascii="Times New Roman" w:hAnsi="Times New Roman" w:hint="default"/>
        <w:u w:val="double"/>
      </w:rPr>
    </w:lvl>
    <w:lvl w:ilvl="3" w:tplc="A77022B8" w:tentative="1">
      <w:start w:val="1"/>
      <w:numFmt w:val="bullet"/>
      <w:lvlText w:val=""/>
      <w:lvlJc w:val="left"/>
      <w:pPr>
        <w:tabs>
          <w:tab w:val="num" w:pos="2880"/>
        </w:tabs>
        <w:ind w:left="2880" w:hanging="360"/>
      </w:pPr>
      <w:rPr>
        <w:rFonts w:ascii="Wingdings" w:hAnsi="Wingdings" w:hint="default"/>
      </w:rPr>
    </w:lvl>
    <w:lvl w:ilvl="4" w:tplc="31668DD6" w:tentative="1">
      <w:start w:val="1"/>
      <w:numFmt w:val="bullet"/>
      <w:lvlText w:val=""/>
      <w:lvlJc w:val="left"/>
      <w:pPr>
        <w:tabs>
          <w:tab w:val="num" w:pos="3600"/>
        </w:tabs>
        <w:ind w:left="3600" w:hanging="360"/>
      </w:pPr>
      <w:rPr>
        <w:rFonts w:ascii="Wingdings" w:hAnsi="Wingdings" w:hint="default"/>
      </w:rPr>
    </w:lvl>
    <w:lvl w:ilvl="5" w:tplc="C756DDE2" w:tentative="1">
      <w:start w:val="1"/>
      <w:numFmt w:val="bullet"/>
      <w:lvlText w:val=""/>
      <w:lvlJc w:val="left"/>
      <w:pPr>
        <w:tabs>
          <w:tab w:val="num" w:pos="4320"/>
        </w:tabs>
        <w:ind w:left="4320" w:hanging="360"/>
      </w:pPr>
      <w:rPr>
        <w:rFonts w:ascii="Wingdings" w:hAnsi="Wingdings" w:hint="default"/>
      </w:rPr>
    </w:lvl>
    <w:lvl w:ilvl="6" w:tplc="EAF6A484" w:tentative="1">
      <w:start w:val="1"/>
      <w:numFmt w:val="bullet"/>
      <w:lvlText w:val=""/>
      <w:lvlJc w:val="left"/>
      <w:pPr>
        <w:tabs>
          <w:tab w:val="num" w:pos="5040"/>
        </w:tabs>
        <w:ind w:left="5040" w:hanging="360"/>
      </w:pPr>
      <w:rPr>
        <w:rFonts w:ascii="Wingdings" w:hAnsi="Wingdings" w:hint="default"/>
      </w:rPr>
    </w:lvl>
    <w:lvl w:ilvl="7" w:tplc="0BA4E7A6" w:tentative="1">
      <w:start w:val="1"/>
      <w:numFmt w:val="bullet"/>
      <w:lvlText w:val=""/>
      <w:lvlJc w:val="left"/>
      <w:pPr>
        <w:tabs>
          <w:tab w:val="num" w:pos="5760"/>
        </w:tabs>
        <w:ind w:left="5760" w:hanging="360"/>
      </w:pPr>
      <w:rPr>
        <w:rFonts w:ascii="Wingdings" w:hAnsi="Wingdings" w:hint="default"/>
      </w:rPr>
    </w:lvl>
    <w:lvl w:ilvl="8" w:tplc="6160349A"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5AD8933C">
      <w:start w:val="1"/>
      <w:numFmt w:val="lowerRoman"/>
      <w:lvlText w:val="(%1)"/>
      <w:lvlJc w:val="left"/>
      <w:pPr>
        <w:tabs>
          <w:tab w:val="num" w:pos="2448"/>
        </w:tabs>
        <w:ind w:left="2448" w:hanging="648"/>
      </w:pPr>
      <w:rPr>
        <w:rFonts w:hint="default"/>
        <w:b w:val="0"/>
        <w:i w:val="0"/>
        <w:u w:val="none"/>
      </w:rPr>
    </w:lvl>
    <w:lvl w:ilvl="1" w:tplc="02F273B4" w:tentative="1">
      <w:start w:val="1"/>
      <w:numFmt w:val="lowerLetter"/>
      <w:lvlText w:val="%2."/>
      <w:lvlJc w:val="left"/>
      <w:pPr>
        <w:tabs>
          <w:tab w:val="num" w:pos="1440"/>
        </w:tabs>
        <w:ind w:left="1440" w:hanging="360"/>
      </w:pPr>
    </w:lvl>
    <w:lvl w:ilvl="2" w:tplc="2FFE8028" w:tentative="1">
      <w:start w:val="1"/>
      <w:numFmt w:val="lowerRoman"/>
      <w:lvlText w:val="%3."/>
      <w:lvlJc w:val="right"/>
      <w:pPr>
        <w:tabs>
          <w:tab w:val="num" w:pos="2160"/>
        </w:tabs>
        <w:ind w:left="2160" w:hanging="180"/>
      </w:pPr>
    </w:lvl>
    <w:lvl w:ilvl="3" w:tplc="E17CCC46" w:tentative="1">
      <w:start w:val="1"/>
      <w:numFmt w:val="decimal"/>
      <w:lvlText w:val="%4."/>
      <w:lvlJc w:val="left"/>
      <w:pPr>
        <w:tabs>
          <w:tab w:val="num" w:pos="2880"/>
        </w:tabs>
        <w:ind w:left="2880" w:hanging="360"/>
      </w:pPr>
    </w:lvl>
    <w:lvl w:ilvl="4" w:tplc="3A424B5C" w:tentative="1">
      <w:start w:val="1"/>
      <w:numFmt w:val="lowerLetter"/>
      <w:lvlText w:val="%5."/>
      <w:lvlJc w:val="left"/>
      <w:pPr>
        <w:tabs>
          <w:tab w:val="num" w:pos="3600"/>
        </w:tabs>
        <w:ind w:left="3600" w:hanging="360"/>
      </w:pPr>
    </w:lvl>
    <w:lvl w:ilvl="5" w:tplc="91EA6564" w:tentative="1">
      <w:start w:val="1"/>
      <w:numFmt w:val="lowerRoman"/>
      <w:lvlText w:val="%6."/>
      <w:lvlJc w:val="right"/>
      <w:pPr>
        <w:tabs>
          <w:tab w:val="num" w:pos="4320"/>
        </w:tabs>
        <w:ind w:left="4320" w:hanging="180"/>
      </w:pPr>
    </w:lvl>
    <w:lvl w:ilvl="6" w:tplc="0CE61316" w:tentative="1">
      <w:start w:val="1"/>
      <w:numFmt w:val="decimal"/>
      <w:lvlText w:val="%7."/>
      <w:lvlJc w:val="left"/>
      <w:pPr>
        <w:tabs>
          <w:tab w:val="num" w:pos="5040"/>
        </w:tabs>
        <w:ind w:left="5040" w:hanging="360"/>
      </w:pPr>
    </w:lvl>
    <w:lvl w:ilvl="7" w:tplc="8174BB50" w:tentative="1">
      <w:start w:val="1"/>
      <w:numFmt w:val="lowerLetter"/>
      <w:lvlText w:val="%8."/>
      <w:lvlJc w:val="left"/>
      <w:pPr>
        <w:tabs>
          <w:tab w:val="num" w:pos="5760"/>
        </w:tabs>
        <w:ind w:left="5760" w:hanging="360"/>
      </w:pPr>
    </w:lvl>
    <w:lvl w:ilvl="8" w:tplc="9F726BE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2FCAE01A">
      <w:start w:val="1"/>
      <w:numFmt w:val="bullet"/>
      <w:lvlText w:val=""/>
      <w:lvlJc w:val="left"/>
      <w:pPr>
        <w:tabs>
          <w:tab w:val="num" w:pos="720"/>
        </w:tabs>
        <w:ind w:left="720" w:hanging="360"/>
      </w:pPr>
      <w:rPr>
        <w:rFonts w:ascii="Wingdings" w:hAnsi="Wingdings" w:hint="default"/>
      </w:rPr>
    </w:lvl>
    <w:lvl w:ilvl="1" w:tplc="FB0699B0">
      <w:start w:val="11463"/>
      <w:numFmt w:val="bullet"/>
      <w:lvlText w:val=""/>
      <w:lvlJc w:val="left"/>
      <w:pPr>
        <w:tabs>
          <w:tab w:val="num" w:pos="1440"/>
        </w:tabs>
        <w:ind w:left="1440" w:hanging="360"/>
      </w:pPr>
      <w:rPr>
        <w:rFonts w:ascii="Wingdings" w:hAnsi="Wingdings" w:hint="default"/>
        <w:u w:val="none"/>
      </w:rPr>
    </w:lvl>
    <w:lvl w:ilvl="2" w:tplc="83E8E002">
      <w:start w:val="11463"/>
      <w:numFmt w:val="bullet"/>
      <w:lvlText w:val="•"/>
      <w:lvlJc w:val="left"/>
      <w:pPr>
        <w:tabs>
          <w:tab w:val="num" w:pos="2160"/>
        </w:tabs>
        <w:ind w:left="2160" w:hanging="360"/>
      </w:pPr>
      <w:rPr>
        <w:rFonts w:ascii="Times New Roman" w:hAnsi="Times New Roman" w:hint="default"/>
      </w:rPr>
    </w:lvl>
    <w:lvl w:ilvl="3" w:tplc="61348906" w:tentative="1">
      <w:start w:val="1"/>
      <w:numFmt w:val="bullet"/>
      <w:lvlText w:val=""/>
      <w:lvlJc w:val="left"/>
      <w:pPr>
        <w:tabs>
          <w:tab w:val="num" w:pos="2880"/>
        </w:tabs>
        <w:ind w:left="2880" w:hanging="360"/>
      </w:pPr>
      <w:rPr>
        <w:rFonts w:ascii="Wingdings" w:hAnsi="Wingdings" w:hint="default"/>
      </w:rPr>
    </w:lvl>
    <w:lvl w:ilvl="4" w:tplc="2C1468B2" w:tentative="1">
      <w:start w:val="1"/>
      <w:numFmt w:val="bullet"/>
      <w:lvlText w:val=""/>
      <w:lvlJc w:val="left"/>
      <w:pPr>
        <w:tabs>
          <w:tab w:val="num" w:pos="3600"/>
        </w:tabs>
        <w:ind w:left="3600" w:hanging="360"/>
      </w:pPr>
      <w:rPr>
        <w:rFonts w:ascii="Wingdings" w:hAnsi="Wingdings" w:hint="default"/>
      </w:rPr>
    </w:lvl>
    <w:lvl w:ilvl="5" w:tplc="D6087E84" w:tentative="1">
      <w:start w:val="1"/>
      <w:numFmt w:val="bullet"/>
      <w:lvlText w:val=""/>
      <w:lvlJc w:val="left"/>
      <w:pPr>
        <w:tabs>
          <w:tab w:val="num" w:pos="4320"/>
        </w:tabs>
        <w:ind w:left="4320" w:hanging="360"/>
      </w:pPr>
      <w:rPr>
        <w:rFonts w:ascii="Wingdings" w:hAnsi="Wingdings" w:hint="default"/>
      </w:rPr>
    </w:lvl>
    <w:lvl w:ilvl="6" w:tplc="FA4E19CE" w:tentative="1">
      <w:start w:val="1"/>
      <w:numFmt w:val="bullet"/>
      <w:lvlText w:val=""/>
      <w:lvlJc w:val="left"/>
      <w:pPr>
        <w:tabs>
          <w:tab w:val="num" w:pos="5040"/>
        </w:tabs>
        <w:ind w:left="5040" w:hanging="360"/>
      </w:pPr>
      <w:rPr>
        <w:rFonts w:ascii="Wingdings" w:hAnsi="Wingdings" w:hint="default"/>
      </w:rPr>
    </w:lvl>
    <w:lvl w:ilvl="7" w:tplc="45A2CA2E" w:tentative="1">
      <w:start w:val="1"/>
      <w:numFmt w:val="bullet"/>
      <w:lvlText w:val=""/>
      <w:lvlJc w:val="left"/>
      <w:pPr>
        <w:tabs>
          <w:tab w:val="num" w:pos="5760"/>
        </w:tabs>
        <w:ind w:left="5760" w:hanging="360"/>
      </w:pPr>
      <w:rPr>
        <w:rFonts w:ascii="Wingdings" w:hAnsi="Wingdings" w:hint="default"/>
      </w:rPr>
    </w:lvl>
    <w:lvl w:ilvl="8" w:tplc="F7E6F084"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66227F34">
      <w:start w:val="1"/>
      <w:numFmt w:val="bullet"/>
      <w:lvlText w:val=""/>
      <w:lvlJc w:val="left"/>
      <w:pPr>
        <w:tabs>
          <w:tab w:val="num" w:pos="5760"/>
        </w:tabs>
        <w:ind w:left="5760" w:hanging="360"/>
      </w:pPr>
      <w:rPr>
        <w:rFonts w:ascii="Symbol" w:hAnsi="Symbol" w:hint="default"/>
        <w:color w:val="auto"/>
        <w:u w:val="none"/>
      </w:rPr>
    </w:lvl>
    <w:lvl w:ilvl="1" w:tplc="51C20A70" w:tentative="1">
      <w:start w:val="1"/>
      <w:numFmt w:val="bullet"/>
      <w:lvlText w:val="o"/>
      <w:lvlJc w:val="left"/>
      <w:pPr>
        <w:tabs>
          <w:tab w:val="num" w:pos="3600"/>
        </w:tabs>
        <w:ind w:left="3600" w:hanging="360"/>
      </w:pPr>
      <w:rPr>
        <w:rFonts w:ascii="Courier New" w:hAnsi="Courier New" w:hint="default"/>
      </w:rPr>
    </w:lvl>
    <w:lvl w:ilvl="2" w:tplc="B000738C" w:tentative="1">
      <w:start w:val="1"/>
      <w:numFmt w:val="bullet"/>
      <w:lvlText w:val=""/>
      <w:lvlJc w:val="left"/>
      <w:pPr>
        <w:tabs>
          <w:tab w:val="num" w:pos="4320"/>
        </w:tabs>
        <w:ind w:left="4320" w:hanging="360"/>
      </w:pPr>
      <w:rPr>
        <w:rFonts w:ascii="Wingdings" w:hAnsi="Wingdings" w:hint="default"/>
      </w:rPr>
    </w:lvl>
    <w:lvl w:ilvl="3" w:tplc="1D00D15C">
      <w:start w:val="1"/>
      <w:numFmt w:val="bullet"/>
      <w:lvlText w:val=""/>
      <w:lvlJc w:val="left"/>
      <w:pPr>
        <w:tabs>
          <w:tab w:val="num" w:pos="5040"/>
        </w:tabs>
        <w:ind w:left="5040" w:hanging="360"/>
      </w:pPr>
      <w:rPr>
        <w:rFonts w:ascii="Symbol" w:hAnsi="Symbol" w:hint="default"/>
      </w:rPr>
    </w:lvl>
    <w:lvl w:ilvl="4" w:tplc="43768926" w:tentative="1">
      <w:start w:val="1"/>
      <w:numFmt w:val="bullet"/>
      <w:lvlText w:val="o"/>
      <w:lvlJc w:val="left"/>
      <w:pPr>
        <w:tabs>
          <w:tab w:val="num" w:pos="5760"/>
        </w:tabs>
        <w:ind w:left="5760" w:hanging="360"/>
      </w:pPr>
      <w:rPr>
        <w:rFonts w:ascii="Courier New" w:hAnsi="Courier New" w:hint="default"/>
      </w:rPr>
    </w:lvl>
    <w:lvl w:ilvl="5" w:tplc="DCE8408C" w:tentative="1">
      <w:start w:val="1"/>
      <w:numFmt w:val="bullet"/>
      <w:lvlText w:val=""/>
      <w:lvlJc w:val="left"/>
      <w:pPr>
        <w:tabs>
          <w:tab w:val="num" w:pos="6480"/>
        </w:tabs>
        <w:ind w:left="6480" w:hanging="360"/>
      </w:pPr>
      <w:rPr>
        <w:rFonts w:ascii="Wingdings" w:hAnsi="Wingdings" w:hint="default"/>
      </w:rPr>
    </w:lvl>
    <w:lvl w:ilvl="6" w:tplc="930C9A20" w:tentative="1">
      <w:start w:val="1"/>
      <w:numFmt w:val="bullet"/>
      <w:lvlText w:val=""/>
      <w:lvlJc w:val="left"/>
      <w:pPr>
        <w:tabs>
          <w:tab w:val="num" w:pos="7200"/>
        </w:tabs>
        <w:ind w:left="7200" w:hanging="360"/>
      </w:pPr>
      <w:rPr>
        <w:rFonts w:ascii="Symbol" w:hAnsi="Symbol" w:hint="default"/>
      </w:rPr>
    </w:lvl>
    <w:lvl w:ilvl="7" w:tplc="407C211C" w:tentative="1">
      <w:start w:val="1"/>
      <w:numFmt w:val="bullet"/>
      <w:lvlText w:val="o"/>
      <w:lvlJc w:val="left"/>
      <w:pPr>
        <w:tabs>
          <w:tab w:val="num" w:pos="7920"/>
        </w:tabs>
        <w:ind w:left="7920" w:hanging="360"/>
      </w:pPr>
      <w:rPr>
        <w:rFonts w:ascii="Courier New" w:hAnsi="Courier New" w:hint="default"/>
      </w:rPr>
    </w:lvl>
    <w:lvl w:ilvl="8" w:tplc="AF480A2E"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08B431E0">
      <w:start w:val="2"/>
      <w:numFmt w:val="upperLetter"/>
      <w:lvlText w:val="%1."/>
      <w:lvlJc w:val="left"/>
      <w:pPr>
        <w:tabs>
          <w:tab w:val="num" w:pos="1440"/>
        </w:tabs>
        <w:ind w:left="1440" w:hanging="720"/>
      </w:pPr>
      <w:rPr>
        <w:rFonts w:hint="default"/>
      </w:rPr>
    </w:lvl>
    <w:lvl w:ilvl="1" w:tplc="A546EB64">
      <w:start w:val="2"/>
      <w:numFmt w:val="lowerRoman"/>
      <w:lvlText w:val="(%2)"/>
      <w:lvlJc w:val="left"/>
      <w:pPr>
        <w:tabs>
          <w:tab w:val="num" w:pos="2160"/>
        </w:tabs>
        <w:ind w:left="2160" w:hanging="720"/>
      </w:pPr>
      <w:rPr>
        <w:rFonts w:hint="default"/>
        <w:b/>
      </w:rPr>
    </w:lvl>
    <w:lvl w:ilvl="2" w:tplc="0E6453E0" w:tentative="1">
      <w:start w:val="1"/>
      <w:numFmt w:val="lowerRoman"/>
      <w:lvlText w:val="%3."/>
      <w:lvlJc w:val="right"/>
      <w:pPr>
        <w:tabs>
          <w:tab w:val="num" w:pos="2520"/>
        </w:tabs>
        <w:ind w:left="2520" w:hanging="180"/>
      </w:pPr>
    </w:lvl>
    <w:lvl w:ilvl="3" w:tplc="53041E4C" w:tentative="1">
      <w:start w:val="1"/>
      <w:numFmt w:val="decimal"/>
      <w:lvlText w:val="%4."/>
      <w:lvlJc w:val="left"/>
      <w:pPr>
        <w:tabs>
          <w:tab w:val="num" w:pos="3240"/>
        </w:tabs>
        <w:ind w:left="3240" w:hanging="360"/>
      </w:pPr>
    </w:lvl>
    <w:lvl w:ilvl="4" w:tplc="93A83F32" w:tentative="1">
      <w:start w:val="1"/>
      <w:numFmt w:val="lowerLetter"/>
      <w:lvlText w:val="%5."/>
      <w:lvlJc w:val="left"/>
      <w:pPr>
        <w:tabs>
          <w:tab w:val="num" w:pos="3960"/>
        </w:tabs>
        <w:ind w:left="3960" w:hanging="360"/>
      </w:pPr>
    </w:lvl>
    <w:lvl w:ilvl="5" w:tplc="C83C4AF0" w:tentative="1">
      <w:start w:val="1"/>
      <w:numFmt w:val="lowerRoman"/>
      <w:lvlText w:val="%6."/>
      <w:lvlJc w:val="right"/>
      <w:pPr>
        <w:tabs>
          <w:tab w:val="num" w:pos="4680"/>
        </w:tabs>
        <w:ind w:left="4680" w:hanging="180"/>
      </w:pPr>
    </w:lvl>
    <w:lvl w:ilvl="6" w:tplc="31EA2840" w:tentative="1">
      <w:start w:val="1"/>
      <w:numFmt w:val="decimal"/>
      <w:lvlText w:val="%7."/>
      <w:lvlJc w:val="left"/>
      <w:pPr>
        <w:tabs>
          <w:tab w:val="num" w:pos="5400"/>
        </w:tabs>
        <w:ind w:left="5400" w:hanging="360"/>
      </w:pPr>
    </w:lvl>
    <w:lvl w:ilvl="7" w:tplc="62AA6C2E" w:tentative="1">
      <w:start w:val="1"/>
      <w:numFmt w:val="lowerLetter"/>
      <w:lvlText w:val="%8."/>
      <w:lvlJc w:val="left"/>
      <w:pPr>
        <w:tabs>
          <w:tab w:val="num" w:pos="6120"/>
        </w:tabs>
        <w:ind w:left="6120" w:hanging="360"/>
      </w:pPr>
    </w:lvl>
    <w:lvl w:ilvl="8" w:tplc="ACB63BF6"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972C0550">
      <w:start w:val="1"/>
      <w:numFmt w:val="bullet"/>
      <w:lvlText w:val=""/>
      <w:lvlJc w:val="left"/>
      <w:pPr>
        <w:tabs>
          <w:tab w:val="num" w:pos="720"/>
        </w:tabs>
        <w:ind w:left="720" w:hanging="360"/>
      </w:pPr>
      <w:rPr>
        <w:rFonts w:ascii="Wingdings" w:hAnsi="Wingdings" w:hint="default"/>
      </w:rPr>
    </w:lvl>
    <w:lvl w:ilvl="1" w:tplc="467C8592">
      <w:start w:val="188"/>
      <w:numFmt w:val="bullet"/>
      <w:lvlText w:val=""/>
      <w:lvlJc w:val="left"/>
      <w:pPr>
        <w:tabs>
          <w:tab w:val="num" w:pos="1440"/>
        </w:tabs>
        <w:ind w:left="1440" w:hanging="360"/>
      </w:pPr>
      <w:rPr>
        <w:rFonts w:ascii="Wingdings" w:hAnsi="Wingdings" w:hint="default"/>
        <w:u w:val="double"/>
      </w:rPr>
    </w:lvl>
    <w:lvl w:ilvl="2" w:tplc="A516A49C">
      <w:start w:val="188"/>
      <w:numFmt w:val="bullet"/>
      <w:lvlText w:val="•"/>
      <w:lvlJc w:val="left"/>
      <w:pPr>
        <w:tabs>
          <w:tab w:val="num" w:pos="2160"/>
        </w:tabs>
        <w:ind w:left="2160" w:hanging="360"/>
      </w:pPr>
      <w:rPr>
        <w:rFonts w:ascii="Times New Roman" w:hAnsi="Times New Roman" w:hint="default"/>
        <w:u w:val="double"/>
      </w:rPr>
    </w:lvl>
    <w:lvl w:ilvl="3" w:tplc="8B64FAC4" w:tentative="1">
      <w:start w:val="1"/>
      <w:numFmt w:val="bullet"/>
      <w:lvlText w:val=""/>
      <w:lvlJc w:val="left"/>
      <w:pPr>
        <w:tabs>
          <w:tab w:val="num" w:pos="2880"/>
        </w:tabs>
        <w:ind w:left="2880" w:hanging="360"/>
      </w:pPr>
      <w:rPr>
        <w:rFonts w:ascii="Wingdings" w:hAnsi="Wingdings" w:hint="default"/>
      </w:rPr>
    </w:lvl>
    <w:lvl w:ilvl="4" w:tplc="E06E8C6C" w:tentative="1">
      <w:start w:val="1"/>
      <w:numFmt w:val="bullet"/>
      <w:lvlText w:val=""/>
      <w:lvlJc w:val="left"/>
      <w:pPr>
        <w:tabs>
          <w:tab w:val="num" w:pos="3600"/>
        </w:tabs>
        <w:ind w:left="3600" w:hanging="360"/>
      </w:pPr>
      <w:rPr>
        <w:rFonts w:ascii="Wingdings" w:hAnsi="Wingdings" w:hint="default"/>
      </w:rPr>
    </w:lvl>
    <w:lvl w:ilvl="5" w:tplc="7D1C1C70" w:tentative="1">
      <w:start w:val="1"/>
      <w:numFmt w:val="bullet"/>
      <w:lvlText w:val=""/>
      <w:lvlJc w:val="left"/>
      <w:pPr>
        <w:tabs>
          <w:tab w:val="num" w:pos="4320"/>
        </w:tabs>
        <w:ind w:left="4320" w:hanging="360"/>
      </w:pPr>
      <w:rPr>
        <w:rFonts w:ascii="Wingdings" w:hAnsi="Wingdings" w:hint="default"/>
      </w:rPr>
    </w:lvl>
    <w:lvl w:ilvl="6" w:tplc="7DC6B04C" w:tentative="1">
      <w:start w:val="1"/>
      <w:numFmt w:val="bullet"/>
      <w:lvlText w:val=""/>
      <w:lvlJc w:val="left"/>
      <w:pPr>
        <w:tabs>
          <w:tab w:val="num" w:pos="5040"/>
        </w:tabs>
        <w:ind w:left="5040" w:hanging="360"/>
      </w:pPr>
      <w:rPr>
        <w:rFonts w:ascii="Wingdings" w:hAnsi="Wingdings" w:hint="default"/>
      </w:rPr>
    </w:lvl>
    <w:lvl w:ilvl="7" w:tplc="EE664B32" w:tentative="1">
      <w:start w:val="1"/>
      <w:numFmt w:val="bullet"/>
      <w:lvlText w:val=""/>
      <w:lvlJc w:val="left"/>
      <w:pPr>
        <w:tabs>
          <w:tab w:val="num" w:pos="5760"/>
        </w:tabs>
        <w:ind w:left="5760" w:hanging="360"/>
      </w:pPr>
      <w:rPr>
        <w:rFonts w:ascii="Wingdings" w:hAnsi="Wingdings" w:hint="default"/>
      </w:rPr>
    </w:lvl>
    <w:lvl w:ilvl="8" w:tplc="0A42E8E4"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3AB6A50E">
      <w:start w:val="1"/>
      <w:numFmt w:val="bullet"/>
      <w:lvlText w:val=""/>
      <w:lvlJc w:val="left"/>
      <w:pPr>
        <w:tabs>
          <w:tab w:val="num" w:pos="720"/>
        </w:tabs>
        <w:ind w:left="720" w:hanging="360"/>
      </w:pPr>
      <w:rPr>
        <w:rFonts w:ascii="Wingdings" w:hAnsi="Wingdings" w:hint="default"/>
      </w:rPr>
    </w:lvl>
    <w:lvl w:ilvl="1" w:tplc="97F635BC">
      <w:start w:val="11463"/>
      <w:numFmt w:val="bullet"/>
      <w:lvlText w:val=""/>
      <w:lvlJc w:val="left"/>
      <w:pPr>
        <w:tabs>
          <w:tab w:val="num" w:pos="1440"/>
        </w:tabs>
        <w:ind w:left="1440" w:hanging="360"/>
      </w:pPr>
      <w:rPr>
        <w:rFonts w:ascii="Wingdings" w:hAnsi="Wingdings" w:hint="default"/>
        <w:u w:val="double"/>
      </w:rPr>
    </w:lvl>
    <w:lvl w:ilvl="2" w:tplc="EC727F98">
      <w:start w:val="11463"/>
      <w:numFmt w:val="bullet"/>
      <w:lvlText w:val="•"/>
      <w:lvlJc w:val="left"/>
      <w:pPr>
        <w:tabs>
          <w:tab w:val="num" w:pos="2160"/>
        </w:tabs>
        <w:ind w:left="2160" w:hanging="360"/>
      </w:pPr>
      <w:rPr>
        <w:rFonts w:ascii="Times New Roman" w:hAnsi="Times New Roman" w:hint="default"/>
      </w:rPr>
    </w:lvl>
    <w:lvl w:ilvl="3" w:tplc="751E8530" w:tentative="1">
      <w:start w:val="1"/>
      <w:numFmt w:val="bullet"/>
      <w:lvlText w:val=""/>
      <w:lvlJc w:val="left"/>
      <w:pPr>
        <w:tabs>
          <w:tab w:val="num" w:pos="2880"/>
        </w:tabs>
        <w:ind w:left="2880" w:hanging="360"/>
      </w:pPr>
      <w:rPr>
        <w:rFonts w:ascii="Wingdings" w:hAnsi="Wingdings" w:hint="default"/>
      </w:rPr>
    </w:lvl>
    <w:lvl w:ilvl="4" w:tplc="FBEAC566" w:tentative="1">
      <w:start w:val="1"/>
      <w:numFmt w:val="bullet"/>
      <w:lvlText w:val=""/>
      <w:lvlJc w:val="left"/>
      <w:pPr>
        <w:tabs>
          <w:tab w:val="num" w:pos="3600"/>
        </w:tabs>
        <w:ind w:left="3600" w:hanging="360"/>
      </w:pPr>
      <w:rPr>
        <w:rFonts w:ascii="Wingdings" w:hAnsi="Wingdings" w:hint="default"/>
      </w:rPr>
    </w:lvl>
    <w:lvl w:ilvl="5" w:tplc="8A8EF4AE" w:tentative="1">
      <w:start w:val="1"/>
      <w:numFmt w:val="bullet"/>
      <w:lvlText w:val=""/>
      <w:lvlJc w:val="left"/>
      <w:pPr>
        <w:tabs>
          <w:tab w:val="num" w:pos="4320"/>
        </w:tabs>
        <w:ind w:left="4320" w:hanging="360"/>
      </w:pPr>
      <w:rPr>
        <w:rFonts w:ascii="Wingdings" w:hAnsi="Wingdings" w:hint="default"/>
      </w:rPr>
    </w:lvl>
    <w:lvl w:ilvl="6" w:tplc="3C807212" w:tentative="1">
      <w:start w:val="1"/>
      <w:numFmt w:val="bullet"/>
      <w:lvlText w:val=""/>
      <w:lvlJc w:val="left"/>
      <w:pPr>
        <w:tabs>
          <w:tab w:val="num" w:pos="5040"/>
        </w:tabs>
        <w:ind w:left="5040" w:hanging="360"/>
      </w:pPr>
      <w:rPr>
        <w:rFonts w:ascii="Wingdings" w:hAnsi="Wingdings" w:hint="default"/>
      </w:rPr>
    </w:lvl>
    <w:lvl w:ilvl="7" w:tplc="887A4AFE" w:tentative="1">
      <w:start w:val="1"/>
      <w:numFmt w:val="bullet"/>
      <w:lvlText w:val=""/>
      <w:lvlJc w:val="left"/>
      <w:pPr>
        <w:tabs>
          <w:tab w:val="num" w:pos="5760"/>
        </w:tabs>
        <w:ind w:left="5760" w:hanging="360"/>
      </w:pPr>
      <w:rPr>
        <w:rFonts w:ascii="Wingdings" w:hAnsi="Wingdings" w:hint="default"/>
      </w:rPr>
    </w:lvl>
    <w:lvl w:ilvl="8" w:tplc="6CC8AAE8"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A030C902">
      <w:start w:val="1"/>
      <w:numFmt w:val="bullet"/>
      <w:lvlText w:val=""/>
      <w:lvlJc w:val="left"/>
      <w:pPr>
        <w:tabs>
          <w:tab w:val="num" w:pos="720"/>
        </w:tabs>
        <w:ind w:left="720" w:hanging="360"/>
      </w:pPr>
      <w:rPr>
        <w:rFonts w:ascii="Wingdings" w:hAnsi="Wingdings" w:hint="default"/>
      </w:rPr>
    </w:lvl>
    <w:lvl w:ilvl="1" w:tplc="FD14AEEE">
      <w:start w:val="188"/>
      <w:numFmt w:val="bullet"/>
      <w:lvlText w:val=""/>
      <w:lvlJc w:val="left"/>
      <w:pPr>
        <w:tabs>
          <w:tab w:val="num" w:pos="1440"/>
        </w:tabs>
        <w:ind w:left="1440" w:hanging="360"/>
      </w:pPr>
      <w:rPr>
        <w:rFonts w:ascii="Wingdings" w:hAnsi="Wingdings" w:hint="default"/>
        <w:u w:val="double"/>
      </w:rPr>
    </w:lvl>
    <w:lvl w:ilvl="2" w:tplc="6322716E">
      <w:start w:val="188"/>
      <w:numFmt w:val="bullet"/>
      <w:lvlText w:val="•"/>
      <w:lvlJc w:val="left"/>
      <w:pPr>
        <w:tabs>
          <w:tab w:val="num" w:pos="2160"/>
        </w:tabs>
        <w:ind w:left="2160" w:hanging="360"/>
      </w:pPr>
      <w:rPr>
        <w:rFonts w:ascii="Times New Roman" w:hAnsi="Times New Roman" w:hint="default"/>
        <w:u w:val="none"/>
      </w:rPr>
    </w:lvl>
    <w:lvl w:ilvl="3" w:tplc="16C85D9E" w:tentative="1">
      <w:start w:val="1"/>
      <w:numFmt w:val="bullet"/>
      <w:lvlText w:val=""/>
      <w:lvlJc w:val="left"/>
      <w:pPr>
        <w:tabs>
          <w:tab w:val="num" w:pos="2880"/>
        </w:tabs>
        <w:ind w:left="2880" w:hanging="360"/>
      </w:pPr>
      <w:rPr>
        <w:rFonts w:ascii="Wingdings" w:hAnsi="Wingdings" w:hint="default"/>
      </w:rPr>
    </w:lvl>
    <w:lvl w:ilvl="4" w:tplc="E8F8084E" w:tentative="1">
      <w:start w:val="1"/>
      <w:numFmt w:val="bullet"/>
      <w:lvlText w:val=""/>
      <w:lvlJc w:val="left"/>
      <w:pPr>
        <w:tabs>
          <w:tab w:val="num" w:pos="3600"/>
        </w:tabs>
        <w:ind w:left="3600" w:hanging="360"/>
      </w:pPr>
      <w:rPr>
        <w:rFonts w:ascii="Wingdings" w:hAnsi="Wingdings" w:hint="default"/>
      </w:rPr>
    </w:lvl>
    <w:lvl w:ilvl="5" w:tplc="07C09A64" w:tentative="1">
      <w:start w:val="1"/>
      <w:numFmt w:val="bullet"/>
      <w:lvlText w:val=""/>
      <w:lvlJc w:val="left"/>
      <w:pPr>
        <w:tabs>
          <w:tab w:val="num" w:pos="4320"/>
        </w:tabs>
        <w:ind w:left="4320" w:hanging="360"/>
      </w:pPr>
      <w:rPr>
        <w:rFonts w:ascii="Wingdings" w:hAnsi="Wingdings" w:hint="default"/>
      </w:rPr>
    </w:lvl>
    <w:lvl w:ilvl="6" w:tplc="85FA63E2" w:tentative="1">
      <w:start w:val="1"/>
      <w:numFmt w:val="bullet"/>
      <w:lvlText w:val=""/>
      <w:lvlJc w:val="left"/>
      <w:pPr>
        <w:tabs>
          <w:tab w:val="num" w:pos="5040"/>
        </w:tabs>
        <w:ind w:left="5040" w:hanging="360"/>
      </w:pPr>
      <w:rPr>
        <w:rFonts w:ascii="Wingdings" w:hAnsi="Wingdings" w:hint="default"/>
      </w:rPr>
    </w:lvl>
    <w:lvl w:ilvl="7" w:tplc="6E4A7FE4" w:tentative="1">
      <w:start w:val="1"/>
      <w:numFmt w:val="bullet"/>
      <w:lvlText w:val=""/>
      <w:lvlJc w:val="left"/>
      <w:pPr>
        <w:tabs>
          <w:tab w:val="num" w:pos="5760"/>
        </w:tabs>
        <w:ind w:left="5760" w:hanging="360"/>
      </w:pPr>
      <w:rPr>
        <w:rFonts w:ascii="Wingdings" w:hAnsi="Wingdings" w:hint="default"/>
      </w:rPr>
    </w:lvl>
    <w:lvl w:ilvl="8" w:tplc="CC5A2EA0"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23533A"/>
    <w:rsid w:val="0023533A"/>
    <w:rsid w:val="00B253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49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23533A"/>
    <w:pPr>
      <w:jc w:val="center"/>
    </w:pPr>
    <w:rPr>
      <w:b/>
      <w:bCs/>
    </w:rPr>
  </w:style>
  <w:style w:type="paragraph" w:styleId="Footer">
    <w:name w:val="footer"/>
    <w:basedOn w:val="Normal"/>
    <w:rsid w:val="0023533A"/>
    <w:pPr>
      <w:tabs>
        <w:tab w:val="center" w:pos="4320"/>
        <w:tab w:val="right" w:pos="8640"/>
      </w:tabs>
    </w:pPr>
  </w:style>
  <w:style w:type="paragraph" w:styleId="Subtitle">
    <w:name w:val="Subtitle"/>
    <w:basedOn w:val="Normal"/>
    <w:qFormat/>
    <w:rsid w:val="0023533A"/>
    <w:pPr>
      <w:widowControl w:val="0"/>
      <w:tabs>
        <w:tab w:val="left" w:pos="720"/>
        <w:tab w:val="left" w:pos="1440"/>
        <w:tab w:val="right" w:pos="9360"/>
      </w:tabs>
      <w:ind w:left="1440" w:hanging="1440"/>
    </w:pPr>
    <w:rPr>
      <w:b/>
      <w:szCs w:val="20"/>
    </w:rPr>
  </w:style>
  <w:style w:type="paragraph" w:customStyle="1" w:styleId="WPDefaults">
    <w:name w:val="WP Defaults"/>
    <w:rsid w:val="00235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23533A"/>
    <w:pPr>
      <w:keepLines/>
    </w:pPr>
  </w:style>
  <w:style w:type="paragraph" w:styleId="FootnoteText">
    <w:name w:val="footnote text"/>
    <w:basedOn w:val="Normal"/>
    <w:semiHidden/>
    <w:rsid w:val="0023533A"/>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