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16" w:rsidRPr="00BA11E5" w:rsidRDefault="00E31927" w:rsidP="00857EF7">
      <w:pPr>
        <w:pStyle w:val="Heading2"/>
      </w:pPr>
      <w:bookmarkStart w:id="0" w:name="_Toc263691845"/>
      <w:r>
        <w:t>26.4</w:t>
      </w:r>
      <w:r w:rsidRPr="00BA11E5">
        <w:tab/>
        <w:t>Unsecured Credit</w:t>
      </w:r>
      <w:bookmarkEnd w:id="0"/>
    </w:p>
    <w:p w:rsidR="00A74F16" w:rsidRPr="000234A5" w:rsidRDefault="00E31927" w:rsidP="00933259">
      <w:pPr>
        <w:pStyle w:val="Bodypara"/>
        <w:rPr>
          <w:bCs/>
        </w:rPr>
      </w:pPr>
      <w:r w:rsidRPr="000234A5">
        <w:rPr>
          <w:bCs/>
        </w:rPr>
        <w:t xml:space="preserve">A Customer may use Unsecured Credit to satisfy any part of its Operating </w:t>
      </w:r>
      <w:r w:rsidRPr="000234A5">
        <w:t>Requirement</w:t>
      </w:r>
      <w:r w:rsidRPr="000234A5">
        <w:rPr>
          <w:bCs/>
        </w:rPr>
        <w:t xml:space="preserve"> or Bidding Requirement other than any credit requirement for bidding on or holding TCCs incurred on or after November 12, 2009.  Notwithstanding the preceding sentence, a Customer may use Unsecured Credit to satisfy its credit requirement for holding Fixe</w:t>
      </w:r>
      <w:r w:rsidRPr="000234A5">
        <w:rPr>
          <w:bCs/>
        </w:rPr>
        <w:t xml:space="preserve">d Price TCCs </w:t>
      </w:r>
      <w:r w:rsidRPr="0084011B">
        <w:rPr>
          <w:bCs/>
        </w:rPr>
        <w:t xml:space="preserve">obtained pursuant to Section </w:t>
      </w:r>
      <w:r w:rsidRPr="0084011B">
        <w:rPr>
          <w:bCs/>
        </w:rPr>
        <w:t xml:space="preserve">19.2.1 </w:t>
      </w:r>
      <w:r w:rsidRPr="0084011B">
        <w:rPr>
          <w:bCs/>
        </w:rPr>
        <w:t xml:space="preserve">of Attachment </w:t>
      </w:r>
      <w:r w:rsidRPr="0084011B">
        <w:rPr>
          <w:bCs/>
        </w:rPr>
        <w:t xml:space="preserve">M </w:t>
      </w:r>
      <w:r w:rsidRPr="0084011B">
        <w:rPr>
          <w:bCs/>
        </w:rPr>
        <w:t>to the OATT.</w:t>
      </w:r>
    </w:p>
    <w:p w:rsidR="00A74F16" w:rsidRPr="000234A5" w:rsidRDefault="00E31927" w:rsidP="00933259">
      <w:pPr>
        <w:pStyle w:val="Bodypara"/>
        <w:rPr>
          <w:bCs/>
        </w:rPr>
      </w:pPr>
      <w:r w:rsidRPr="000234A5">
        <w:t>Upon</w:t>
      </w:r>
      <w:r w:rsidRPr="000234A5">
        <w:rPr>
          <w:bCs/>
        </w:rPr>
        <w:t xml:space="preserve"> written request of a Customer, the ISO shall determine the amount of Unsecured Credit to be granted to the Customer, if any, in accordance with the ISO’s creditworthiness re</w:t>
      </w:r>
      <w:r w:rsidRPr="000234A5">
        <w:rPr>
          <w:bCs/>
        </w:rPr>
        <w:t>quirements.  Upon a Customer’s written request, the ISO will provide a written explanation for any changes in the amount of the Customer’s Unsecured Credit.</w:t>
      </w:r>
    </w:p>
    <w:p w:rsidR="00857EF7" w:rsidRDefault="00E31927" w:rsidP="00857EF7">
      <w:pPr>
        <w:pStyle w:val="Heading3"/>
        <w:rPr>
          <w:bCs/>
        </w:rPr>
      </w:pPr>
      <w:bookmarkStart w:id="1" w:name="_Toc263691846"/>
      <w:r>
        <w:t>26.4.1</w:t>
      </w:r>
      <w:r w:rsidRPr="00BA11E5">
        <w:tab/>
        <w:t>Eligibility</w:t>
      </w:r>
      <w:bookmarkEnd w:id="1"/>
      <w:r w:rsidRPr="00BA11E5">
        <w:rPr>
          <w:bCs/>
        </w:rPr>
        <w:t xml:space="preserve">  </w:t>
      </w:r>
    </w:p>
    <w:p w:rsidR="00A74F16" w:rsidRPr="00BA11E5" w:rsidRDefault="00E31927" w:rsidP="00857EF7">
      <w:pPr>
        <w:pStyle w:val="Bodypara"/>
      </w:pPr>
      <w:r w:rsidRPr="00BA11E5">
        <w:t>A Customer may be eligible to receive Unsecured Credi</w:t>
      </w:r>
      <w:r>
        <w:t>t if the Customer (i) (a)</w:t>
      </w:r>
      <w:r>
        <w:t xml:space="preserve"> is an</w:t>
      </w:r>
      <w:r w:rsidRPr="00BA11E5">
        <w:t xml:space="preserve"> Investment Grade Customer, or (b) is an Unrated Customer that is deemed an Investment Grade Customer pursuant to an Equivalency Rating, and (ii) (a) has actively participated in the ISO-Administered markets and paid when due all of its invoices duri</w:t>
      </w:r>
      <w:r w:rsidRPr="00BA11E5">
        <w:t>ng the immediately preceding six months, or (b) has actively participated in the markets of another independent system operator or regional transmission organization and has paid when due all of its invoices during the immediately preceding six months.  An</w:t>
      </w:r>
      <w:r w:rsidRPr="00BA11E5">
        <w:t xml:space="preserve">y Customer relying on its payment history in another market to fulfill the requirement of Section </w:t>
      </w:r>
      <w:r w:rsidRPr="00C60188">
        <w:t>26.4.3.2</w:t>
      </w:r>
      <w:r w:rsidRPr="00BA11E5">
        <w:t xml:space="preserve"> just provide evidence satisfactory to the ISO of such payment history.</w:t>
      </w:r>
    </w:p>
    <w:p w:rsidR="00857EF7" w:rsidRDefault="00E31927" w:rsidP="00857EF7">
      <w:pPr>
        <w:pStyle w:val="Heading3"/>
        <w:rPr>
          <w:bCs/>
        </w:rPr>
      </w:pPr>
      <w:bookmarkStart w:id="2" w:name="_Toc263691847"/>
      <w:r>
        <w:t>26.4.2</w:t>
      </w:r>
      <w:r w:rsidRPr="00BA11E5">
        <w:tab/>
        <w:t>Market Concentration Cap</w:t>
      </w:r>
      <w:bookmarkEnd w:id="2"/>
      <w:r w:rsidRPr="00BA11E5">
        <w:rPr>
          <w:bCs/>
        </w:rPr>
        <w:t xml:space="preserve"> </w:t>
      </w:r>
    </w:p>
    <w:p w:rsidR="00790B5A" w:rsidRPr="000234A5" w:rsidRDefault="00E31927" w:rsidP="00857EF7">
      <w:pPr>
        <w:pStyle w:val="Bodypara"/>
        <w:rPr>
          <w:bCs/>
        </w:rPr>
      </w:pPr>
      <w:r w:rsidRPr="00BA11E5">
        <w:t>A Customer’s Unsecured Credit shall not excee</w:t>
      </w:r>
      <w:r w:rsidRPr="00BA11E5">
        <w:t xml:space="preserve">d one hundred and fifty million dollars ($150M) unless the Customer:  (i) is an Investment </w:t>
      </w:r>
      <w:r w:rsidRPr="000234A5">
        <w:rPr>
          <w:bCs/>
        </w:rPr>
        <w:t xml:space="preserve">Grade Customer, (ii) provides evidence to the ISO, in a form </w:t>
      </w:r>
      <w:r w:rsidRPr="000234A5">
        <w:rPr>
          <w:bCs/>
        </w:rPr>
        <w:lastRenderedPageBreak/>
        <w:t>satisfactory to the ISO in its sole discretion, that the Customer has a legal right to recover its costs</w:t>
      </w:r>
      <w:r w:rsidRPr="000234A5">
        <w:rPr>
          <w:bCs/>
        </w:rPr>
        <w:t xml:space="preserve"> for supplying Energy, Ancillary Services, and Capacity to end-users, and (iii) </w:t>
      </w:r>
      <w:bookmarkStart w:id="3" w:name="OLE_LINK5"/>
      <w:bookmarkStart w:id="4" w:name="OLE_LINK6"/>
      <w:r w:rsidRPr="000234A5">
        <w:rPr>
          <w:bCs/>
        </w:rPr>
        <w:t xml:space="preserve">uses its Unsecured Credit to meet its Native </w:t>
      </w:r>
      <w:r w:rsidRPr="000234A5">
        <w:t>Load</w:t>
      </w:r>
      <w:r w:rsidRPr="000234A5">
        <w:rPr>
          <w:bCs/>
        </w:rPr>
        <w:t xml:space="preserve"> Credit Requirements only</w:t>
      </w:r>
      <w:bookmarkEnd w:id="3"/>
      <w:bookmarkEnd w:id="4"/>
      <w:r w:rsidRPr="000234A5">
        <w:rPr>
          <w:bCs/>
        </w:rPr>
        <w:t xml:space="preserve">.  For NYPA, Native Load Customers include all wholesale and retail power customers for which NYPA is </w:t>
      </w:r>
      <w:r w:rsidRPr="000234A5">
        <w:rPr>
          <w:bCs/>
        </w:rPr>
        <w:t>under contract to provide electric service.  A Customer that satisfies all of the conditions in clauses (i),</w:t>
      </w:r>
      <w:r>
        <w:rPr>
          <w:bCs/>
        </w:rPr>
        <w:t xml:space="preserve"> (ii) and (iii) of this Section </w:t>
      </w:r>
      <w:r w:rsidRPr="00C60188">
        <w:t>26.4.2</w:t>
      </w:r>
      <w:r w:rsidRPr="000234A5">
        <w:rPr>
          <w:bCs/>
        </w:rPr>
        <w:t xml:space="preserve"> may receive Unsecured Credit in excess of one hundred and fifty million dollars ($150M) but the Customer’s Un</w:t>
      </w:r>
      <w:r w:rsidRPr="000234A5">
        <w:rPr>
          <w:bCs/>
        </w:rPr>
        <w:t xml:space="preserve">secured Credit shall not exceed two hundred and fifty million dollars ($250M).  Once Market Participants approve the indexing methodology for adjusting these dollar limits, then the indexing methodology will be set forth in ISO Procedures and these dollar </w:t>
      </w:r>
      <w:r w:rsidRPr="000234A5">
        <w:rPr>
          <w:bCs/>
        </w:rPr>
        <w:t>limits will be adjusted annually in ac</w:t>
      </w:r>
      <w:r w:rsidRPr="000234A5">
        <w:rPr>
          <w:bCs/>
        </w:rPr>
        <w:t>cordance with that methodology.</w:t>
      </w:r>
    </w:p>
    <w:p w:rsidR="00790B5A" w:rsidRPr="009732E4" w:rsidRDefault="00E31927" w:rsidP="00857EF7">
      <w:pPr>
        <w:pStyle w:val="Heading3"/>
        <w:rPr>
          <w:u w:val="double"/>
        </w:rPr>
      </w:pPr>
      <w:bookmarkStart w:id="5" w:name="_Toc263691848"/>
      <w:r>
        <w:t>26.4.3</w:t>
      </w:r>
      <w:r>
        <w:tab/>
        <w:t>Determination of Unsecured Credit</w:t>
      </w:r>
      <w:bookmarkEnd w:id="5"/>
      <w:r>
        <w:t xml:space="preserve"> </w:t>
      </w:r>
    </w:p>
    <w:p w:rsidR="000234A5" w:rsidRDefault="00E31927" w:rsidP="001D14B3">
      <w:pPr>
        <w:pStyle w:val="Heading4"/>
      </w:pPr>
      <w:bookmarkStart w:id="6" w:name="_Toc263691849"/>
      <w:r>
        <w:t>26.4.3.1</w:t>
      </w:r>
      <w:r w:rsidRPr="00BA11E5">
        <w:tab/>
        <w:t>Starting Point</w:t>
      </w:r>
      <w:bookmarkEnd w:id="6"/>
    </w:p>
    <w:p w:rsidR="00790B5A" w:rsidRPr="001D14B3" w:rsidRDefault="00E31927" w:rsidP="001D14B3">
      <w:pPr>
        <w:pStyle w:val="Bodypara"/>
        <w:rPr>
          <w:bCs/>
        </w:rPr>
      </w:pPr>
      <w:r w:rsidRPr="001D14B3">
        <w:rPr>
          <w:bCs/>
        </w:rPr>
        <w:t xml:space="preserve">The starting point for determining the amount of Unsecured Credit to be granted to an </w:t>
      </w:r>
      <w:r w:rsidRPr="001D14B3">
        <w:t>Investment</w:t>
      </w:r>
      <w:r w:rsidRPr="001D14B3">
        <w:rPr>
          <w:bCs/>
        </w:rPr>
        <w:t xml:space="preserve"> Grade Customer,</w:t>
      </w:r>
      <w:r w:rsidRPr="001D14B3">
        <w:t xml:space="preserve"> </w:t>
      </w:r>
      <w:r w:rsidRPr="001D14B3">
        <w:rPr>
          <w:bCs/>
        </w:rPr>
        <w:t xml:space="preserve">except </w:t>
      </w:r>
      <w:r w:rsidRPr="001D14B3">
        <w:rPr>
          <w:bCs/>
        </w:rPr>
        <w:t xml:space="preserve">as provided otherwise in Section </w:t>
      </w:r>
      <w:r w:rsidRPr="00C60188">
        <w:t>26.4.3.6</w:t>
      </w:r>
      <w:r w:rsidRPr="001D14B3">
        <w:rPr>
          <w:bCs/>
        </w:rPr>
        <w:t xml:space="preserve"> of this Attachment K, shall be a percentage of its Tangible Net Worth, as </w:t>
      </w:r>
      <w:r w:rsidRPr="001D14B3">
        <w:t>indicated</w:t>
      </w:r>
      <w:r w:rsidRPr="001D14B3">
        <w:rPr>
          <w:bCs/>
        </w:rPr>
        <w:t xml:space="preserve"> on the matrix contained in Table K-1, subject to the Market Concentration Cap.  </w:t>
      </w:r>
    </w:p>
    <w:p w:rsidR="000234A5" w:rsidRDefault="00E31927" w:rsidP="001D14B3">
      <w:pPr>
        <w:pStyle w:val="Heading4"/>
      </w:pPr>
      <w:bookmarkStart w:id="7" w:name="_Toc263691850"/>
      <w:r>
        <w:t>26.4.3.2</w:t>
      </w:r>
      <w:r w:rsidRPr="00BA11E5">
        <w:tab/>
        <w:t>Adjustment to Starting Point</w:t>
      </w:r>
      <w:bookmarkEnd w:id="7"/>
      <w:r w:rsidRPr="00BA11E5">
        <w:t xml:space="preserve">  </w:t>
      </w:r>
    </w:p>
    <w:p w:rsidR="00790B5A" w:rsidRPr="00BA11E5" w:rsidRDefault="00E31927" w:rsidP="001D14B3">
      <w:pPr>
        <w:pStyle w:val="Bodypara"/>
      </w:pPr>
      <w:r w:rsidRPr="00BA11E5">
        <w:t xml:space="preserve">The ISO </w:t>
      </w:r>
      <w:r w:rsidRPr="00BA11E5">
        <w:t>shall conduct a Credit Assessment of the Customer and shall determine the amount of Unsecured Credit that it shall grant to the Customer by adjusting the Customer’s starting point in accordance with the following</w:t>
      </w:r>
      <w:r w:rsidRPr="009731B7">
        <w:t xml:space="preserve"> </w:t>
      </w:r>
      <w:r w:rsidRPr="00BA11E5">
        <w:t>table:</w:t>
      </w:r>
    </w:p>
    <w:p w:rsidR="00790B5A" w:rsidRPr="000234A5" w:rsidRDefault="00E31927" w:rsidP="001D14B3">
      <w:pPr>
        <w:pStyle w:val="Tablecaption"/>
        <w:keepNext/>
      </w:pPr>
      <w:r w:rsidRPr="000234A5">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380"/>
        <w:gridCol w:w="1620"/>
        <w:gridCol w:w="1530"/>
        <w:gridCol w:w="2879"/>
      </w:tblGrid>
      <w:tr w:rsidR="00CC5E8A" w:rsidTr="001D14B3">
        <w:trPr>
          <w:trHeight w:val="585"/>
          <w:tblCellSpacing w:w="0" w:type="dxa"/>
        </w:trPr>
        <w:tc>
          <w:tcPr>
            <w:tcW w:w="1380" w:type="dxa"/>
            <w:vAlign w:val="bottom"/>
          </w:tcPr>
          <w:p w:rsidR="00790B5A" w:rsidRPr="00BA11E5" w:rsidRDefault="00E31927" w:rsidP="00C45D3D">
            <w:pPr>
              <w:ind w:left="60"/>
              <w:jc w:val="center"/>
            </w:pPr>
            <w:r w:rsidRPr="00BA11E5">
              <w:rPr>
                <w:b/>
                <w:bCs/>
              </w:rPr>
              <w:t>Score Buck</w:t>
            </w:r>
            <w:r w:rsidRPr="00BA11E5">
              <w:rPr>
                <w:b/>
                <w:bCs/>
              </w:rPr>
              <w:t>et</w:t>
            </w:r>
          </w:p>
        </w:tc>
        <w:tc>
          <w:tcPr>
            <w:tcW w:w="1620" w:type="dxa"/>
            <w:vAlign w:val="bottom"/>
          </w:tcPr>
          <w:p w:rsidR="00790B5A" w:rsidRPr="00BA11E5" w:rsidRDefault="00E31927" w:rsidP="00C45D3D">
            <w:pPr>
              <w:jc w:val="center"/>
            </w:pPr>
            <w:smartTag w:uri="urn:schemas-microsoft-com:office:smarttags" w:element="place">
              <w:smartTag w:uri="urn:schemas-microsoft-com:office:smarttags" w:element="PlaceName">
                <w:r w:rsidRPr="00BA11E5">
                  <w:rPr>
                    <w:b/>
                    <w:bCs/>
                  </w:rPr>
                  <w:t>Public</w:t>
                </w:r>
              </w:smartTag>
              <w:r w:rsidRPr="00BA11E5">
                <w:rPr>
                  <w:b/>
                  <w:bCs/>
                </w:rPr>
                <w:t xml:space="preserve"> </w:t>
              </w:r>
              <w:smartTag w:uri="urn:schemas-microsoft-com:office:smarttags" w:element="PlaceName">
                <w:r w:rsidRPr="00BA11E5">
                  <w:rPr>
                    <w:b/>
                    <w:bCs/>
                  </w:rPr>
                  <w:t>Score</w:t>
                </w:r>
              </w:smartTag>
              <w:r w:rsidRPr="00BA11E5">
                <w:rPr>
                  <w:b/>
                  <w:bCs/>
                </w:rPr>
                <w:t xml:space="preserve"> </w:t>
              </w:r>
              <w:smartTag w:uri="urn:schemas-microsoft-com:office:smarttags" w:element="PlaceType">
                <w:r w:rsidRPr="00BA11E5">
                  <w:rPr>
                    <w:b/>
                    <w:bCs/>
                  </w:rPr>
                  <w:t>Range</w:t>
                </w:r>
              </w:smartTag>
            </w:smartTag>
          </w:p>
        </w:tc>
        <w:tc>
          <w:tcPr>
            <w:tcW w:w="1530" w:type="dxa"/>
            <w:vAlign w:val="bottom"/>
          </w:tcPr>
          <w:p w:rsidR="00790B5A" w:rsidRPr="00BA11E5" w:rsidRDefault="00E31927" w:rsidP="00C45D3D">
            <w:pPr>
              <w:jc w:val="center"/>
            </w:pPr>
            <w:smartTag w:uri="urn:schemas-microsoft-com:office:smarttags" w:element="place">
              <w:smartTag w:uri="urn:schemas-microsoft-com:office:smarttags" w:element="PlaceName">
                <w:r w:rsidRPr="00BA11E5">
                  <w:rPr>
                    <w:b/>
                    <w:bCs/>
                  </w:rPr>
                  <w:t>Private</w:t>
                </w:r>
              </w:smartTag>
              <w:r w:rsidRPr="00BA11E5">
                <w:rPr>
                  <w:b/>
                  <w:bCs/>
                </w:rPr>
                <w:t xml:space="preserve"> </w:t>
              </w:r>
              <w:smartTag w:uri="urn:schemas-microsoft-com:office:smarttags" w:element="PlaceName">
                <w:r w:rsidRPr="00BA11E5">
                  <w:rPr>
                    <w:b/>
                    <w:bCs/>
                  </w:rPr>
                  <w:t>Score</w:t>
                </w:r>
              </w:smartTag>
              <w:r w:rsidRPr="00BA11E5">
                <w:rPr>
                  <w:b/>
                  <w:bCs/>
                </w:rPr>
                <w:t xml:space="preserve"> </w:t>
              </w:r>
              <w:smartTag w:uri="urn:schemas-microsoft-com:office:smarttags" w:element="PlaceType">
                <w:r w:rsidRPr="00BA11E5">
                  <w:rPr>
                    <w:b/>
                    <w:bCs/>
                  </w:rPr>
                  <w:t>Range</w:t>
                </w:r>
              </w:smartTag>
            </w:smartTag>
          </w:p>
        </w:tc>
        <w:tc>
          <w:tcPr>
            <w:tcW w:w="2879" w:type="dxa"/>
            <w:vAlign w:val="bottom"/>
          </w:tcPr>
          <w:p w:rsidR="00790B5A" w:rsidRPr="00BA11E5" w:rsidRDefault="00E31927" w:rsidP="00C45D3D">
            <w:pPr>
              <w:jc w:val="center"/>
              <w:rPr>
                <w:b/>
                <w:bCs/>
              </w:rPr>
            </w:pPr>
            <w:r w:rsidRPr="00BA11E5">
              <w:rPr>
                <w:b/>
                <w:bCs/>
              </w:rPr>
              <w:t>Starting Point</w:t>
            </w:r>
          </w:p>
          <w:p w:rsidR="00790B5A" w:rsidRPr="00BA11E5" w:rsidRDefault="00E31927" w:rsidP="00C45D3D">
            <w:pPr>
              <w:jc w:val="center"/>
            </w:pPr>
            <w:r w:rsidRPr="00BA11E5">
              <w:rPr>
                <w:b/>
                <w:bCs/>
              </w:rPr>
              <w:lastRenderedPageBreak/>
              <w:t>Adjustment</w:t>
            </w:r>
          </w:p>
        </w:tc>
      </w:tr>
      <w:tr w:rsidR="00CC5E8A" w:rsidTr="001D14B3">
        <w:trPr>
          <w:trHeight w:val="315"/>
          <w:tblCellSpacing w:w="0" w:type="dxa"/>
        </w:trPr>
        <w:tc>
          <w:tcPr>
            <w:tcW w:w="1380" w:type="dxa"/>
          </w:tcPr>
          <w:p w:rsidR="00790B5A" w:rsidRPr="00BA11E5" w:rsidRDefault="00E31927" w:rsidP="00C45D3D">
            <w:pPr>
              <w:ind w:left="60"/>
              <w:jc w:val="center"/>
            </w:pPr>
            <w:r w:rsidRPr="00BA11E5">
              <w:lastRenderedPageBreak/>
              <w:t>1</w:t>
            </w:r>
          </w:p>
        </w:tc>
        <w:tc>
          <w:tcPr>
            <w:tcW w:w="1620" w:type="dxa"/>
          </w:tcPr>
          <w:p w:rsidR="00790B5A" w:rsidRPr="00BA11E5" w:rsidRDefault="00E31927" w:rsidP="00C45D3D">
            <w:pPr>
              <w:jc w:val="center"/>
            </w:pPr>
            <w:r w:rsidRPr="00BA11E5">
              <w:t>0.00  –  0.33</w:t>
            </w:r>
          </w:p>
        </w:tc>
        <w:tc>
          <w:tcPr>
            <w:tcW w:w="1530" w:type="dxa"/>
          </w:tcPr>
          <w:p w:rsidR="00790B5A" w:rsidRPr="00BA11E5" w:rsidRDefault="00E31927" w:rsidP="00C45D3D">
            <w:pPr>
              <w:jc w:val="center"/>
            </w:pPr>
            <w:r w:rsidRPr="00BA11E5">
              <w:t>0.00  –  0.31</w:t>
            </w:r>
          </w:p>
        </w:tc>
        <w:tc>
          <w:tcPr>
            <w:tcW w:w="2879" w:type="dxa"/>
          </w:tcPr>
          <w:p w:rsidR="00790B5A" w:rsidRPr="00BA11E5" w:rsidRDefault="00E31927" w:rsidP="00C45D3D">
            <w:pPr>
              <w:jc w:val="center"/>
            </w:pPr>
            <w:r w:rsidRPr="00BA11E5">
              <w:t>0%</w:t>
            </w:r>
          </w:p>
        </w:tc>
      </w:tr>
      <w:tr w:rsidR="00CC5E8A" w:rsidTr="001D14B3">
        <w:trPr>
          <w:trHeight w:val="285"/>
          <w:tblCellSpacing w:w="0" w:type="dxa"/>
        </w:trPr>
        <w:tc>
          <w:tcPr>
            <w:tcW w:w="1380" w:type="dxa"/>
          </w:tcPr>
          <w:p w:rsidR="00790B5A" w:rsidRPr="00BA11E5" w:rsidRDefault="00E31927" w:rsidP="00C45D3D">
            <w:pPr>
              <w:ind w:left="60"/>
              <w:jc w:val="center"/>
            </w:pPr>
            <w:r w:rsidRPr="00BA11E5">
              <w:t>2</w:t>
            </w:r>
          </w:p>
        </w:tc>
        <w:tc>
          <w:tcPr>
            <w:tcW w:w="1620" w:type="dxa"/>
          </w:tcPr>
          <w:p w:rsidR="00790B5A" w:rsidRPr="00BA11E5" w:rsidRDefault="00E31927" w:rsidP="00C45D3D">
            <w:pPr>
              <w:jc w:val="center"/>
            </w:pPr>
            <w:r w:rsidRPr="00BA11E5">
              <w:t>0.34  –  0.40</w:t>
            </w:r>
          </w:p>
        </w:tc>
        <w:tc>
          <w:tcPr>
            <w:tcW w:w="1530" w:type="dxa"/>
          </w:tcPr>
          <w:p w:rsidR="00790B5A" w:rsidRPr="00BA11E5" w:rsidRDefault="00E31927" w:rsidP="00C45D3D">
            <w:pPr>
              <w:jc w:val="center"/>
            </w:pPr>
            <w:r w:rsidRPr="00BA11E5">
              <w:t>0.32  –  0.39</w:t>
            </w:r>
          </w:p>
        </w:tc>
        <w:tc>
          <w:tcPr>
            <w:tcW w:w="2879" w:type="dxa"/>
          </w:tcPr>
          <w:p w:rsidR="00790B5A" w:rsidRPr="00BA11E5" w:rsidRDefault="00E31927" w:rsidP="00C45D3D">
            <w:pPr>
              <w:ind w:left="974" w:hanging="974"/>
              <w:jc w:val="center"/>
            </w:pPr>
            <w:r w:rsidRPr="00BA11E5">
              <w:t>-20%</w:t>
            </w:r>
          </w:p>
        </w:tc>
      </w:tr>
      <w:tr w:rsidR="00CC5E8A" w:rsidTr="001D14B3">
        <w:trPr>
          <w:trHeight w:val="285"/>
          <w:tblCellSpacing w:w="0" w:type="dxa"/>
        </w:trPr>
        <w:tc>
          <w:tcPr>
            <w:tcW w:w="1380" w:type="dxa"/>
          </w:tcPr>
          <w:p w:rsidR="00790B5A" w:rsidRPr="00BA11E5" w:rsidRDefault="00E31927" w:rsidP="00C45D3D">
            <w:pPr>
              <w:ind w:left="60"/>
              <w:jc w:val="center"/>
            </w:pPr>
            <w:r w:rsidRPr="00BA11E5">
              <w:t>3</w:t>
            </w:r>
          </w:p>
        </w:tc>
        <w:tc>
          <w:tcPr>
            <w:tcW w:w="1620" w:type="dxa"/>
          </w:tcPr>
          <w:p w:rsidR="00790B5A" w:rsidRPr="00BA11E5" w:rsidRDefault="00E31927" w:rsidP="00C45D3D">
            <w:pPr>
              <w:jc w:val="center"/>
            </w:pPr>
            <w:r w:rsidRPr="00BA11E5">
              <w:t>0.41  –  0.45</w:t>
            </w:r>
          </w:p>
        </w:tc>
        <w:tc>
          <w:tcPr>
            <w:tcW w:w="1530" w:type="dxa"/>
          </w:tcPr>
          <w:p w:rsidR="00790B5A" w:rsidRPr="00BA11E5" w:rsidRDefault="00E31927" w:rsidP="00C45D3D">
            <w:pPr>
              <w:jc w:val="center"/>
            </w:pPr>
            <w:r w:rsidRPr="00BA11E5">
              <w:t>0.40  –  0.43</w:t>
            </w:r>
          </w:p>
        </w:tc>
        <w:tc>
          <w:tcPr>
            <w:tcW w:w="2879" w:type="dxa"/>
          </w:tcPr>
          <w:p w:rsidR="00790B5A" w:rsidRPr="00BA11E5" w:rsidRDefault="00E31927" w:rsidP="00C45D3D">
            <w:pPr>
              <w:jc w:val="center"/>
            </w:pPr>
            <w:r w:rsidRPr="00BA11E5">
              <w:t>-50%</w:t>
            </w:r>
          </w:p>
        </w:tc>
      </w:tr>
      <w:tr w:rsidR="00CC5E8A" w:rsidTr="001D14B3">
        <w:trPr>
          <w:trHeight w:val="300"/>
          <w:tblCellSpacing w:w="0" w:type="dxa"/>
        </w:trPr>
        <w:tc>
          <w:tcPr>
            <w:tcW w:w="1380" w:type="dxa"/>
          </w:tcPr>
          <w:p w:rsidR="00790B5A" w:rsidRPr="00BA11E5" w:rsidRDefault="00E31927" w:rsidP="00C45D3D">
            <w:pPr>
              <w:ind w:left="60"/>
              <w:jc w:val="center"/>
            </w:pPr>
            <w:r w:rsidRPr="00BA11E5">
              <w:t>4</w:t>
            </w:r>
          </w:p>
        </w:tc>
        <w:tc>
          <w:tcPr>
            <w:tcW w:w="1620" w:type="dxa"/>
          </w:tcPr>
          <w:p w:rsidR="00790B5A" w:rsidRPr="00BA11E5" w:rsidRDefault="00E31927" w:rsidP="00C45D3D">
            <w:pPr>
              <w:jc w:val="center"/>
            </w:pPr>
            <w:r w:rsidRPr="00BA11E5">
              <w:t>0.46  –  0.50</w:t>
            </w:r>
          </w:p>
        </w:tc>
        <w:tc>
          <w:tcPr>
            <w:tcW w:w="1530" w:type="dxa"/>
          </w:tcPr>
          <w:p w:rsidR="00790B5A" w:rsidRPr="00BA11E5" w:rsidRDefault="00E31927" w:rsidP="00C45D3D">
            <w:pPr>
              <w:jc w:val="center"/>
            </w:pPr>
            <w:r w:rsidRPr="00BA11E5">
              <w:t>0.44  –  0.48</w:t>
            </w:r>
          </w:p>
        </w:tc>
        <w:tc>
          <w:tcPr>
            <w:tcW w:w="2879" w:type="dxa"/>
          </w:tcPr>
          <w:p w:rsidR="00790B5A" w:rsidRPr="00BA11E5" w:rsidRDefault="00E31927" w:rsidP="00C45D3D">
            <w:pPr>
              <w:jc w:val="center"/>
            </w:pPr>
            <w:r w:rsidRPr="00BA11E5">
              <w:t>-80%</w:t>
            </w:r>
          </w:p>
        </w:tc>
      </w:tr>
      <w:tr w:rsidR="00CC5E8A" w:rsidTr="001D14B3">
        <w:trPr>
          <w:trHeight w:val="192"/>
          <w:tblCellSpacing w:w="0" w:type="dxa"/>
        </w:trPr>
        <w:tc>
          <w:tcPr>
            <w:tcW w:w="1380" w:type="dxa"/>
          </w:tcPr>
          <w:p w:rsidR="00790B5A" w:rsidRPr="00BA11E5" w:rsidRDefault="00E31927" w:rsidP="00C45D3D">
            <w:pPr>
              <w:ind w:left="60"/>
              <w:jc w:val="center"/>
            </w:pPr>
            <w:r w:rsidRPr="00BA11E5">
              <w:t>5</w:t>
            </w:r>
          </w:p>
        </w:tc>
        <w:tc>
          <w:tcPr>
            <w:tcW w:w="1620" w:type="dxa"/>
          </w:tcPr>
          <w:p w:rsidR="00790B5A" w:rsidRPr="00BA11E5" w:rsidRDefault="00E31927" w:rsidP="00C45D3D">
            <w:pPr>
              <w:jc w:val="center"/>
            </w:pPr>
            <w:r w:rsidRPr="00BA11E5">
              <w:t>0.51+</w:t>
            </w:r>
          </w:p>
        </w:tc>
        <w:tc>
          <w:tcPr>
            <w:tcW w:w="1530" w:type="dxa"/>
          </w:tcPr>
          <w:p w:rsidR="00790B5A" w:rsidRPr="00BA11E5" w:rsidRDefault="00E31927" w:rsidP="00C45D3D">
            <w:pPr>
              <w:jc w:val="center"/>
            </w:pPr>
            <w:r w:rsidRPr="00BA11E5">
              <w:t>0.49+</w:t>
            </w:r>
          </w:p>
        </w:tc>
        <w:tc>
          <w:tcPr>
            <w:tcW w:w="2879" w:type="dxa"/>
          </w:tcPr>
          <w:p w:rsidR="00790B5A" w:rsidRPr="00BA11E5" w:rsidRDefault="00E31927" w:rsidP="00C45D3D">
            <w:pPr>
              <w:jc w:val="center"/>
            </w:pPr>
            <w:r w:rsidRPr="00BA11E5">
              <w:t>-100%</w:t>
            </w:r>
          </w:p>
        </w:tc>
      </w:tr>
    </w:tbl>
    <w:p w:rsidR="00790B5A" w:rsidRPr="00BA11E5" w:rsidRDefault="00E31927" w:rsidP="00790B5A">
      <w:pPr>
        <w:rPr>
          <w:bCs/>
        </w:rPr>
      </w:pPr>
    </w:p>
    <w:p w:rsidR="00790B5A" w:rsidRPr="00BA11E5" w:rsidRDefault="00E31927" w:rsidP="001D14B3">
      <w:pPr>
        <w:pStyle w:val="Heading4"/>
      </w:pPr>
      <w:bookmarkStart w:id="8" w:name="_Toc263691851"/>
      <w:r>
        <w:t>26.4.3.3</w:t>
      </w:r>
      <w:r w:rsidRPr="00BA11E5">
        <w:tab/>
        <w:t xml:space="preserve">Adjustment to </w:t>
      </w:r>
      <w:r w:rsidRPr="00BA11E5">
        <w:t>Unsecured Credit</w:t>
      </w:r>
      <w:bookmarkEnd w:id="8"/>
    </w:p>
    <w:p w:rsidR="00790B5A" w:rsidRPr="00BA11E5" w:rsidRDefault="00E31927" w:rsidP="00857EF7">
      <w:pPr>
        <w:pStyle w:val="alphapara"/>
        <w:rPr>
          <w:bCs/>
        </w:rPr>
      </w:pPr>
      <w:r w:rsidRPr="00BA11E5">
        <w:rPr>
          <w:bCs/>
        </w:rPr>
        <w:t xml:space="preserve">(a)  </w:t>
      </w:r>
      <w:r>
        <w:rPr>
          <w:bCs/>
        </w:rPr>
        <w:tab/>
      </w:r>
      <w:r w:rsidRPr="00BA11E5">
        <w:rPr>
          <w:bCs/>
        </w:rPr>
        <w:t xml:space="preserve">In the event of a change in a Customer’s (1) Tangible Net Worth, and/or (2) agency rating, the ISO shall recalculate the Customer’s starting point and Unsecured Credit amount in accordance with Sections </w:t>
      </w:r>
      <w:r w:rsidRPr="00C60188">
        <w:t>26.4.3.1</w:t>
      </w:r>
      <w:r w:rsidRPr="00BA11E5">
        <w:rPr>
          <w:bCs/>
        </w:rPr>
        <w:t xml:space="preserve"> and </w:t>
      </w:r>
      <w:r>
        <w:t>26.4.3.2</w:t>
      </w:r>
      <w:r w:rsidRPr="00BA11E5">
        <w:rPr>
          <w:bCs/>
        </w:rPr>
        <w:t xml:space="preserve"> of this Attachment K.</w:t>
      </w:r>
    </w:p>
    <w:p w:rsidR="00790B5A" w:rsidRPr="00BA11E5" w:rsidRDefault="00E31927" w:rsidP="00790B5A">
      <w:pPr>
        <w:tabs>
          <w:tab w:val="left" w:pos="1440"/>
          <w:tab w:val="right" w:pos="9360"/>
        </w:tabs>
        <w:rPr>
          <w:sz w:val="20"/>
        </w:rPr>
      </w:pPr>
    </w:p>
    <w:p w:rsidR="00790B5A" w:rsidRPr="00BA11E5" w:rsidRDefault="00E31927" w:rsidP="00857EF7">
      <w:pPr>
        <w:pStyle w:val="alphapara"/>
      </w:pPr>
      <w:r w:rsidRPr="00BA11E5">
        <w:t xml:space="preserve">(b)  </w:t>
      </w:r>
      <w:r>
        <w:tab/>
      </w:r>
      <w:r w:rsidRPr="00BA11E5">
        <w:t>The ISO may conduct a Credit Assessment of a Customer at any time and adjust the amount of Unsecured Credit granted to the Customer in accordance with the following table:</w:t>
      </w:r>
    </w:p>
    <w:p w:rsidR="00790B5A" w:rsidRPr="001D14B3" w:rsidRDefault="00E31927" w:rsidP="001D14B3">
      <w:pPr>
        <w:pStyle w:val="Tablecaption"/>
        <w:keepNext/>
      </w:pPr>
      <w:r w:rsidRPr="001D14B3">
        <w:t>Unsecured Credit Adjustment</w:t>
      </w:r>
    </w:p>
    <w:p w:rsidR="00790B5A" w:rsidRPr="00BA11E5" w:rsidRDefault="00E31927" w:rsidP="001D14B3">
      <w:pPr>
        <w:keepNext/>
        <w:ind w:right="-86"/>
        <w:jc w:val="center"/>
        <w:rPr>
          <w:b/>
          <w:bCs/>
        </w:rPr>
      </w:pPr>
      <w:r w:rsidRPr="00BA11E5">
        <w:rPr>
          <w:b/>
        </w:rPr>
        <w:t xml:space="preserve">Current Credit Assessment </w:t>
      </w:r>
      <w:r w:rsidRPr="00BA11E5">
        <w:rPr>
          <w:b/>
        </w:rPr>
        <w:t>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899"/>
        <w:gridCol w:w="830"/>
        <w:gridCol w:w="838"/>
        <w:gridCol w:w="923"/>
        <w:gridCol w:w="1034"/>
        <w:gridCol w:w="1292"/>
      </w:tblGrid>
      <w:tr w:rsidR="00CC5E8A" w:rsidTr="001D14B3">
        <w:trPr>
          <w:trHeight w:val="585"/>
          <w:tblCellSpacing w:w="0" w:type="dxa"/>
        </w:trPr>
        <w:tc>
          <w:tcPr>
            <w:tcW w:w="899" w:type="dxa"/>
            <w:vAlign w:val="bottom"/>
          </w:tcPr>
          <w:p w:rsidR="00790B5A" w:rsidRPr="00BA11E5" w:rsidRDefault="00E31927" w:rsidP="00C45D3D">
            <w:pPr>
              <w:ind w:left="60"/>
              <w:jc w:val="center"/>
            </w:pPr>
            <w:r w:rsidRPr="00BA11E5">
              <w:rPr>
                <w:b/>
                <w:bCs/>
              </w:rPr>
              <w:t>Score Bucket</w:t>
            </w:r>
          </w:p>
        </w:tc>
        <w:tc>
          <w:tcPr>
            <w:tcW w:w="830" w:type="dxa"/>
            <w:vAlign w:val="bottom"/>
          </w:tcPr>
          <w:p w:rsidR="00790B5A" w:rsidRPr="00BA11E5" w:rsidRDefault="00E31927" w:rsidP="00C45D3D">
            <w:pPr>
              <w:jc w:val="center"/>
              <w:rPr>
                <w:b/>
              </w:rPr>
            </w:pPr>
            <w:r w:rsidRPr="00BA11E5">
              <w:rPr>
                <w:b/>
              </w:rPr>
              <w:t>1</w:t>
            </w:r>
          </w:p>
        </w:tc>
        <w:tc>
          <w:tcPr>
            <w:tcW w:w="838" w:type="dxa"/>
            <w:vAlign w:val="bottom"/>
          </w:tcPr>
          <w:p w:rsidR="00790B5A" w:rsidRPr="00BA11E5" w:rsidRDefault="00E31927" w:rsidP="00C45D3D">
            <w:pPr>
              <w:jc w:val="center"/>
              <w:rPr>
                <w:b/>
              </w:rPr>
            </w:pPr>
            <w:r w:rsidRPr="00BA11E5">
              <w:rPr>
                <w:b/>
              </w:rPr>
              <w:t>2</w:t>
            </w:r>
          </w:p>
        </w:tc>
        <w:tc>
          <w:tcPr>
            <w:tcW w:w="923" w:type="dxa"/>
            <w:vAlign w:val="bottom"/>
          </w:tcPr>
          <w:p w:rsidR="00790B5A" w:rsidRPr="00BA11E5" w:rsidRDefault="00E31927" w:rsidP="00C45D3D">
            <w:pPr>
              <w:jc w:val="center"/>
              <w:rPr>
                <w:b/>
                <w:bCs/>
              </w:rPr>
            </w:pPr>
            <w:r w:rsidRPr="00BA11E5">
              <w:rPr>
                <w:b/>
                <w:bCs/>
              </w:rPr>
              <w:t>3</w:t>
            </w:r>
          </w:p>
        </w:tc>
        <w:tc>
          <w:tcPr>
            <w:tcW w:w="1034" w:type="dxa"/>
            <w:vAlign w:val="bottom"/>
          </w:tcPr>
          <w:p w:rsidR="00790B5A" w:rsidRPr="00BA11E5" w:rsidRDefault="00E31927" w:rsidP="00C45D3D">
            <w:pPr>
              <w:jc w:val="center"/>
              <w:rPr>
                <w:b/>
                <w:bCs/>
              </w:rPr>
            </w:pPr>
            <w:r w:rsidRPr="00BA11E5">
              <w:rPr>
                <w:b/>
                <w:bCs/>
              </w:rPr>
              <w:t>4</w:t>
            </w:r>
          </w:p>
        </w:tc>
        <w:tc>
          <w:tcPr>
            <w:tcW w:w="1292" w:type="dxa"/>
            <w:vAlign w:val="bottom"/>
          </w:tcPr>
          <w:p w:rsidR="00790B5A" w:rsidRPr="00BA11E5" w:rsidRDefault="00E31927" w:rsidP="00C45D3D">
            <w:pPr>
              <w:jc w:val="center"/>
              <w:rPr>
                <w:b/>
              </w:rPr>
            </w:pPr>
            <w:r w:rsidRPr="00BA11E5">
              <w:rPr>
                <w:b/>
              </w:rPr>
              <w:t>5</w:t>
            </w:r>
          </w:p>
        </w:tc>
      </w:tr>
      <w:tr w:rsidR="00CC5E8A" w:rsidTr="001D14B3">
        <w:trPr>
          <w:trHeight w:val="315"/>
          <w:tblCellSpacing w:w="0" w:type="dxa"/>
        </w:trPr>
        <w:tc>
          <w:tcPr>
            <w:tcW w:w="899" w:type="dxa"/>
          </w:tcPr>
          <w:p w:rsidR="00790B5A" w:rsidRPr="00BA11E5" w:rsidRDefault="00CC5E8A" w:rsidP="00C45D3D">
            <w:pPr>
              <w:ind w:left="60"/>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76.35pt;margin-top:3.55pt;width:74.8pt;height:84.15pt;z-index:251658240;mso-position-horizontal-relative:text;mso-position-vertical-relative:text" filled="f" stroked="f">
                  <v:textbox>
                    <w:txbxContent>
                      <w:p w:rsidR="00C96C16" w:rsidRPr="00BA11E5" w:rsidRDefault="00E31927" w:rsidP="00790B5A">
                        <w:pPr>
                          <w:jc w:val="center"/>
                        </w:pPr>
                        <w:r w:rsidRPr="00BA11E5">
                          <w:rPr>
                            <w:b/>
                          </w:rPr>
                          <w:t>Prior Credit Assessment Score Bucket</w:t>
                        </w:r>
                      </w:p>
                    </w:txbxContent>
                  </v:textbox>
                </v:shape>
              </w:pict>
            </w:r>
            <w:r w:rsidR="00E31927" w:rsidRPr="00BA11E5">
              <w:rPr>
                <w:b/>
              </w:rPr>
              <w:t>1</w:t>
            </w:r>
          </w:p>
        </w:tc>
        <w:tc>
          <w:tcPr>
            <w:tcW w:w="830" w:type="dxa"/>
          </w:tcPr>
          <w:p w:rsidR="00790B5A" w:rsidRPr="00BA11E5" w:rsidRDefault="00E31927" w:rsidP="00C45D3D">
            <w:pPr>
              <w:jc w:val="center"/>
            </w:pPr>
            <w:r w:rsidRPr="00BA11E5">
              <w:t>0%</w:t>
            </w:r>
          </w:p>
        </w:tc>
        <w:tc>
          <w:tcPr>
            <w:tcW w:w="838" w:type="dxa"/>
          </w:tcPr>
          <w:p w:rsidR="00790B5A" w:rsidRPr="00BA11E5" w:rsidRDefault="00E31927" w:rsidP="00C45D3D">
            <w:pPr>
              <w:jc w:val="center"/>
            </w:pPr>
            <w:r w:rsidRPr="00BA11E5">
              <w:t>-20%</w:t>
            </w:r>
          </w:p>
        </w:tc>
        <w:tc>
          <w:tcPr>
            <w:tcW w:w="923" w:type="dxa"/>
          </w:tcPr>
          <w:p w:rsidR="00790B5A" w:rsidRPr="00BA11E5" w:rsidRDefault="00E31927" w:rsidP="00C45D3D">
            <w:pPr>
              <w:jc w:val="center"/>
            </w:pPr>
            <w:r w:rsidRPr="00BA11E5">
              <w:t>-50%</w:t>
            </w:r>
          </w:p>
        </w:tc>
        <w:tc>
          <w:tcPr>
            <w:tcW w:w="1034" w:type="dxa"/>
          </w:tcPr>
          <w:p w:rsidR="00790B5A" w:rsidRPr="00BA11E5" w:rsidRDefault="00E31927" w:rsidP="00C45D3D">
            <w:pPr>
              <w:jc w:val="center"/>
            </w:pPr>
            <w:r w:rsidRPr="00BA11E5">
              <w:t>-80%</w:t>
            </w:r>
          </w:p>
        </w:tc>
        <w:tc>
          <w:tcPr>
            <w:tcW w:w="1292" w:type="dxa"/>
          </w:tcPr>
          <w:p w:rsidR="00790B5A" w:rsidRPr="00BA11E5" w:rsidRDefault="00E31927" w:rsidP="00C45D3D">
            <w:pPr>
              <w:jc w:val="center"/>
            </w:pPr>
            <w:r w:rsidRPr="00BA11E5">
              <w:t>-100%</w:t>
            </w:r>
          </w:p>
        </w:tc>
      </w:tr>
      <w:tr w:rsidR="00CC5E8A" w:rsidTr="001D14B3">
        <w:trPr>
          <w:trHeight w:val="285"/>
          <w:tblCellSpacing w:w="0" w:type="dxa"/>
        </w:trPr>
        <w:tc>
          <w:tcPr>
            <w:tcW w:w="899" w:type="dxa"/>
          </w:tcPr>
          <w:p w:rsidR="00790B5A" w:rsidRPr="00BA11E5" w:rsidRDefault="00E31927" w:rsidP="00C45D3D">
            <w:pPr>
              <w:ind w:left="60"/>
              <w:jc w:val="center"/>
              <w:rPr>
                <w:b/>
              </w:rPr>
            </w:pPr>
            <w:r w:rsidRPr="00BA11E5">
              <w:rPr>
                <w:b/>
              </w:rPr>
              <w:t>2</w:t>
            </w:r>
          </w:p>
        </w:tc>
        <w:tc>
          <w:tcPr>
            <w:tcW w:w="830" w:type="dxa"/>
          </w:tcPr>
          <w:p w:rsidR="00790B5A" w:rsidRPr="00BA11E5" w:rsidRDefault="00E31927" w:rsidP="00C45D3D">
            <w:pPr>
              <w:jc w:val="center"/>
            </w:pPr>
            <w:r w:rsidRPr="00BA11E5">
              <w:t>25%</w:t>
            </w:r>
          </w:p>
        </w:tc>
        <w:tc>
          <w:tcPr>
            <w:tcW w:w="838" w:type="dxa"/>
          </w:tcPr>
          <w:p w:rsidR="00790B5A" w:rsidRPr="00BA11E5" w:rsidRDefault="00E31927" w:rsidP="00C45D3D">
            <w:pPr>
              <w:jc w:val="center"/>
            </w:pPr>
            <w:r w:rsidRPr="00BA11E5">
              <w:t>0%</w:t>
            </w:r>
          </w:p>
        </w:tc>
        <w:tc>
          <w:tcPr>
            <w:tcW w:w="923" w:type="dxa"/>
          </w:tcPr>
          <w:p w:rsidR="00790B5A" w:rsidRPr="00BA11E5" w:rsidRDefault="00E31927" w:rsidP="00C45D3D">
            <w:pPr>
              <w:ind w:left="974" w:hanging="974"/>
              <w:jc w:val="center"/>
            </w:pPr>
            <w:r w:rsidRPr="00BA11E5">
              <w:t>-38%</w:t>
            </w:r>
          </w:p>
        </w:tc>
        <w:tc>
          <w:tcPr>
            <w:tcW w:w="1034" w:type="dxa"/>
          </w:tcPr>
          <w:p w:rsidR="00790B5A" w:rsidRPr="00BA11E5" w:rsidRDefault="00E31927" w:rsidP="00C45D3D">
            <w:pPr>
              <w:ind w:left="974" w:hanging="974"/>
              <w:jc w:val="center"/>
            </w:pPr>
            <w:r w:rsidRPr="00BA11E5">
              <w:t>-75%</w:t>
            </w:r>
          </w:p>
        </w:tc>
        <w:tc>
          <w:tcPr>
            <w:tcW w:w="1292" w:type="dxa"/>
          </w:tcPr>
          <w:p w:rsidR="00790B5A" w:rsidRPr="00BA11E5" w:rsidRDefault="00E31927" w:rsidP="00C45D3D">
            <w:pPr>
              <w:ind w:left="974" w:hanging="974"/>
              <w:jc w:val="center"/>
            </w:pPr>
            <w:r w:rsidRPr="00BA11E5">
              <w:t>-100%</w:t>
            </w:r>
          </w:p>
        </w:tc>
      </w:tr>
      <w:tr w:rsidR="00CC5E8A" w:rsidTr="001D14B3">
        <w:trPr>
          <w:trHeight w:val="285"/>
          <w:tblCellSpacing w:w="0" w:type="dxa"/>
        </w:trPr>
        <w:tc>
          <w:tcPr>
            <w:tcW w:w="899" w:type="dxa"/>
          </w:tcPr>
          <w:p w:rsidR="00790B5A" w:rsidRPr="00BA11E5" w:rsidRDefault="00E31927" w:rsidP="00C45D3D">
            <w:pPr>
              <w:ind w:left="60"/>
              <w:jc w:val="center"/>
              <w:rPr>
                <w:b/>
              </w:rPr>
            </w:pPr>
            <w:r w:rsidRPr="00BA11E5">
              <w:rPr>
                <w:b/>
              </w:rPr>
              <w:t>3</w:t>
            </w:r>
          </w:p>
        </w:tc>
        <w:tc>
          <w:tcPr>
            <w:tcW w:w="830" w:type="dxa"/>
          </w:tcPr>
          <w:p w:rsidR="00790B5A" w:rsidRPr="00BA11E5" w:rsidRDefault="00E31927" w:rsidP="00C45D3D">
            <w:pPr>
              <w:jc w:val="center"/>
            </w:pPr>
            <w:r w:rsidRPr="00BA11E5">
              <w:t>100%</w:t>
            </w:r>
          </w:p>
        </w:tc>
        <w:tc>
          <w:tcPr>
            <w:tcW w:w="838" w:type="dxa"/>
          </w:tcPr>
          <w:p w:rsidR="00790B5A" w:rsidRPr="00BA11E5" w:rsidRDefault="00E31927" w:rsidP="00C45D3D">
            <w:pPr>
              <w:jc w:val="center"/>
            </w:pPr>
            <w:r w:rsidRPr="00BA11E5">
              <w:t>60%</w:t>
            </w:r>
          </w:p>
        </w:tc>
        <w:tc>
          <w:tcPr>
            <w:tcW w:w="923" w:type="dxa"/>
          </w:tcPr>
          <w:p w:rsidR="00790B5A" w:rsidRPr="00BA11E5" w:rsidRDefault="00E31927" w:rsidP="00C45D3D">
            <w:pPr>
              <w:jc w:val="center"/>
            </w:pPr>
            <w:r w:rsidRPr="00BA11E5">
              <w:t>0%</w:t>
            </w:r>
          </w:p>
        </w:tc>
        <w:tc>
          <w:tcPr>
            <w:tcW w:w="1034" w:type="dxa"/>
          </w:tcPr>
          <w:p w:rsidR="00790B5A" w:rsidRPr="00BA11E5" w:rsidRDefault="00E31927" w:rsidP="00C45D3D">
            <w:pPr>
              <w:jc w:val="center"/>
            </w:pPr>
            <w:r w:rsidRPr="00BA11E5">
              <w:t>-60%</w:t>
            </w:r>
          </w:p>
        </w:tc>
        <w:tc>
          <w:tcPr>
            <w:tcW w:w="1292" w:type="dxa"/>
          </w:tcPr>
          <w:p w:rsidR="00790B5A" w:rsidRPr="00BA11E5" w:rsidRDefault="00E31927" w:rsidP="00C45D3D">
            <w:pPr>
              <w:jc w:val="center"/>
            </w:pPr>
            <w:r w:rsidRPr="00BA11E5">
              <w:t>-100%</w:t>
            </w:r>
          </w:p>
        </w:tc>
      </w:tr>
      <w:tr w:rsidR="00CC5E8A" w:rsidTr="001D14B3">
        <w:trPr>
          <w:trHeight w:val="300"/>
          <w:tblCellSpacing w:w="0" w:type="dxa"/>
        </w:trPr>
        <w:tc>
          <w:tcPr>
            <w:tcW w:w="899" w:type="dxa"/>
          </w:tcPr>
          <w:p w:rsidR="00790B5A" w:rsidRPr="00BA11E5" w:rsidRDefault="00E31927" w:rsidP="00C45D3D">
            <w:pPr>
              <w:ind w:left="60"/>
              <w:jc w:val="center"/>
              <w:rPr>
                <w:b/>
              </w:rPr>
            </w:pPr>
            <w:r w:rsidRPr="00BA11E5">
              <w:rPr>
                <w:b/>
              </w:rPr>
              <w:t>4</w:t>
            </w:r>
          </w:p>
        </w:tc>
        <w:tc>
          <w:tcPr>
            <w:tcW w:w="830" w:type="dxa"/>
          </w:tcPr>
          <w:p w:rsidR="00790B5A" w:rsidRPr="00BA11E5" w:rsidRDefault="00E31927" w:rsidP="00C45D3D">
            <w:pPr>
              <w:jc w:val="center"/>
            </w:pPr>
            <w:r w:rsidRPr="00BA11E5">
              <w:t>400%</w:t>
            </w:r>
          </w:p>
        </w:tc>
        <w:tc>
          <w:tcPr>
            <w:tcW w:w="838" w:type="dxa"/>
          </w:tcPr>
          <w:p w:rsidR="00790B5A" w:rsidRPr="00BA11E5" w:rsidRDefault="00E31927" w:rsidP="00C45D3D">
            <w:pPr>
              <w:jc w:val="center"/>
            </w:pPr>
            <w:r w:rsidRPr="00BA11E5">
              <w:t>300%</w:t>
            </w:r>
          </w:p>
        </w:tc>
        <w:tc>
          <w:tcPr>
            <w:tcW w:w="923" w:type="dxa"/>
          </w:tcPr>
          <w:p w:rsidR="00790B5A" w:rsidRPr="00BA11E5" w:rsidRDefault="00E31927" w:rsidP="00C45D3D">
            <w:pPr>
              <w:jc w:val="center"/>
            </w:pPr>
            <w:r w:rsidRPr="00BA11E5">
              <w:t>150%</w:t>
            </w:r>
          </w:p>
        </w:tc>
        <w:tc>
          <w:tcPr>
            <w:tcW w:w="1034" w:type="dxa"/>
          </w:tcPr>
          <w:p w:rsidR="00790B5A" w:rsidRPr="00BA11E5" w:rsidRDefault="00E31927" w:rsidP="00C45D3D">
            <w:pPr>
              <w:jc w:val="center"/>
            </w:pPr>
            <w:r w:rsidRPr="00BA11E5">
              <w:t>0%</w:t>
            </w:r>
          </w:p>
        </w:tc>
        <w:tc>
          <w:tcPr>
            <w:tcW w:w="1292" w:type="dxa"/>
          </w:tcPr>
          <w:p w:rsidR="00790B5A" w:rsidRPr="00BA11E5" w:rsidRDefault="00E31927" w:rsidP="00C45D3D">
            <w:pPr>
              <w:jc w:val="center"/>
            </w:pPr>
            <w:r w:rsidRPr="00BA11E5">
              <w:t>-100%</w:t>
            </w:r>
          </w:p>
        </w:tc>
      </w:tr>
      <w:tr w:rsidR="00CC5E8A" w:rsidTr="001D14B3">
        <w:trPr>
          <w:trHeight w:val="192"/>
          <w:tblCellSpacing w:w="0" w:type="dxa"/>
        </w:trPr>
        <w:tc>
          <w:tcPr>
            <w:tcW w:w="899" w:type="dxa"/>
          </w:tcPr>
          <w:p w:rsidR="00790B5A" w:rsidRPr="00BA11E5" w:rsidRDefault="00E31927" w:rsidP="00C45D3D">
            <w:pPr>
              <w:ind w:left="60"/>
              <w:jc w:val="center"/>
              <w:rPr>
                <w:b/>
              </w:rPr>
            </w:pPr>
            <w:r w:rsidRPr="00BA11E5">
              <w:rPr>
                <w:b/>
              </w:rPr>
              <w:t>5</w:t>
            </w:r>
          </w:p>
        </w:tc>
        <w:tc>
          <w:tcPr>
            <w:tcW w:w="830" w:type="dxa"/>
          </w:tcPr>
          <w:p w:rsidR="00790B5A" w:rsidRPr="00BA11E5" w:rsidRDefault="00E31927" w:rsidP="00C45D3D">
            <w:pPr>
              <w:jc w:val="center"/>
            </w:pPr>
            <w:r w:rsidRPr="00BA11E5">
              <w:t>N/A</w:t>
            </w:r>
          </w:p>
        </w:tc>
        <w:tc>
          <w:tcPr>
            <w:tcW w:w="838" w:type="dxa"/>
          </w:tcPr>
          <w:p w:rsidR="00790B5A" w:rsidRPr="00BA11E5" w:rsidRDefault="00E31927" w:rsidP="00C45D3D">
            <w:pPr>
              <w:jc w:val="center"/>
            </w:pPr>
            <w:r w:rsidRPr="00BA11E5">
              <w:t>N/A</w:t>
            </w:r>
          </w:p>
        </w:tc>
        <w:tc>
          <w:tcPr>
            <w:tcW w:w="923" w:type="dxa"/>
          </w:tcPr>
          <w:p w:rsidR="00790B5A" w:rsidRPr="00BA11E5" w:rsidRDefault="00E31927" w:rsidP="00C45D3D">
            <w:pPr>
              <w:jc w:val="center"/>
            </w:pPr>
            <w:r w:rsidRPr="00BA11E5">
              <w:t>N/A</w:t>
            </w:r>
          </w:p>
        </w:tc>
        <w:tc>
          <w:tcPr>
            <w:tcW w:w="1034" w:type="dxa"/>
          </w:tcPr>
          <w:p w:rsidR="00790B5A" w:rsidRPr="00BA11E5" w:rsidRDefault="00E31927" w:rsidP="00C45D3D">
            <w:pPr>
              <w:jc w:val="center"/>
            </w:pPr>
            <w:r w:rsidRPr="00BA11E5">
              <w:t>N/A</w:t>
            </w:r>
          </w:p>
        </w:tc>
        <w:tc>
          <w:tcPr>
            <w:tcW w:w="1292" w:type="dxa"/>
          </w:tcPr>
          <w:p w:rsidR="00790B5A" w:rsidRPr="00BA11E5" w:rsidRDefault="00E31927" w:rsidP="00C45D3D">
            <w:pPr>
              <w:jc w:val="center"/>
            </w:pPr>
            <w:r w:rsidRPr="00BA11E5">
              <w:t>N/A</w:t>
            </w:r>
          </w:p>
        </w:tc>
      </w:tr>
    </w:tbl>
    <w:p w:rsidR="00790B5A" w:rsidRPr="00BA11E5" w:rsidRDefault="00E31927" w:rsidP="00790B5A">
      <w:pPr>
        <w:ind w:left="720" w:right="-86" w:firstLine="720"/>
        <w:rPr>
          <w:b/>
          <w:bCs/>
        </w:rPr>
      </w:pPr>
    </w:p>
    <w:p w:rsidR="001D14B3" w:rsidRDefault="00E31927" w:rsidP="001D14B3">
      <w:pPr>
        <w:pStyle w:val="Heading4"/>
        <w:rPr>
          <w:lang w:val="en-GB"/>
        </w:rPr>
      </w:pPr>
      <w:bookmarkStart w:id="9" w:name="_Toc263691852"/>
      <w:r>
        <w:t>26.4.3.4</w:t>
      </w:r>
      <w:r w:rsidRPr="00BA11E5">
        <w:rPr>
          <w:lang w:val="en-GB"/>
        </w:rPr>
        <w:tab/>
        <w:t>Restoration of Unsecured Credit</w:t>
      </w:r>
      <w:bookmarkEnd w:id="9"/>
      <w:r w:rsidRPr="00BA11E5">
        <w:rPr>
          <w:lang w:val="en-GB"/>
        </w:rPr>
        <w:t xml:space="preserve">  </w:t>
      </w:r>
    </w:p>
    <w:p w:rsidR="00790B5A" w:rsidRPr="00BA11E5" w:rsidRDefault="00E31927" w:rsidP="001D14B3">
      <w:pPr>
        <w:pStyle w:val="Bodypara"/>
        <w:rPr>
          <w:bCs/>
        </w:rPr>
      </w:pPr>
      <w:r w:rsidRPr="00BA11E5">
        <w:rPr>
          <w:lang w:val="en-GB"/>
        </w:rPr>
        <w:t xml:space="preserve">A Customer that is subject to a 100% reduction of Unsecured Credit shall </w:t>
      </w:r>
      <w:r w:rsidRPr="00BA11E5">
        <w:rPr>
          <w:iCs/>
          <w:lang w:val="en-GB"/>
        </w:rPr>
        <w:t>not</w:t>
      </w:r>
      <w:r w:rsidRPr="00BA11E5">
        <w:rPr>
          <w:lang w:val="en-GB"/>
        </w:rPr>
        <w:t xml:space="preserve"> be eligible for Unsecured Credit again until the</w:t>
      </w:r>
      <w:r w:rsidRPr="009732E4">
        <w:rPr>
          <w:u w:val="double"/>
          <w:lang w:val="en-GB"/>
        </w:rPr>
        <w:t xml:space="preserve"> </w:t>
      </w:r>
      <w:r w:rsidRPr="00BA11E5">
        <w:rPr>
          <w:lang w:val="en-GB"/>
        </w:rPr>
        <w:t>Customer demonstrates two consecutive quarters of financial performance that would otherwise have qualified the Customer for Unsec</w:t>
      </w:r>
      <w:r w:rsidRPr="00BA11E5">
        <w:rPr>
          <w:lang w:val="en-GB"/>
        </w:rPr>
        <w:t xml:space="preserve">ured Credit in accordance </w:t>
      </w:r>
      <w:r w:rsidRPr="00BA11E5">
        <w:rPr>
          <w:bCs/>
        </w:rPr>
        <w:t xml:space="preserve">with Sections </w:t>
      </w:r>
      <w:r w:rsidRPr="00C60188">
        <w:t>26.4.3.1</w:t>
      </w:r>
      <w:r w:rsidRPr="00BA11E5">
        <w:rPr>
          <w:bCs/>
        </w:rPr>
        <w:t xml:space="preserve"> and </w:t>
      </w:r>
      <w:r>
        <w:t>26.4.3.2</w:t>
      </w:r>
      <w:r w:rsidRPr="00BA11E5">
        <w:rPr>
          <w:bCs/>
        </w:rPr>
        <w:t xml:space="preserve"> of this Attachment K.</w:t>
      </w:r>
    </w:p>
    <w:p w:rsidR="00790B5A" w:rsidRPr="00BA11E5" w:rsidRDefault="00E31927" w:rsidP="001D14B3">
      <w:pPr>
        <w:pStyle w:val="Heading4"/>
      </w:pPr>
      <w:bookmarkStart w:id="10" w:name="_Toc263691853"/>
      <w:r>
        <w:t>26.4.3.5</w:t>
      </w:r>
      <w:r w:rsidRPr="00BA11E5">
        <w:tab/>
        <w:t>Credit Assessment</w:t>
      </w:r>
      <w:bookmarkEnd w:id="10"/>
    </w:p>
    <w:p w:rsidR="00790B5A" w:rsidRPr="00BA11E5" w:rsidRDefault="00E31927" w:rsidP="00857EF7">
      <w:pPr>
        <w:pStyle w:val="alphapara"/>
      </w:pPr>
      <w:r w:rsidRPr="00BA11E5">
        <w:t>(a)</w:t>
      </w:r>
      <w:r w:rsidRPr="00BA11E5">
        <w:tab/>
        <w:t>In performing a Credit Assessment, the ISO shall evaluate specified indicators of credit risk pertaining to a Customer, which indicators will</w:t>
      </w:r>
      <w:r w:rsidRPr="00BA11E5">
        <w:t xml:space="preserve"> vary depending on whether the Customer is categorized by the ISO as a private entity or a public entity.  The ISO shall categorize a Customer as private or public, for Credit Assessment purposes, in accordance with the following criteria:</w:t>
      </w:r>
    </w:p>
    <w:tbl>
      <w:tblPr>
        <w:tblW w:w="9090" w:type="dxa"/>
        <w:tblCellSpacing w:w="0" w:type="dxa"/>
        <w:tblInd w:w="750"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3360"/>
        <w:gridCol w:w="3960"/>
        <w:gridCol w:w="1770"/>
      </w:tblGrid>
      <w:tr w:rsidR="00CC5E8A" w:rsidTr="00C45D3D">
        <w:trPr>
          <w:trHeight w:val="432"/>
          <w:tblCellSpacing w:w="0" w:type="dxa"/>
        </w:trPr>
        <w:tc>
          <w:tcPr>
            <w:tcW w:w="3360" w:type="dxa"/>
            <w:tcBorders>
              <w:top w:val="single" w:sz="6" w:space="0" w:color="000000"/>
            </w:tcBorders>
            <w:vAlign w:val="bottom"/>
          </w:tcPr>
          <w:p w:rsidR="00790B5A" w:rsidRPr="00BA11E5" w:rsidRDefault="00E31927" w:rsidP="00C45D3D">
            <w:pPr>
              <w:ind w:left="-30"/>
              <w:jc w:val="center"/>
              <w:rPr>
                <w:b/>
                <w:bCs/>
              </w:rPr>
            </w:pPr>
            <w:r w:rsidRPr="00BA11E5">
              <w:rPr>
                <w:b/>
                <w:bCs/>
              </w:rPr>
              <w:t>Primary</w:t>
            </w:r>
          </w:p>
          <w:p w:rsidR="00790B5A" w:rsidRPr="00BA11E5" w:rsidRDefault="00E31927" w:rsidP="00C45D3D">
            <w:pPr>
              <w:ind w:left="-30"/>
              <w:jc w:val="center"/>
            </w:pPr>
            <w:r w:rsidRPr="00BA11E5">
              <w:rPr>
                <w:b/>
                <w:bCs/>
              </w:rPr>
              <w:t>Criteria</w:t>
            </w:r>
          </w:p>
        </w:tc>
        <w:tc>
          <w:tcPr>
            <w:tcW w:w="3960" w:type="dxa"/>
            <w:tcBorders>
              <w:top w:val="single" w:sz="6" w:space="0" w:color="000000"/>
            </w:tcBorders>
            <w:vAlign w:val="bottom"/>
          </w:tcPr>
          <w:p w:rsidR="00790B5A" w:rsidRPr="00BA11E5" w:rsidRDefault="00E31927" w:rsidP="00C45D3D">
            <w:pPr>
              <w:ind w:left="540" w:hanging="540"/>
              <w:jc w:val="center"/>
              <w:rPr>
                <w:b/>
                <w:bCs/>
              </w:rPr>
            </w:pPr>
            <w:r w:rsidRPr="00BA11E5">
              <w:rPr>
                <w:b/>
                <w:bCs/>
              </w:rPr>
              <w:t>Secondary</w:t>
            </w:r>
          </w:p>
          <w:p w:rsidR="00790B5A" w:rsidRPr="00BA11E5" w:rsidRDefault="00E31927" w:rsidP="00C45D3D">
            <w:pPr>
              <w:ind w:left="540" w:hanging="540"/>
              <w:jc w:val="center"/>
            </w:pPr>
            <w:r w:rsidRPr="00BA11E5">
              <w:rPr>
                <w:b/>
                <w:bCs/>
              </w:rPr>
              <w:t>Criteria</w:t>
            </w:r>
          </w:p>
        </w:tc>
        <w:tc>
          <w:tcPr>
            <w:tcW w:w="1770" w:type="dxa"/>
            <w:tcBorders>
              <w:top w:val="single" w:sz="6" w:space="0" w:color="000000"/>
            </w:tcBorders>
            <w:vAlign w:val="bottom"/>
          </w:tcPr>
          <w:p w:rsidR="00790B5A" w:rsidRPr="00BA11E5" w:rsidRDefault="00E31927" w:rsidP="00C45D3D">
            <w:pPr>
              <w:ind w:left="30" w:hanging="30"/>
              <w:jc w:val="center"/>
              <w:rPr>
                <w:b/>
                <w:bCs/>
              </w:rPr>
            </w:pPr>
            <w:r w:rsidRPr="00BA11E5">
              <w:rPr>
                <w:b/>
                <w:bCs/>
              </w:rPr>
              <w:t>Credit Assessment</w:t>
            </w:r>
          </w:p>
          <w:p w:rsidR="00790B5A" w:rsidRPr="00BA11E5" w:rsidRDefault="00E31927" w:rsidP="00C45D3D">
            <w:pPr>
              <w:ind w:left="30" w:hanging="30"/>
              <w:jc w:val="center"/>
            </w:pPr>
            <w:r w:rsidRPr="00BA11E5">
              <w:rPr>
                <w:b/>
                <w:bCs/>
              </w:rPr>
              <w:t>Category</w:t>
            </w:r>
          </w:p>
        </w:tc>
      </w:tr>
      <w:tr w:rsidR="00CC5E8A" w:rsidTr="00C45D3D">
        <w:trPr>
          <w:trHeight w:val="432"/>
          <w:tblCellSpacing w:w="0" w:type="dxa"/>
        </w:trPr>
        <w:tc>
          <w:tcPr>
            <w:tcW w:w="3360" w:type="dxa"/>
          </w:tcPr>
          <w:p w:rsidR="00790B5A" w:rsidRPr="00BA11E5" w:rsidRDefault="00E31927" w:rsidP="00C45D3D">
            <w:pPr>
              <w:ind w:left="150"/>
            </w:pPr>
            <w:r w:rsidRPr="00BA11E5">
              <w:t>Standalone public trading company</w:t>
            </w:r>
          </w:p>
        </w:tc>
        <w:tc>
          <w:tcPr>
            <w:tcW w:w="3960" w:type="dxa"/>
          </w:tcPr>
          <w:p w:rsidR="00790B5A" w:rsidRPr="00BA11E5" w:rsidRDefault="00E31927" w:rsidP="00C45D3D">
            <w:pPr>
              <w:ind w:left="150" w:hanging="15"/>
            </w:pPr>
            <w:r w:rsidRPr="00BA11E5">
              <w:t>None</w:t>
            </w:r>
          </w:p>
        </w:tc>
        <w:tc>
          <w:tcPr>
            <w:tcW w:w="1770" w:type="dxa"/>
          </w:tcPr>
          <w:p w:rsidR="00790B5A" w:rsidRPr="00BA11E5" w:rsidRDefault="00E31927" w:rsidP="00C45D3D">
            <w:pPr>
              <w:ind w:left="540" w:hanging="540"/>
              <w:jc w:val="center"/>
            </w:pPr>
            <w:r w:rsidRPr="00BA11E5">
              <w:t>Public</w:t>
            </w:r>
          </w:p>
        </w:tc>
      </w:tr>
      <w:tr w:rsidR="00CC5E8A" w:rsidTr="00C45D3D">
        <w:trPr>
          <w:trHeight w:val="445"/>
          <w:tblCellSpacing w:w="0" w:type="dxa"/>
        </w:trPr>
        <w:tc>
          <w:tcPr>
            <w:tcW w:w="3360" w:type="dxa"/>
          </w:tcPr>
          <w:p w:rsidR="00790B5A" w:rsidRPr="00BA11E5" w:rsidRDefault="00E31927" w:rsidP="00C45D3D">
            <w:pPr>
              <w:ind w:left="150"/>
            </w:pPr>
            <w:r w:rsidRPr="00BA11E5">
              <w:t>Subsidiary of a public company with its parent company as  guarantor</w:t>
            </w:r>
          </w:p>
        </w:tc>
        <w:tc>
          <w:tcPr>
            <w:tcW w:w="3960" w:type="dxa"/>
          </w:tcPr>
          <w:p w:rsidR="00790B5A" w:rsidRPr="00BA11E5" w:rsidRDefault="00E31927" w:rsidP="00C45D3D">
            <w:pPr>
              <w:ind w:left="150" w:hanging="15"/>
            </w:pPr>
            <w:r w:rsidRPr="00BA11E5">
              <w:t>None</w:t>
            </w:r>
          </w:p>
        </w:tc>
        <w:tc>
          <w:tcPr>
            <w:tcW w:w="1770" w:type="dxa"/>
          </w:tcPr>
          <w:p w:rsidR="00790B5A" w:rsidRPr="00BA11E5" w:rsidRDefault="00E31927" w:rsidP="00C45D3D">
            <w:pPr>
              <w:ind w:left="540" w:hanging="540"/>
              <w:jc w:val="center"/>
            </w:pPr>
            <w:r w:rsidRPr="00BA11E5">
              <w:t>Public</w:t>
            </w:r>
          </w:p>
        </w:tc>
      </w:tr>
      <w:tr w:rsidR="00CC5E8A" w:rsidTr="00C45D3D">
        <w:trPr>
          <w:trHeight w:val="432"/>
          <w:tblCellSpacing w:w="0" w:type="dxa"/>
        </w:trPr>
        <w:tc>
          <w:tcPr>
            <w:tcW w:w="3360" w:type="dxa"/>
          </w:tcPr>
          <w:p w:rsidR="00790B5A" w:rsidRPr="00BA11E5" w:rsidRDefault="00E31927" w:rsidP="00C45D3D">
            <w:pPr>
              <w:ind w:left="150"/>
            </w:pPr>
            <w:r w:rsidRPr="00BA11E5">
              <w:t>Subsidiary of a public company</w:t>
            </w:r>
          </w:p>
        </w:tc>
        <w:tc>
          <w:tcPr>
            <w:tcW w:w="3960" w:type="dxa"/>
          </w:tcPr>
          <w:p w:rsidR="00790B5A" w:rsidRPr="00BA11E5" w:rsidRDefault="00E31927" w:rsidP="00C45D3D">
            <w:pPr>
              <w:ind w:left="150" w:hanging="15"/>
            </w:pPr>
            <w:r w:rsidRPr="00BA11E5">
              <w:t>With assets greater than US$10B</w:t>
            </w:r>
          </w:p>
        </w:tc>
        <w:tc>
          <w:tcPr>
            <w:tcW w:w="1770" w:type="dxa"/>
          </w:tcPr>
          <w:p w:rsidR="00790B5A" w:rsidRPr="00BA11E5" w:rsidRDefault="00E31927" w:rsidP="00C45D3D">
            <w:pPr>
              <w:ind w:left="540" w:hanging="540"/>
              <w:jc w:val="center"/>
            </w:pPr>
            <w:r w:rsidRPr="00BA11E5">
              <w:t>Public</w:t>
            </w:r>
          </w:p>
        </w:tc>
      </w:tr>
      <w:tr w:rsidR="00CC5E8A" w:rsidTr="00C45D3D">
        <w:trPr>
          <w:trHeight w:val="432"/>
          <w:tblCellSpacing w:w="0" w:type="dxa"/>
        </w:trPr>
        <w:tc>
          <w:tcPr>
            <w:tcW w:w="3360" w:type="dxa"/>
          </w:tcPr>
          <w:p w:rsidR="00790B5A" w:rsidRPr="00BA11E5" w:rsidRDefault="00E31927" w:rsidP="00C45D3D">
            <w:pPr>
              <w:ind w:left="150" w:firstLine="15"/>
            </w:pPr>
            <w:r w:rsidRPr="00BA11E5">
              <w:t>Subsidiary of a public company</w:t>
            </w:r>
          </w:p>
        </w:tc>
        <w:tc>
          <w:tcPr>
            <w:tcW w:w="3960" w:type="dxa"/>
          </w:tcPr>
          <w:p w:rsidR="00790B5A" w:rsidRPr="00BA11E5" w:rsidRDefault="00E31927" w:rsidP="00C45D3D">
            <w:pPr>
              <w:ind w:left="150" w:hanging="45"/>
            </w:pPr>
            <w:r w:rsidRPr="00BA11E5">
              <w:t>Contributes 50% or more of its parent company’s revenues or accounts for 50% or more of its assets</w:t>
            </w:r>
          </w:p>
        </w:tc>
        <w:tc>
          <w:tcPr>
            <w:tcW w:w="1770" w:type="dxa"/>
          </w:tcPr>
          <w:p w:rsidR="00790B5A" w:rsidRPr="00BA11E5" w:rsidRDefault="00E31927" w:rsidP="00C45D3D">
            <w:pPr>
              <w:ind w:left="540" w:hanging="540"/>
              <w:jc w:val="center"/>
            </w:pPr>
            <w:r w:rsidRPr="00BA11E5">
              <w:t>Public</w:t>
            </w:r>
          </w:p>
        </w:tc>
      </w:tr>
      <w:tr w:rsidR="00CC5E8A" w:rsidTr="00C45D3D">
        <w:trPr>
          <w:trHeight w:val="877"/>
          <w:tblCellSpacing w:w="0" w:type="dxa"/>
        </w:trPr>
        <w:tc>
          <w:tcPr>
            <w:tcW w:w="3360" w:type="dxa"/>
          </w:tcPr>
          <w:p w:rsidR="00790B5A" w:rsidRPr="00BA11E5" w:rsidRDefault="00E31927" w:rsidP="00C45D3D">
            <w:pPr>
              <w:ind w:left="150"/>
            </w:pPr>
            <w:r w:rsidRPr="00BA11E5">
              <w:t>Subsidiary of a public company</w:t>
            </w:r>
          </w:p>
        </w:tc>
        <w:tc>
          <w:tcPr>
            <w:tcW w:w="3960" w:type="dxa"/>
          </w:tcPr>
          <w:p w:rsidR="00790B5A" w:rsidRPr="00BA11E5" w:rsidRDefault="00E31927" w:rsidP="00C45D3D">
            <w:pPr>
              <w:ind w:left="150"/>
            </w:pPr>
            <w:r w:rsidRPr="00BA11E5">
              <w:t xml:space="preserve">Contributes less than 50% of its parent company’s revenues or represents less than 50% </w:t>
            </w:r>
            <w:r w:rsidRPr="00BA11E5">
              <w:t>of its assets</w:t>
            </w:r>
          </w:p>
        </w:tc>
        <w:tc>
          <w:tcPr>
            <w:tcW w:w="1770" w:type="dxa"/>
          </w:tcPr>
          <w:p w:rsidR="00790B5A" w:rsidRPr="00BA11E5" w:rsidRDefault="00E31927" w:rsidP="00C45D3D">
            <w:pPr>
              <w:ind w:left="540" w:hanging="540"/>
              <w:jc w:val="center"/>
            </w:pPr>
            <w:r w:rsidRPr="00BA11E5">
              <w:t>Private</w:t>
            </w:r>
          </w:p>
        </w:tc>
      </w:tr>
      <w:tr w:rsidR="00CC5E8A" w:rsidTr="00C45D3D">
        <w:trPr>
          <w:trHeight w:val="432"/>
          <w:tblCellSpacing w:w="0" w:type="dxa"/>
        </w:trPr>
        <w:tc>
          <w:tcPr>
            <w:tcW w:w="3360" w:type="dxa"/>
          </w:tcPr>
          <w:p w:rsidR="00790B5A" w:rsidRPr="00BA11E5" w:rsidRDefault="00E31927" w:rsidP="00C45D3D">
            <w:pPr>
              <w:ind w:left="150"/>
            </w:pPr>
            <w:r w:rsidRPr="00BA11E5">
              <w:t>Does not satisfy the criteria listed above</w:t>
            </w:r>
          </w:p>
        </w:tc>
        <w:tc>
          <w:tcPr>
            <w:tcW w:w="3960" w:type="dxa"/>
          </w:tcPr>
          <w:p w:rsidR="00790B5A" w:rsidRPr="00BA11E5" w:rsidRDefault="00E31927" w:rsidP="00C45D3D">
            <w:pPr>
              <w:ind w:left="120"/>
            </w:pPr>
            <w:r w:rsidRPr="00BA11E5">
              <w:t>None</w:t>
            </w:r>
          </w:p>
        </w:tc>
        <w:tc>
          <w:tcPr>
            <w:tcW w:w="1770" w:type="dxa"/>
          </w:tcPr>
          <w:p w:rsidR="00790B5A" w:rsidRPr="00BA11E5" w:rsidRDefault="00E31927" w:rsidP="00C45D3D">
            <w:pPr>
              <w:ind w:left="540" w:hanging="540"/>
              <w:jc w:val="center"/>
            </w:pPr>
            <w:r w:rsidRPr="00BA11E5">
              <w:t>Private</w:t>
            </w:r>
          </w:p>
        </w:tc>
      </w:tr>
    </w:tbl>
    <w:p w:rsidR="001D14B3" w:rsidRDefault="00E31927" w:rsidP="001D14B3">
      <w:pPr>
        <w:pStyle w:val="alphapara"/>
      </w:pPr>
    </w:p>
    <w:p w:rsidR="00790B5A" w:rsidRPr="00BA11E5" w:rsidRDefault="00E31927" w:rsidP="001D14B3">
      <w:pPr>
        <w:pStyle w:val="alphapara"/>
      </w:pPr>
      <w:r w:rsidRPr="00BA11E5">
        <w:t>(b)</w:t>
      </w:r>
      <w:r w:rsidRPr="00BA11E5">
        <w:tab/>
        <w:t>The ISO shall determine the Credit Assessment score for a Customer based upon the market and financial indicators and weightings, as appropriate, set forth below.</w:t>
      </w:r>
    </w:p>
    <w:p w:rsidR="00790B5A" w:rsidRPr="00BA11E5" w:rsidRDefault="00E31927" w:rsidP="00790B5A">
      <w:pPr>
        <w:spacing w:line="480" w:lineRule="auto"/>
        <w:ind w:left="720" w:right="-90"/>
        <w:rPr>
          <w:b/>
        </w:rPr>
      </w:pPr>
      <w:r w:rsidRPr="00BA11E5">
        <w:rPr>
          <w:b/>
        </w:rPr>
        <w:t xml:space="preserve">Public </w:t>
      </w:r>
      <w:r w:rsidRPr="00BA11E5">
        <w:rPr>
          <w:b/>
        </w:rPr>
        <w:t>Entity Indicators</w:t>
      </w:r>
      <w:r w:rsidRPr="00BA11E5">
        <w:rPr>
          <w:b/>
        </w:rPr>
        <w:tab/>
      </w:r>
      <w:r w:rsidRPr="00BA11E5">
        <w:rPr>
          <w:b/>
        </w:rPr>
        <w:tab/>
      </w:r>
      <w:r w:rsidRPr="00BA11E5">
        <w:rPr>
          <w:b/>
        </w:rPr>
        <w:tab/>
      </w:r>
      <w:r w:rsidRPr="00BA11E5">
        <w:rPr>
          <w:b/>
        </w:rPr>
        <w:tab/>
      </w:r>
      <w:r w:rsidRPr="00BA11E5">
        <w:rPr>
          <w:b/>
        </w:rPr>
        <w:tab/>
      </w:r>
      <w:r w:rsidRPr="00BA11E5">
        <w:rPr>
          <w:b/>
        </w:rPr>
        <w:tab/>
      </w:r>
      <w:r w:rsidRPr="00BA11E5">
        <w:rPr>
          <w:b/>
        </w:rPr>
        <w:tab/>
        <w:t>Weight</w:t>
      </w:r>
    </w:p>
    <w:p w:rsidR="00790B5A" w:rsidRPr="00BA11E5" w:rsidRDefault="00E31927" w:rsidP="003809DF">
      <w:pPr>
        <w:numPr>
          <w:ilvl w:val="1"/>
          <w:numId w:val="12"/>
        </w:numPr>
        <w:ind w:right="-86"/>
      </w:pPr>
      <w:r w:rsidRPr="00BA11E5">
        <w:t>Market Indicators</w:t>
      </w:r>
    </w:p>
    <w:p w:rsidR="00790B5A" w:rsidRPr="00BA11E5" w:rsidRDefault="00E31927" w:rsidP="003809DF">
      <w:pPr>
        <w:numPr>
          <w:ilvl w:val="2"/>
          <w:numId w:val="14"/>
        </w:numPr>
        <w:ind w:right="-86"/>
      </w:pPr>
      <w:r w:rsidRPr="00BA11E5">
        <w:t>Absolute CDS Spread</w:t>
      </w:r>
      <w:r w:rsidRPr="00BA11E5">
        <w:tab/>
      </w:r>
      <w:r w:rsidRPr="00BA11E5">
        <w:tab/>
      </w:r>
      <w:r w:rsidRPr="00BA11E5">
        <w:tab/>
      </w:r>
      <w:r w:rsidRPr="00BA11E5">
        <w:tab/>
      </w:r>
      <w:r w:rsidRPr="00BA11E5">
        <w:tab/>
      </w:r>
      <w:r w:rsidRPr="00BA11E5">
        <w:tab/>
        <w:t>21.3%</w:t>
      </w:r>
    </w:p>
    <w:p w:rsidR="00790B5A" w:rsidRPr="00BA11E5" w:rsidRDefault="00E31927" w:rsidP="00790B5A">
      <w:pPr>
        <w:numPr>
          <w:ilvl w:val="2"/>
          <w:numId w:val="14"/>
        </w:numPr>
        <w:ind w:right="-86"/>
      </w:pPr>
      <w:r w:rsidRPr="00BA11E5">
        <w:t>Relative Stock Decline from 3 month high</w:t>
      </w:r>
      <w:r w:rsidRPr="00BA11E5">
        <w:tab/>
      </w:r>
      <w:r w:rsidRPr="00BA11E5">
        <w:tab/>
        <w:t xml:space="preserve">  </w:t>
      </w:r>
      <w:r w:rsidRPr="00BA11E5">
        <w:tab/>
        <w:t xml:space="preserve">  4.3%</w:t>
      </w:r>
    </w:p>
    <w:p w:rsidR="00790B5A" w:rsidRPr="00BA11E5" w:rsidRDefault="00E31927" w:rsidP="00790B5A">
      <w:pPr>
        <w:numPr>
          <w:ilvl w:val="2"/>
          <w:numId w:val="14"/>
        </w:numPr>
        <w:ind w:right="-86"/>
      </w:pPr>
      <w:r w:rsidRPr="00BA11E5">
        <w:t>Stock Return Volatility (3 month std. deviation)</w:t>
      </w:r>
      <w:r w:rsidRPr="00BA11E5">
        <w:tab/>
      </w:r>
      <w:r w:rsidRPr="00BA11E5">
        <w:tab/>
        <w:t>12.7%</w:t>
      </w:r>
    </w:p>
    <w:p w:rsidR="00790B5A" w:rsidRPr="00BA11E5" w:rsidRDefault="00E31927" w:rsidP="00790B5A">
      <w:pPr>
        <w:numPr>
          <w:ilvl w:val="1"/>
          <w:numId w:val="12"/>
        </w:numPr>
        <w:ind w:right="-86"/>
      </w:pPr>
      <w:r w:rsidRPr="00BA11E5">
        <w:t xml:space="preserve">Performance </w:t>
      </w:r>
    </w:p>
    <w:p w:rsidR="00790B5A" w:rsidRPr="00BA11E5" w:rsidRDefault="00E31927" w:rsidP="00790B5A">
      <w:pPr>
        <w:numPr>
          <w:ilvl w:val="2"/>
          <w:numId w:val="14"/>
        </w:numPr>
        <w:ind w:right="-86"/>
      </w:pPr>
      <w:r w:rsidRPr="00BA11E5">
        <w:t>Revenue/Market Cap</w:t>
      </w:r>
      <w:r w:rsidRPr="00BA11E5">
        <w:tab/>
      </w:r>
      <w:r w:rsidRPr="00BA11E5">
        <w:tab/>
        <w:t xml:space="preserve">    </w:t>
      </w:r>
      <w:r w:rsidRPr="00BA11E5">
        <w:tab/>
        <w:t xml:space="preserve">    </w:t>
      </w:r>
      <w:r w:rsidRPr="00BA11E5">
        <w:tab/>
      </w:r>
      <w:r w:rsidRPr="00BA11E5">
        <w:tab/>
      </w:r>
      <w:r w:rsidRPr="00BA11E5">
        <w:tab/>
        <w:t>12.7%</w:t>
      </w:r>
    </w:p>
    <w:p w:rsidR="00790B5A" w:rsidRPr="00BA11E5" w:rsidRDefault="00E31927" w:rsidP="00790B5A">
      <w:pPr>
        <w:numPr>
          <w:ilvl w:val="2"/>
          <w:numId w:val="14"/>
        </w:numPr>
        <w:ind w:right="-86"/>
      </w:pPr>
      <w:r w:rsidRPr="00BA11E5">
        <w:t xml:space="preserve">Retained </w:t>
      </w:r>
      <w:r w:rsidRPr="00BA11E5">
        <w:t>Earnings/Assets</w:t>
      </w:r>
      <w:r w:rsidRPr="00BA11E5">
        <w:tab/>
      </w:r>
      <w:r w:rsidRPr="00BA11E5">
        <w:tab/>
      </w:r>
      <w:r w:rsidRPr="00BA11E5">
        <w:tab/>
        <w:t xml:space="preserve">              </w:t>
      </w:r>
      <w:r w:rsidRPr="00BA11E5">
        <w:tab/>
        <w:t xml:space="preserve">  8.5%</w:t>
      </w:r>
    </w:p>
    <w:p w:rsidR="00790B5A" w:rsidRPr="00BA11E5" w:rsidRDefault="00E31927" w:rsidP="00790B5A">
      <w:pPr>
        <w:numPr>
          <w:ilvl w:val="1"/>
          <w:numId w:val="12"/>
        </w:numPr>
        <w:ind w:right="-86"/>
      </w:pPr>
      <w:r w:rsidRPr="00BA11E5">
        <w:t>Debt Coverage</w:t>
      </w:r>
    </w:p>
    <w:p w:rsidR="00790B5A" w:rsidRPr="00BA11E5" w:rsidRDefault="00E31927" w:rsidP="00790B5A">
      <w:pPr>
        <w:numPr>
          <w:ilvl w:val="2"/>
          <w:numId w:val="14"/>
        </w:numPr>
        <w:ind w:right="-86"/>
      </w:pPr>
      <w:r w:rsidRPr="00BA11E5">
        <w:t>Total Debt/EBITDA</w:t>
      </w:r>
      <w:r w:rsidRPr="00BA11E5">
        <w:tab/>
      </w:r>
      <w:r w:rsidRPr="00BA11E5">
        <w:tab/>
        <w:t xml:space="preserve">    </w:t>
      </w:r>
      <w:r w:rsidRPr="00BA11E5">
        <w:tab/>
        <w:t xml:space="preserve">    </w:t>
      </w:r>
      <w:r w:rsidRPr="00BA11E5">
        <w:tab/>
      </w:r>
      <w:r w:rsidRPr="00BA11E5">
        <w:tab/>
      </w:r>
      <w:r w:rsidRPr="00BA11E5">
        <w:tab/>
        <w:t>12.7%</w:t>
      </w:r>
    </w:p>
    <w:p w:rsidR="00790B5A" w:rsidRPr="00BA11E5" w:rsidRDefault="00E31927" w:rsidP="00790B5A">
      <w:pPr>
        <w:numPr>
          <w:ilvl w:val="1"/>
          <w:numId w:val="12"/>
        </w:numPr>
        <w:ind w:right="-86"/>
      </w:pPr>
      <w:r w:rsidRPr="00BA11E5">
        <w:t>Leverage</w:t>
      </w:r>
    </w:p>
    <w:p w:rsidR="00790B5A" w:rsidRPr="00BA11E5" w:rsidRDefault="00E31927" w:rsidP="00790B5A">
      <w:pPr>
        <w:numPr>
          <w:ilvl w:val="2"/>
          <w:numId w:val="14"/>
        </w:numPr>
        <w:ind w:right="-86"/>
      </w:pPr>
      <w:r w:rsidRPr="00BA11E5">
        <w:t>Debt/(Total Debt + Equity)</w:t>
      </w:r>
      <w:r w:rsidRPr="00BA11E5">
        <w:tab/>
      </w:r>
      <w:r w:rsidRPr="00BA11E5">
        <w:tab/>
        <w:t xml:space="preserve">    </w:t>
      </w:r>
      <w:r w:rsidRPr="00BA11E5">
        <w:tab/>
        <w:t xml:space="preserve">    </w:t>
      </w:r>
      <w:r w:rsidRPr="00BA11E5">
        <w:tab/>
      </w:r>
      <w:r w:rsidRPr="00BA11E5">
        <w:tab/>
        <w:t xml:space="preserve">  8.5%</w:t>
      </w:r>
    </w:p>
    <w:p w:rsidR="00790B5A" w:rsidRPr="00BA11E5" w:rsidRDefault="00E31927" w:rsidP="00790B5A">
      <w:pPr>
        <w:numPr>
          <w:ilvl w:val="1"/>
          <w:numId w:val="12"/>
        </w:numPr>
        <w:ind w:right="-86"/>
      </w:pPr>
      <w:r w:rsidRPr="00BA11E5">
        <w:t>Liquidity</w:t>
      </w:r>
    </w:p>
    <w:p w:rsidR="00790B5A" w:rsidRPr="00BA11E5" w:rsidRDefault="00E31927" w:rsidP="00790B5A">
      <w:pPr>
        <w:numPr>
          <w:ilvl w:val="2"/>
          <w:numId w:val="14"/>
        </w:numPr>
        <w:ind w:right="-86"/>
      </w:pPr>
      <w:r w:rsidRPr="00BA11E5">
        <w:t>Cash/Assets</w:t>
      </w:r>
      <w:r w:rsidRPr="00BA11E5">
        <w:tab/>
      </w:r>
      <w:r w:rsidRPr="00BA11E5">
        <w:tab/>
      </w:r>
      <w:r w:rsidRPr="00BA11E5">
        <w:tab/>
        <w:t xml:space="preserve">       </w:t>
      </w:r>
      <w:r w:rsidRPr="00BA11E5">
        <w:tab/>
        <w:t xml:space="preserve">     </w:t>
      </w:r>
      <w:r w:rsidRPr="00BA11E5">
        <w:tab/>
      </w:r>
      <w:r w:rsidRPr="00BA11E5">
        <w:tab/>
      </w:r>
      <w:r w:rsidRPr="00BA11E5">
        <w:tab/>
        <w:t xml:space="preserve">  4.3%</w:t>
      </w:r>
    </w:p>
    <w:p w:rsidR="00790B5A" w:rsidRPr="00BA11E5" w:rsidRDefault="00E31927" w:rsidP="00790B5A">
      <w:pPr>
        <w:numPr>
          <w:ilvl w:val="1"/>
          <w:numId w:val="12"/>
        </w:numPr>
        <w:ind w:right="-86"/>
      </w:pPr>
      <w:r w:rsidRPr="00BA11E5">
        <w:t>Qualitative Assessment</w:t>
      </w:r>
      <w:r w:rsidRPr="00BA11E5">
        <w:tab/>
      </w:r>
      <w:r w:rsidRPr="00BA11E5">
        <w:tab/>
        <w:t xml:space="preserve">    </w:t>
      </w:r>
      <w:r w:rsidRPr="00BA11E5">
        <w:tab/>
        <w:t xml:space="preserve">    </w:t>
      </w:r>
      <w:r w:rsidRPr="00BA11E5">
        <w:tab/>
      </w:r>
      <w:r w:rsidRPr="00BA11E5">
        <w:tab/>
      </w:r>
      <w:r w:rsidRPr="00BA11E5">
        <w:tab/>
        <w:t>15.0%</w:t>
      </w:r>
    </w:p>
    <w:p w:rsidR="00857EF7" w:rsidRDefault="00E31927" w:rsidP="00790B5A">
      <w:pPr>
        <w:spacing w:line="480" w:lineRule="auto"/>
        <w:ind w:left="720" w:right="-90"/>
        <w:rPr>
          <w:b/>
        </w:rPr>
      </w:pPr>
    </w:p>
    <w:p w:rsidR="00790B5A" w:rsidRPr="00BA11E5" w:rsidRDefault="00E31927" w:rsidP="00790B5A">
      <w:pPr>
        <w:spacing w:line="480" w:lineRule="auto"/>
        <w:ind w:left="720" w:right="-90"/>
        <w:rPr>
          <w:b/>
        </w:rPr>
      </w:pPr>
      <w:r w:rsidRPr="00BA11E5">
        <w:rPr>
          <w:b/>
        </w:rPr>
        <w:t xml:space="preserve">Private Entity </w:t>
      </w:r>
      <w:r w:rsidRPr="00BA11E5">
        <w:rPr>
          <w:b/>
        </w:rPr>
        <w:t>Indicators</w:t>
      </w:r>
      <w:r w:rsidRPr="00BA11E5">
        <w:rPr>
          <w:b/>
        </w:rPr>
        <w:tab/>
      </w:r>
      <w:r w:rsidRPr="00BA11E5">
        <w:rPr>
          <w:b/>
        </w:rPr>
        <w:tab/>
      </w:r>
      <w:r w:rsidRPr="00BA11E5">
        <w:rPr>
          <w:b/>
        </w:rPr>
        <w:tab/>
      </w:r>
      <w:r w:rsidRPr="00BA11E5">
        <w:rPr>
          <w:b/>
        </w:rPr>
        <w:tab/>
      </w:r>
      <w:r w:rsidRPr="00BA11E5">
        <w:rPr>
          <w:b/>
        </w:rPr>
        <w:tab/>
      </w:r>
      <w:r w:rsidRPr="00BA11E5">
        <w:rPr>
          <w:b/>
        </w:rPr>
        <w:tab/>
      </w:r>
      <w:r w:rsidRPr="00BA11E5">
        <w:rPr>
          <w:b/>
        </w:rPr>
        <w:tab/>
        <w:t>Weight</w:t>
      </w:r>
    </w:p>
    <w:p w:rsidR="00790B5A" w:rsidRPr="00BA11E5" w:rsidRDefault="00E31927" w:rsidP="00BA11E5">
      <w:pPr>
        <w:numPr>
          <w:ilvl w:val="1"/>
          <w:numId w:val="10"/>
        </w:numPr>
        <w:ind w:right="-86"/>
      </w:pPr>
      <w:r w:rsidRPr="00BA11E5">
        <w:t xml:space="preserve">Performance </w:t>
      </w:r>
    </w:p>
    <w:p w:rsidR="00790B5A" w:rsidRPr="00BA11E5" w:rsidRDefault="00E31927" w:rsidP="00790B5A">
      <w:pPr>
        <w:numPr>
          <w:ilvl w:val="2"/>
          <w:numId w:val="8"/>
        </w:numPr>
        <w:ind w:right="-86"/>
      </w:pPr>
      <w:r w:rsidRPr="00BA11E5">
        <w:t>Return on Assets</w:t>
      </w:r>
      <w:r w:rsidRPr="00BA11E5">
        <w:tab/>
      </w:r>
      <w:r w:rsidRPr="00BA11E5">
        <w:tab/>
      </w:r>
      <w:r w:rsidRPr="00BA11E5">
        <w:tab/>
        <w:t xml:space="preserve">    </w:t>
      </w:r>
      <w:r w:rsidRPr="00BA11E5">
        <w:tab/>
        <w:t xml:space="preserve">    </w:t>
      </w:r>
      <w:r w:rsidRPr="00BA11E5">
        <w:tab/>
      </w:r>
      <w:r w:rsidRPr="00BA11E5">
        <w:tab/>
        <w:t>17.5%</w:t>
      </w:r>
    </w:p>
    <w:p w:rsidR="00790B5A" w:rsidRPr="00BA11E5" w:rsidRDefault="00E31927" w:rsidP="00790B5A">
      <w:pPr>
        <w:numPr>
          <w:ilvl w:val="2"/>
          <w:numId w:val="8"/>
        </w:numPr>
        <w:ind w:right="-86"/>
      </w:pPr>
      <w:r w:rsidRPr="00BA11E5">
        <w:t>Profit Margin</w:t>
      </w:r>
      <w:r w:rsidRPr="00BA11E5">
        <w:tab/>
      </w:r>
      <w:r w:rsidRPr="00BA11E5">
        <w:tab/>
      </w:r>
      <w:r w:rsidRPr="00BA11E5">
        <w:tab/>
        <w:t xml:space="preserve">              </w:t>
      </w:r>
      <w:r w:rsidRPr="00BA11E5">
        <w:tab/>
        <w:t xml:space="preserve">    </w:t>
      </w:r>
      <w:r w:rsidRPr="00BA11E5">
        <w:tab/>
      </w:r>
      <w:r w:rsidRPr="00BA11E5">
        <w:tab/>
        <w:t>10.5%</w:t>
      </w:r>
    </w:p>
    <w:p w:rsidR="00790B5A" w:rsidRPr="00BA11E5" w:rsidRDefault="00E31927" w:rsidP="00790B5A">
      <w:pPr>
        <w:numPr>
          <w:ilvl w:val="1"/>
          <w:numId w:val="10"/>
        </w:numPr>
        <w:ind w:right="-86"/>
      </w:pPr>
      <w:r w:rsidRPr="00BA11E5">
        <w:t>Debt Coverage</w:t>
      </w:r>
    </w:p>
    <w:p w:rsidR="00790B5A" w:rsidRPr="00BA11E5" w:rsidRDefault="00E31927" w:rsidP="00790B5A">
      <w:pPr>
        <w:numPr>
          <w:ilvl w:val="2"/>
          <w:numId w:val="8"/>
        </w:numPr>
        <w:ind w:right="-86"/>
      </w:pPr>
      <w:r w:rsidRPr="00BA11E5">
        <w:t>Total Debt/EBITDA</w:t>
      </w:r>
      <w:r w:rsidRPr="00BA11E5">
        <w:tab/>
      </w:r>
      <w:r w:rsidRPr="00BA11E5">
        <w:tab/>
        <w:t xml:space="preserve">    </w:t>
      </w:r>
      <w:r w:rsidRPr="00BA11E5">
        <w:tab/>
        <w:t xml:space="preserve">    </w:t>
      </w:r>
      <w:r w:rsidRPr="00BA11E5">
        <w:tab/>
      </w:r>
      <w:r w:rsidRPr="00BA11E5">
        <w:tab/>
      </w:r>
      <w:r w:rsidRPr="00BA11E5">
        <w:tab/>
        <w:t>17.5%</w:t>
      </w:r>
    </w:p>
    <w:p w:rsidR="00790B5A" w:rsidRPr="00BA11E5" w:rsidRDefault="00E31927" w:rsidP="00790B5A">
      <w:pPr>
        <w:numPr>
          <w:ilvl w:val="1"/>
          <w:numId w:val="10"/>
        </w:numPr>
        <w:ind w:right="-86"/>
      </w:pPr>
      <w:r w:rsidRPr="00BA11E5">
        <w:t>Leverage</w:t>
      </w:r>
    </w:p>
    <w:p w:rsidR="00790B5A" w:rsidRPr="00BA11E5" w:rsidRDefault="00E31927" w:rsidP="00790B5A">
      <w:pPr>
        <w:numPr>
          <w:ilvl w:val="2"/>
          <w:numId w:val="8"/>
        </w:numPr>
        <w:ind w:right="-86"/>
      </w:pPr>
      <w:r w:rsidRPr="00BA11E5">
        <w:t>Total Debt/Total Assets</w:t>
      </w:r>
      <w:r w:rsidRPr="00BA11E5">
        <w:tab/>
      </w:r>
      <w:r w:rsidRPr="00BA11E5">
        <w:tab/>
        <w:t xml:space="preserve">    </w:t>
      </w:r>
      <w:r w:rsidRPr="00BA11E5">
        <w:tab/>
        <w:t xml:space="preserve">    </w:t>
      </w:r>
      <w:r w:rsidRPr="00BA11E5">
        <w:tab/>
      </w:r>
      <w:r w:rsidRPr="00BA11E5">
        <w:tab/>
        <w:t>17.5%</w:t>
      </w:r>
    </w:p>
    <w:p w:rsidR="00790B5A" w:rsidRPr="00BA11E5" w:rsidRDefault="00E31927" w:rsidP="00790B5A">
      <w:pPr>
        <w:numPr>
          <w:ilvl w:val="1"/>
          <w:numId w:val="10"/>
        </w:numPr>
        <w:ind w:right="-86"/>
      </w:pPr>
      <w:r w:rsidRPr="00BA11E5">
        <w:t>Liquidity</w:t>
      </w:r>
    </w:p>
    <w:p w:rsidR="00790B5A" w:rsidRPr="00BA11E5" w:rsidRDefault="00E31927" w:rsidP="00790B5A">
      <w:pPr>
        <w:numPr>
          <w:ilvl w:val="2"/>
          <w:numId w:val="8"/>
        </w:numPr>
        <w:ind w:right="-86"/>
      </w:pPr>
      <w:r w:rsidRPr="00BA11E5">
        <w:t>Cash/Assets</w:t>
      </w:r>
      <w:r w:rsidRPr="00BA11E5">
        <w:tab/>
      </w:r>
      <w:r w:rsidRPr="00BA11E5">
        <w:tab/>
      </w:r>
      <w:r w:rsidRPr="00BA11E5">
        <w:tab/>
        <w:t xml:space="preserve">       </w:t>
      </w:r>
      <w:r w:rsidRPr="00BA11E5">
        <w:tab/>
        <w:t xml:space="preserve">     </w:t>
      </w:r>
      <w:r w:rsidRPr="00BA11E5">
        <w:tab/>
      </w:r>
      <w:r w:rsidRPr="00BA11E5">
        <w:tab/>
      </w:r>
      <w:r w:rsidRPr="00BA11E5">
        <w:tab/>
        <w:t xml:space="preserve">  7.0%</w:t>
      </w:r>
    </w:p>
    <w:p w:rsidR="00790B5A" w:rsidRPr="00BA11E5" w:rsidRDefault="00E31927" w:rsidP="00790B5A">
      <w:pPr>
        <w:numPr>
          <w:ilvl w:val="1"/>
          <w:numId w:val="10"/>
        </w:numPr>
        <w:ind w:right="-86"/>
      </w:pPr>
      <w:r w:rsidRPr="00BA11E5">
        <w:t>Qualitative Assessment</w:t>
      </w:r>
      <w:r w:rsidRPr="00BA11E5">
        <w:tab/>
      </w:r>
      <w:r w:rsidRPr="00BA11E5">
        <w:tab/>
        <w:t xml:space="preserve">    </w:t>
      </w:r>
      <w:r w:rsidRPr="00BA11E5">
        <w:tab/>
        <w:t xml:space="preserve">    </w:t>
      </w:r>
      <w:r w:rsidRPr="00BA11E5">
        <w:tab/>
        <w:t xml:space="preserve">                  </w:t>
      </w:r>
      <w:r w:rsidRPr="00BA11E5">
        <w:tab/>
        <w:t>30.0%</w:t>
      </w:r>
    </w:p>
    <w:p w:rsidR="00790B5A" w:rsidRPr="00BA11E5" w:rsidRDefault="00E31927" w:rsidP="00790B5A">
      <w:pPr>
        <w:ind w:right="-86"/>
      </w:pPr>
    </w:p>
    <w:p w:rsidR="00790B5A" w:rsidRPr="00BA11E5" w:rsidRDefault="00E31927" w:rsidP="00857EF7">
      <w:pPr>
        <w:pStyle w:val="alphapara"/>
        <w:rPr>
          <w:iCs/>
        </w:rPr>
      </w:pPr>
      <w:r w:rsidRPr="00BA11E5">
        <w:rPr>
          <w:iCs/>
        </w:rPr>
        <w:t>(c)</w:t>
      </w:r>
      <w:r w:rsidRPr="00BA11E5">
        <w:rPr>
          <w:iCs/>
        </w:rPr>
        <w:tab/>
        <w:t xml:space="preserve">If one or more of the indicators listed above does not exist for a Customer, then </w:t>
      </w:r>
      <w:r w:rsidRPr="00857EF7">
        <w:t>the</w:t>
      </w:r>
      <w:r w:rsidRPr="00BA11E5">
        <w:rPr>
          <w:iCs/>
        </w:rPr>
        <w:t xml:space="preserve"> ISO shall, in its sole discretion, reallocate the weight attributed to that indicator either (1) to the remaining indicators proportionately, or (2) entirely to the qualitative assessment indicator.</w:t>
      </w:r>
    </w:p>
    <w:p w:rsidR="00790B5A" w:rsidRDefault="00E31927" w:rsidP="00857EF7">
      <w:pPr>
        <w:pStyle w:val="alphapara"/>
      </w:pPr>
      <w:r w:rsidRPr="00BA11E5">
        <w:t>(d)</w:t>
      </w:r>
      <w:r w:rsidRPr="00BA11E5">
        <w:tab/>
        <w:t>The qualitative areas evaluated shall include, but s</w:t>
      </w:r>
      <w:r w:rsidRPr="00BA11E5">
        <w:t>hall not be limited to, the following (as applicable):  (1)</w:t>
      </w:r>
      <w:r>
        <w:t xml:space="preserve"> </w:t>
      </w:r>
      <w:r w:rsidRPr="00BA11E5">
        <w:t>Affiliate financial and market indicators, (2) ratemaking ability and legal right to fully recover end-user costs, (3) industry characteristics, (4) risk policies and procedur</w:t>
      </w:r>
      <w:r>
        <w:t>es, (5) management qu</w:t>
      </w:r>
      <w:r>
        <w:t>ality, (6) </w:t>
      </w:r>
      <w:r w:rsidRPr="00BA11E5">
        <w:t>ability to access funding in difficult market conditions, and (7) historical relationship and payment history with the ISO.  A Transmission Owner that can recover end-user costs pursuant to authority granted by the PSC will receive a qualitative</w:t>
      </w:r>
      <w:r w:rsidRPr="00BA11E5">
        <w:t xml:space="preserve"> assessment score of no worse than five</w:t>
      </w:r>
      <w:r>
        <w:t>.</w:t>
      </w:r>
    </w:p>
    <w:p w:rsidR="001D14B3" w:rsidRDefault="00E31927" w:rsidP="001D14B3">
      <w:pPr>
        <w:pStyle w:val="Heading4"/>
      </w:pPr>
      <w:bookmarkStart w:id="11" w:name="_Toc263691854"/>
      <w:bookmarkStart w:id="12" w:name="_DV_C39"/>
      <w:r>
        <w:t>26.4.3.6</w:t>
      </w:r>
      <w:r w:rsidRPr="00BA11E5">
        <w:tab/>
        <w:t>Public Power Entities</w:t>
      </w:r>
      <w:bookmarkEnd w:id="11"/>
      <w:r w:rsidRPr="00BA11E5">
        <w:t xml:space="preserve"> </w:t>
      </w:r>
    </w:p>
    <w:p w:rsidR="00790B5A" w:rsidRPr="00BA11E5" w:rsidRDefault="00E31927" w:rsidP="001D14B3">
      <w:pPr>
        <w:pStyle w:val="Bodypara"/>
      </w:pPr>
      <w:r w:rsidRPr="00BA11E5">
        <w:t>The following additional provisions shall apply to the determination of a Customer’s Unsecured Credit:</w:t>
      </w:r>
      <w:bookmarkEnd w:id="12"/>
    </w:p>
    <w:p w:rsidR="00790B5A" w:rsidRPr="001D14B3" w:rsidRDefault="00E31927" w:rsidP="001D14B3">
      <w:pPr>
        <w:pStyle w:val="alphapara"/>
        <w:rPr>
          <w:bCs/>
        </w:rPr>
      </w:pPr>
      <w:r w:rsidRPr="00BA11E5">
        <w:t>(a)</w:t>
      </w:r>
      <w:r w:rsidRPr="00BA11E5">
        <w:tab/>
        <w:t>A Public Power Entity shall qualify for one million dollars ($1M) in Unsecur</w:t>
      </w:r>
      <w:r w:rsidRPr="00BA11E5">
        <w:t>ed Credit, without regard for its Tangible Net Worth or Credit Assessment.  Once Market Participants approve the indexing methodology for adjusting this dollar limit, then the indexing methodology will be set forth in ISO Procedures and this dollar limit w</w:t>
      </w:r>
      <w:r w:rsidRPr="00BA11E5">
        <w:t>ill be adjusted annually in accordance with that methodology.</w:t>
      </w:r>
      <w:r w:rsidRPr="00B94819">
        <w:rPr>
          <w:u w:val="double"/>
        </w:rPr>
        <w:t xml:space="preserve">  </w:t>
      </w:r>
      <w:r>
        <w:t>Municipal electric systems that operate through a joint action agency or a similar municipal affiliation agreeme</w:t>
      </w:r>
      <w:r w:rsidRPr="001D14B3">
        <w:t>nt may</w:t>
      </w:r>
      <w:r w:rsidRPr="001D14B3">
        <w:t xml:space="preserve"> </w:t>
      </w:r>
      <w:r w:rsidRPr="001D14B3">
        <w:rPr>
          <w:bCs/>
        </w:rPr>
        <w:t xml:space="preserve">aggregate their Unsecured Credit amounts of one million dollars ($1M) per </w:t>
      </w:r>
      <w:r w:rsidRPr="001D14B3">
        <w:rPr>
          <w:bCs/>
        </w:rPr>
        <w:t>member such that the joint action agency will have an Unsecured Credit amount equal to the total of the Unsecured Credit amounts of each individual member.  Each such agency will qualify for such aggregated Unsecured Credit treatment subject to the ISO’s r</w:t>
      </w:r>
      <w:r w:rsidRPr="001D14B3">
        <w:rPr>
          <w:bCs/>
        </w:rPr>
        <w:t>eview of the particular affiliation agreement and the ISO’s review of documentation submitted by the agency to demonstrate that it has been formed under the pertinent sections of the New York State Municipal Law.</w:t>
      </w:r>
    </w:p>
    <w:p w:rsidR="00790B5A" w:rsidRPr="001D14B3" w:rsidRDefault="00E31927" w:rsidP="00A54564">
      <w:pPr>
        <w:pStyle w:val="alphapara"/>
        <w:rPr>
          <w:bCs/>
        </w:rPr>
      </w:pPr>
      <w:r w:rsidRPr="001D14B3">
        <w:rPr>
          <w:bCs/>
        </w:rPr>
        <w:t>(b)</w:t>
      </w:r>
      <w:r w:rsidRPr="001D14B3">
        <w:rPr>
          <w:bCs/>
        </w:rPr>
        <w:tab/>
        <w:t>In lieu of a one million dollar ($1M) g</w:t>
      </w:r>
      <w:r w:rsidRPr="001D14B3">
        <w:rPr>
          <w:bCs/>
        </w:rPr>
        <w:t xml:space="preserve">rant of Unsecured Credit, a Public Power Entity may request Unsecured Credit based on its Tangible Net Worth and Credit </w:t>
      </w:r>
      <w:r w:rsidRPr="001D14B3">
        <w:t>Assessment</w:t>
      </w:r>
      <w:r w:rsidRPr="001D14B3">
        <w:rPr>
          <w:bCs/>
        </w:rPr>
        <w:t>.  In such case, the ISO will consider the Public Power Entity a private entity for Credit Assessment purposes.</w:t>
      </w:r>
    </w:p>
    <w:p w:rsidR="00790B5A" w:rsidRPr="00F8629F" w:rsidRDefault="00E31927" w:rsidP="00A54564">
      <w:pPr>
        <w:pStyle w:val="alphapara"/>
      </w:pPr>
      <w:r w:rsidRPr="00F8629F">
        <w:t>(c)</w:t>
      </w:r>
      <w:r w:rsidRPr="00F8629F">
        <w:tab/>
        <w:t xml:space="preserve">At its </w:t>
      </w:r>
      <w:r w:rsidRPr="00F8629F">
        <w:t>request, a Public Power Entity that (1) is an Investment Grade Customer, (2) fulfills the additional reporting requirements set forth below,</w:t>
      </w:r>
      <w:r w:rsidRPr="006E32DF">
        <w:t xml:space="preserve"> </w:t>
      </w:r>
      <w:r w:rsidRPr="00F8629F">
        <w:t>and (3) uses its Unsecured Credit to meet its Native Load Credit Requirement only, may qualify for Unsecured Credit</w:t>
      </w:r>
      <w:r w:rsidRPr="00F8629F">
        <w:t>, without regard to its Tangible Net Worth or Credit Assessment, equal to the lesser of (x) sixty million dollars ($60M), or (y) its Native Load Credit Requirement.  Once Market Participants approve the indexing methodology for adjusting this dollar limit,</w:t>
      </w:r>
      <w:r w:rsidRPr="00F8629F">
        <w:t xml:space="preserve"> then the indexing methodology will be set forth in ISO Procedures and this dollar limit will be adjusted annually in accordance with that methodology.</w:t>
      </w:r>
    </w:p>
    <w:p w:rsidR="00790B5A" w:rsidRPr="00F8629F" w:rsidRDefault="00E31927" w:rsidP="007843B0">
      <w:pPr>
        <w:pStyle w:val="alphapara"/>
        <w:ind w:firstLine="0"/>
      </w:pPr>
      <w:r w:rsidRPr="00F8629F">
        <w:t>To fulfill the additional reporting requirements, a Public Power Entity must submit either (1) quarterly</w:t>
      </w:r>
      <w:r w:rsidRPr="00F8629F">
        <w:t xml:space="preserve"> financial statements within 60 days of quarter-end that have been certified for accuracy by a senior officer, or (2) if quarterly financial statements are not typically prepared, then (a) a copy of the current year adopted budget prior to the start of the</w:t>
      </w:r>
      <w:r w:rsidRPr="00F8629F">
        <w:t xml:space="preserve"> of the Customer’s fiscal year that has been certified for accuracy by a senior officer, and (b) within sixty (60) days of quarter-end, a statement from a senior officer certifying that actual costs have not exceeded budgeted costs by greater than 10%.</w:t>
      </w:r>
    </w:p>
    <w:p w:rsidR="00933259" w:rsidRPr="00A54564" w:rsidRDefault="00E31927" w:rsidP="00A54564">
      <w:pPr>
        <w:pStyle w:val="Heading3"/>
      </w:pPr>
      <w:bookmarkStart w:id="13" w:name="_Toc263691855"/>
      <w:r>
        <w:t>26.</w:t>
      </w:r>
      <w:r>
        <w:t>4.4</w:t>
      </w:r>
      <w:r w:rsidRPr="00F8629F">
        <w:tab/>
        <w:t>Affiliate Guarantors</w:t>
      </w:r>
      <w:bookmarkEnd w:id="13"/>
    </w:p>
    <w:p w:rsidR="00A74F16" w:rsidRPr="001D14B3" w:rsidRDefault="00E31927" w:rsidP="00A54564">
      <w:pPr>
        <w:pStyle w:val="Bodypara"/>
      </w:pPr>
      <w:r w:rsidRPr="001D14B3">
        <w:rPr>
          <w:bCs/>
        </w:rPr>
        <w:t xml:space="preserve">An Affiliate </w:t>
      </w:r>
      <w:r w:rsidRPr="001D14B3">
        <w:t>guarantor</w:t>
      </w:r>
      <w:r w:rsidRPr="001D14B3">
        <w:rPr>
          <w:bCs/>
        </w:rPr>
        <w:t xml:space="preserve"> shall be subject to the ISO’s financial assurance requirements as if the Affiliate guarantor were a Customer and shall be assigned a level of Unsecured Credit, if any.</w:t>
      </w:r>
      <w:r w:rsidRPr="001D14B3">
        <w:rPr>
          <w:bCs/>
          <w:strike/>
        </w:rPr>
        <w:t xml:space="preserve">  </w:t>
      </w:r>
    </w:p>
    <w:p w:rsidR="00933259" w:rsidRDefault="00E31927" w:rsidP="00A54564">
      <w:pPr>
        <w:pStyle w:val="Heading3"/>
        <w:rPr>
          <w:bCs/>
        </w:rPr>
      </w:pPr>
      <w:bookmarkStart w:id="14" w:name="_Toc263691856"/>
      <w:r>
        <w:t>26.4.5</w:t>
      </w:r>
      <w:r w:rsidRPr="00F8629F">
        <w:tab/>
        <w:t>Requests for Changes, Appeals</w:t>
      </w:r>
      <w:bookmarkEnd w:id="14"/>
      <w:r w:rsidRPr="00F8629F">
        <w:rPr>
          <w:bCs/>
        </w:rPr>
        <w:t xml:space="preserve">  </w:t>
      </w:r>
    </w:p>
    <w:p w:rsidR="00A74F16" w:rsidRPr="00F8629F" w:rsidRDefault="00E31927" w:rsidP="00A54564">
      <w:pPr>
        <w:pStyle w:val="Bodypara"/>
      </w:pPr>
      <w:r w:rsidRPr="00F8629F">
        <w:t>Requests for changes to the amount of a Customer’s Unsecured Credit shall be made in writing to the ISO Credit Manager.  Appeals of any decision regarding a Customer’s Unsecured Credit shall be made in writing to the ISO’s Chief Financial Officer and shal</w:t>
      </w:r>
      <w:r w:rsidRPr="00F8629F">
        <w:t>l include all necessary supporting documentation.  The Chief Financial Officer shall determine all appeals within ten (10) business days.</w:t>
      </w:r>
    </w:p>
    <w:sectPr w:rsidR="00A74F16" w:rsidRPr="00F8629F" w:rsidSect="00D052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E8A" w:rsidRDefault="00CC5E8A" w:rsidP="00CC5E8A">
      <w:pPr>
        <w:spacing w:after="0" w:line="240" w:lineRule="auto"/>
      </w:pPr>
      <w:r>
        <w:separator/>
      </w:r>
    </w:p>
  </w:endnote>
  <w:endnote w:type="continuationSeparator" w:id="0">
    <w:p w:rsidR="00CC5E8A" w:rsidRDefault="00CC5E8A" w:rsidP="00CC5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8A" w:rsidRDefault="00E3192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C5E8A">
      <w:rPr>
        <w:rFonts w:ascii="Arial" w:eastAsia="Arial" w:hAnsi="Arial" w:cs="Arial"/>
        <w:color w:val="000000"/>
        <w:sz w:val="16"/>
      </w:rPr>
      <w:fldChar w:fldCharType="begin"/>
    </w:r>
    <w:r>
      <w:rPr>
        <w:rFonts w:ascii="Arial" w:eastAsia="Arial" w:hAnsi="Arial" w:cs="Arial"/>
        <w:color w:val="000000"/>
        <w:sz w:val="16"/>
      </w:rPr>
      <w:instrText>PAGE</w:instrText>
    </w:r>
    <w:r w:rsidR="00CC5E8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8A" w:rsidRDefault="00E3192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C5E8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C5E8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8A" w:rsidRDefault="00E3192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C5E8A">
      <w:rPr>
        <w:rFonts w:ascii="Arial" w:eastAsia="Arial" w:hAnsi="Arial" w:cs="Arial"/>
        <w:color w:val="000000"/>
        <w:sz w:val="16"/>
      </w:rPr>
      <w:fldChar w:fldCharType="begin"/>
    </w:r>
    <w:r>
      <w:rPr>
        <w:rFonts w:ascii="Arial" w:eastAsia="Arial" w:hAnsi="Arial" w:cs="Arial"/>
        <w:color w:val="000000"/>
        <w:sz w:val="16"/>
      </w:rPr>
      <w:instrText>PAGE</w:instrText>
    </w:r>
    <w:r w:rsidR="00CC5E8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E8A" w:rsidRDefault="00CC5E8A" w:rsidP="00CC5E8A">
      <w:pPr>
        <w:spacing w:after="0" w:line="240" w:lineRule="auto"/>
      </w:pPr>
      <w:r>
        <w:separator/>
      </w:r>
    </w:p>
  </w:footnote>
  <w:footnote w:type="continuationSeparator" w:id="0">
    <w:p w:rsidR="00CC5E8A" w:rsidRDefault="00CC5E8A" w:rsidP="00CC5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8A" w:rsidRDefault="00E31927">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26 MST Attachment K - Creditworthiness Requirements For Cust --&gt; 26.4 MST Att K Unsecured Credit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8A" w:rsidRDefault="00E319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w:t>
    </w:r>
    <w:r>
      <w:rPr>
        <w:rFonts w:ascii="Arial" w:eastAsia="Arial" w:hAnsi="Arial" w:cs="Arial"/>
        <w:color w:val="000000"/>
        <w:sz w:val="16"/>
      </w:rPr>
      <w:t>ements For Cust --&gt; 26.4 MST Att K Unsecured Credit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8A" w:rsidRDefault="00E31927">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26 MST Attachment K - Creditworthiness Requirements For Cust --&gt; 26.4 MST Att K Unsecured Credit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4E2683E8">
      <w:start w:val="1"/>
      <w:numFmt w:val="lowerRoman"/>
      <w:lvlText w:val="(%1)"/>
      <w:lvlJc w:val="left"/>
      <w:pPr>
        <w:tabs>
          <w:tab w:val="num" w:pos="2160"/>
        </w:tabs>
        <w:ind w:left="2160" w:hanging="720"/>
      </w:pPr>
      <w:rPr>
        <w:rFonts w:hint="default"/>
      </w:rPr>
    </w:lvl>
    <w:lvl w:ilvl="1" w:tplc="0318F050" w:tentative="1">
      <w:start w:val="1"/>
      <w:numFmt w:val="lowerLetter"/>
      <w:lvlText w:val="%2."/>
      <w:lvlJc w:val="left"/>
      <w:pPr>
        <w:tabs>
          <w:tab w:val="num" w:pos="2520"/>
        </w:tabs>
        <w:ind w:left="2520" w:hanging="360"/>
      </w:pPr>
    </w:lvl>
    <w:lvl w:ilvl="2" w:tplc="BA9C92F2" w:tentative="1">
      <w:start w:val="1"/>
      <w:numFmt w:val="lowerRoman"/>
      <w:lvlText w:val="%3."/>
      <w:lvlJc w:val="right"/>
      <w:pPr>
        <w:tabs>
          <w:tab w:val="num" w:pos="3240"/>
        </w:tabs>
        <w:ind w:left="3240" w:hanging="180"/>
      </w:pPr>
    </w:lvl>
    <w:lvl w:ilvl="3" w:tplc="B06CCF1E" w:tentative="1">
      <w:start w:val="1"/>
      <w:numFmt w:val="decimal"/>
      <w:lvlText w:val="%4."/>
      <w:lvlJc w:val="left"/>
      <w:pPr>
        <w:tabs>
          <w:tab w:val="num" w:pos="3960"/>
        </w:tabs>
        <w:ind w:left="3960" w:hanging="360"/>
      </w:pPr>
    </w:lvl>
    <w:lvl w:ilvl="4" w:tplc="435C8F7E" w:tentative="1">
      <w:start w:val="1"/>
      <w:numFmt w:val="lowerLetter"/>
      <w:lvlText w:val="%5."/>
      <w:lvlJc w:val="left"/>
      <w:pPr>
        <w:tabs>
          <w:tab w:val="num" w:pos="4680"/>
        </w:tabs>
        <w:ind w:left="4680" w:hanging="360"/>
      </w:pPr>
    </w:lvl>
    <w:lvl w:ilvl="5" w:tplc="64663DE0" w:tentative="1">
      <w:start w:val="1"/>
      <w:numFmt w:val="lowerRoman"/>
      <w:lvlText w:val="%6."/>
      <w:lvlJc w:val="right"/>
      <w:pPr>
        <w:tabs>
          <w:tab w:val="num" w:pos="5400"/>
        </w:tabs>
        <w:ind w:left="5400" w:hanging="180"/>
      </w:pPr>
    </w:lvl>
    <w:lvl w:ilvl="6" w:tplc="0FB0212E" w:tentative="1">
      <w:start w:val="1"/>
      <w:numFmt w:val="decimal"/>
      <w:lvlText w:val="%7."/>
      <w:lvlJc w:val="left"/>
      <w:pPr>
        <w:tabs>
          <w:tab w:val="num" w:pos="6120"/>
        </w:tabs>
        <w:ind w:left="6120" w:hanging="360"/>
      </w:pPr>
    </w:lvl>
    <w:lvl w:ilvl="7" w:tplc="5884490A" w:tentative="1">
      <w:start w:val="1"/>
      <w:numFmt w:val="lowerLetter"/>
      <w:lvlText w:val="%8."/>
      <w:lvlJc w:val="left"/>
      <w:pPr>
        <w:tabs>
          <w:tab w:val="num" w:pos="6840"/>
        </w:tabs>
        <w:ind w:left="6840" w:hanging="360"/>
      </w:pPr>
    </w:lvl>
    <w:lvl w:ilvl="8" w:tplc="81E849A6"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184C8E1C">
      <w:start w:val="1"/>
      <w:numFmt w:val="bullet"/>
      <w:pStyle w:val="Bulletpara"/>
      <w:lvlText w:val=""/>
      <w:lvlJc w:val="left"/>
      <w:pPr>
        <w:tabs>
          <w:tab w:val="num" w:pos="720"/>
        </w:tabs>
        <w:ind w:left="720" w:hanging="360"/>
      </w:pPr>
      <w:rPr>
        <w:rFonts w:ascii="Symbol" w:hAnsi="Symbol" w:hint="default"/>
      </w:rPr>
    </w:lvl>
    <w:lvl w:ilvl="1" w:tplc="5F944714" w:tentative="1">
      <w:start w:val="1"/>
      <w:numFmt w:val="bullet"/>
      <w:lvlText w:val="o"/>
      <w:lvlJc w:val="left"/>
      <w:pPr>
        <w:tabs>
          <w:tab w:val="num" w:pos="1440"/>
        </w:tabs>
        <w:ind w:left="1440" w:hanging="360"/>
      </w:pPr>
      <w:rPr>
        <w:rFonts w:ascii="Courier New" w:hAnsi="Courier New" w:cs="Courier New" w:hint="default"/>
      </w:rPr>
    </w:lvl>
    <w:lvl w:ilvl="2" w:tplc="1786DC36" w:tentative="1">
      <w:start w:val="1"/>
      <w:numFmt w:val="bullet"/>
      <w:lvlText w:val=""/>
      <w:lvlJc w:val="left"/>
      <w:pPr>
        <w:tabs>
          <w:tab w:val="num" w:pos="2160"/>
        </w:tabs>
        <w:ind w:left="2160" w:hanging="360"/>
      </w:pPr>
      <w:rPr>
        <w:rFonts w:ascii="Wingdings" w:hAnsi="Wingdings" w:hint="default"/>
      </w:rPr>
    </w:lvl>
    <w:lvl w:ilvl="3" w:tplc="A622F5CA" w:tentative="1">
      <w:start w:val="1"/>
      <w:numFmt w:val="bullet"/>
      <w:lvlText w:val=""/>
      <w:lvlJc w:val="left"/>
      <w:pPr>
        <w:tabs>
          <w:tab w:val="num" w:pos="2880"/>
        </w:tabs>
        <w:ind w:left="2880" w:hanging="360"/>
      </w:pPr>
      <w:rPr>
        <w:rFonts w:ascii="Symbol" w:hAnsi="Symbol" w:hint="default"/>
      </w:rPr>
    </w:lvl>
    <w:lvl w:ilvl="4" w:tplc="F6968A12" w:tentative="1">
      <w:start w:val="1"/>
      <w:numFmt w:val="bullet"/>
      <w:lvlText w:val="o"/>
      <w:lvlJc w:val="left"/>
      <w:pPr>
        <w:tabs>
          <w:tab w:val="num" w:pos="3600"/>
        </w:tabs>
        <w:ind w:left="3600" w:hanging="360"/>
      </w:pPr>
      <w:rPr>
        <w:rFonts w:ascii="Courier New" w:hAnsi="Courier New" w:cs="Courier New" w:hint="default"/>
      </w:rPr>
    </w:lvl>
    <w:lvl w:ilvl="5" w:tplc="7480CBC8" w:tentative="1">
      <w:start w:val="1"/>
      <w:numFmt w:val="bullet"/>
      <w:lvlText w:val=""/>
      <w:lvlJc w:val="left"/>
      <w:pPr>
        <w:tabs>
          <w:tab w:val="num" w:pos="4320"/>
        </w:tabs>
        <w:ind w:left="4320" w:hanging="360"/>
      </w:pPr>
      <w:rPr>
        <w:rFonts w:ascii="Wingdings" w:hAnsi="Wingdings" w:hint="default"/>
      </w:rPr>
    </w:lvl>
    <w:lvl w:ilvl="6" w:tplc="567AE67C" w:tentative="1">
      <w:start w:val="1"/>
      <w:numFmt w:val="bullet"/>
      <w:lvlText w:val=""/>
      <w:lvlJc w:val="left"/>
      <w:pPr>
        <w:tabs>
          <w:tab w:val="num" w:pos="5040"/>
        </w:tabs>
        <w:ind w:left="5040" w:hanging="360"/>
      </w:pPr>
      <w:rPr>
        <w:rFonts w:ascii="Symbol" w:hAnsi="Symbol" w:hint="default"/>
      </w:rPr>
    </w:lvl>
    <w:lvl w:ilvl="7" w:tplc="D9AA11DC" w:tentative="1">
      <w:start w:val="1"/>
      <w:numFmt w:val="bullet"/>
      <w:lvlText w:val="o"/>
      <w:lvlJc w:val="left"/>
      <w:pPr>
        <w:tabs>
          <w:tab w:val="num" w:pos="5760"/>
        </w:tabs>
        <w:ind w:left="5760" w:hanging="360"/>
      </w:pPr>
      <w:rPr>
        <w:rFonts w:ascii="Courier New" w:hAnsi="Courier New" w:cs="Courier New" w:hint="default"/>
      </w:rPr>
    </w:lvl>
    <w:lvl w:ilvl="8" w:tplc="99CCA520"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EA90453C">
      <w:start w:val="3"/>
      <w:numFmt w:val="lowerRoman"/>
      <w:lvlText w:val="(%1)"/>
      <w:lvlJc w:val="left"/>
      <w:pPr>
        <w:tabs>
          <w:tab w:val="num" w:pos="1440"/>
        </w:tabs>
        <w:ind w:left="1440" w:hanging="720"/>
      </w:pPr>
      <w:rPr>
        <w:rFonts w:hint="default"/>
        <w:b/>
      </w:rPr>
    </w:lvl>
    <w:lvl w:ilvl="1" w:tplc="83FAA7CA" w:tentative="1">
      <w:start w:val="1"/>
      <w:numFmt w:val="lowerLetter"/>
      <w:lvlText w:val="%2."/>
      <w:lvlJc w:val="left"/>
      <w:pPr>
        <w:tabs>
          <w:tab w:val="num" w:pos="1800"/>
        </w:tabs>
        <w:ind w:left="1800" w:hanging="360"/>
      </w:pPr>
    </w:lvl>
    <w:lvl w:ilvl="2" w:tplc="8102C3CE" w:tentative="1">
      <w:start w:val="1"/>
      <w:numFmt w:val="lowerRoman"/>
      <w:lvlText w:val="%3."/>
      <w:lvlJc w:val="right"/>
      <w:pPr>
        <w:tabs>
          <w:tab w:val="num" w:pos="2520"/>
        </w:tabs>
        <w:ind w:left="2520" w:hanging="180"/>
      </w:pPr>
    </w:lvl>
    <w:lvl w:ilvl="3" w:tplc="5F781A7C" w:tentative="1">
      <w:start w:val="1"/>
      <w:numFmt w:val="decimal"/>
      <w:lvlText w:val="%4."/>
      <w:lvlJc w:val="left"/>
      <w:pPr>
        <w:tabs>
          <w:tab w:val="num" w:pos="3240"/>
        </w:tabs>
        <w:ind w:left="3240" w:hanging="360"/>
      </w:pPr>
    </w:lvl>
    <w:lvl w:ilvl="4" w:tplc="547ED316" w:tentative="1">
      <w:start w:val="1"/>
      <w:numFmt w:val="lowerLetter"/>
      <w:lvlText w:val="%5."/>
      <w:lvlJc w:val="left"/>
      <w:pPr>
        <w:tabs>
          <w:tab w:val="num" w:pos="3960"/>
        </w:tabs>
        <w:ind w:left="3960" w:hanging="360"/>
      </w:pPr>
    </w:lvl>
    <w:lvl w:ilvl="5" w:tplc="6A0E1794" w:tentative="1">
      <w:start w:val="1"/>
      <w:numFmt w:val="lowerRoman"/>
      <w:lvlText w:val="%6."/>
      <w:lvlJc w:val="right"/>
      <w:pPr>
        <w:tabs>
          <w:tab w:val="num" w:pos="4680"/>
        </w:tabs>
        <w:ind w:left="4680" w:hanging="180"/>
      </w:pPr>
    </w:lvl>
    <w:lvl w:ilvl="6" w:tplc="023E87AC" w:tentative="1">
      <w:start w:val="1"/>
      <w:numFmt w:val="decimal"/>
      <w:lvlText w:val="%7."/>
      <w:lvlJc w:val="left"/>
      <w:pPr>
        <w:tabs>
          <w:tab w:val="num" w:pos="5400"/>
        </w:tabs>
        <w:ind w:left="5400" w:hanging="360"/>
      </w:pPr>
    </w:lvl>
    <w:lvl w:ilvl="7" w:tplc="5F8020B4" w:tentative="1">
      <w:start w:val="1"/>
      <w:numFmt w:val="lowerLetter"/>
      <w:lvlText w:val="%8."/>
      <w:lvlJc w:val="left"/>
      <w:pPr>
        <w:tabs>
          <w:tab w:val="num" w:pos="6120"/>
        </w:tabs>
        <w:ind w:left="6120" w:hanging="360"/>
      </w:pPr>
    </w:lvl>
    <w:lvl w:ilvl="8" w:tplc="08DC3E1C"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0A2EE1B0">
      <w:start w:val="1"/>
      <w:numFmt w:val="lowerRoman"/>
      <w:lvlText w:val="(%1)"/>
      <w:lvlJc w:val="left"/>
      <w:pPr>
        <w:tabs>
          <w:tab w:val="num" w:pos="2160"/>
        </w:tabs>
        <w:ind w:left="2160" w:hanging="720"/>
      </w:pPr>
      <w:rPr>
        <w:rFonts w:hint="default"/>
      </w:rPr>
    </w:lvl>
    <w:lvl w:ilvl="1" w:tplc="CD7CC386" w:tentative="1">
      <w:start w:val="1"/>
      <w:numFmt w:val="lowerLetter"/>
      <w:lvlText w:val="%2."/>
      <w:lvlJc w:val="left"/>
      <w:pPr>
        <w:tabs>
          <w:tab w:val="num" w:pos="2520"/>
        </w:tabs>
        <w:ind w:left="2520" w:hanging="360"/>
      </w:pPr>
    </w:lvl>
    <w:lvl w:ilvl="2" w:tplc="893ADEA8" w:tentative="1">
      <w:start w:val="1"/>
      <w:numFmt w:val="lowerRoman"/>
      <w:lvlText w:val="%3."/>
      <w:lvlJc w:val="right"/>
      <w:pPr>
        <w:tabs>
          <w:tab w:val="num" w:pos="3240"/>
        </w:tabs>
        <w:ind w:left="3240" w:hanging="180"/>
      </w:pPr>
    </w:lvl>
    <w:lvl w:ilvl="3" w:tplc="650CF988" w:tentative="1">
      <w:start w:val="1"/>
      <w:numFmt w:val="decimal"/>
      <w:lvlText w:val="%4."/>
      <w:lvlJc w:val="left"/>
      <w:pPr>
        <w:tabs>
          <w:tab w:val="num" w:pos="3960"/>
        </w:tabs>
        <w:ind w:left="3960" w:hanging="360"/>
      </w:pPr>
    </w:lvl>
    <w:lvl w:ilvl="4" w:tplc="5F1ADC22" w:tentative="1">
      <w:start w:val="1"/>
      <w:numFmt w:val="lowerLetter"/>
      <w:lvlText w:val="%5."/>
      <w:lvlJc w:val="left"/>
      <w:pPr>
        <w:tabs>
          <w:tab w:val="num" w:pos="4680"/>
        </w:tabs>
        <w:ind w:left="4680" w:hanging="360"/>
      </w:pPr>
    </w:lvl>
    <w:lvl w:ilvl="5" w:tplc="912EF8F6" w:tentative="1">
      <w:start w:val="1"/>
      <w:numFmt w:val="lowerRoman"/>
      <w:lvlText w:val="%6."/>
      <w:lvlJc w:val="right"/>
      <w:pPr>
        <w:tabs>
          <w:tab w:val="num" w:pos="5400"/>
        </w:tabs>
        <w:ind w:left="5400" w:hanging="180"/>
      </w:pPr>
    </w:lvl>
    <w:lvl w:ilvl="6" w:tplc="BA0E6134" w:tentative="1">
      <w:start w:val="1"/>
      <w:numFmt w:val="decimal"/>
      <w:lvlText w:val="%7."/>
      <w:lvlJc w:val="left"/>
      <w:pPr>
        <w:tabs>
          <w:tab w:val="num" w:pos="6120"/>
        </w:tabs>
        <w:ind w:left="6120" w:hanging="360"/>
      </w:pPr>
    </w:lvl>
    <w:lvl w:ilvl="7" w:tplc="75141388" w:tentative="1">
      <w:start w:val="1"/>
      <w:numFmt w:val="lowerLetter"/>
      <w:lvlText w:val="%8."/>
      <w:lvlJc w:val="left"/>
      <w:pPr>
        <w:tabs>
          <w:tab w:val="num" w:pos="6840"/>
        </w:tabs>
        <w:ind w:left="6840" w:hanging="360"/>
      </w:pPr>
    </w:lvl>
    <w:lvl w:ilvl="8" w:tplc="89F26DEA"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D71E1B0C">
      <w:start w:val="1"/>
      <w:numFmt w:val="bullet"/>
      <w:lvlText w:val=""/>
      <w:lvlJc w:val="left"/>
      <w:pPr>
        <w:tabs>
          <w:tab w:val="num" w:pos="720"/>
        </w:tabs>
        <w:ind w:left="720" w:hanging="360"/>
      </w:pPr>
      <w:rPr>
        <w:rFonts w:ascii="Wingdings" w:hAnsi="Wingdings" w:hint="default"/>
      </w:rPr>
    </w:lvl>
    <w:lvl w:ilvl="1" w:tplc="E7D0A8AA">
      <w:start w:val="188"/>
      <w:numFmt w:val="bullet"/>
      <w:lvlText w:val=""/>
      <w:lvlJc w:val="left"/>
      <w:pPr>
        <w:tabs>
          <w:tab w:val="num" w:pos="1440"/>
        </w:tabs>
        <w:ind w:left="1440" w:hanging="360"/>
      </w:pPr>
      <w:rPr>
        <w:rFonts w:ascii="Wingdings" w:hAnsi="Wingdings" w:hint="default"/>
        <w:u w:val="none"/>
      </w:rPr>
    </w:lvl>
    <w:lvl w:ilvl="2" w:tplc="025272DA">
      <w:start w:val="188"/>
      <w:numFmt w:val="bullet"/>
      <w:lvlText w:val="•"/>
      <w:lvlJc w:val="left"/>
      <w:pPr>
        <w:tabs>
          <w:tab w:val="num" w:pos="2160"/>
        </w:tabs>
        <w:ind w:left="2160" w:hanging="360"/>
      </w:pPr>
      <w:rPr>
        <w:rFonts w:ascii="Times New Roman" w:hAnsi="Times New Roman" w:hint="default"/>
        <w:u w:val="double"/>
      </w:rPr>
    </w:lvl>
    <w:lvl w:ilvl="3" w:tplc="8E0ABF26" w:tentative="1">
      <w:start w:val="1"/>
      <w:numFmt w:val="bullet"/>
      <w:lvlText w:val=""/>
      <w:lvlJc w:val="left"/>
      <w:pPr>
        <w:tabs>
          <w:tab w:val="num" w:pos="2880"/>
        </w:tabs>
        <w:ind w:left="2880" w:hanging="360"/>
      </w:pPr>
      <w:rPr>
        <w:rFonts w:ascii="Wingdings" w:hAnsi="Wingdings" w:hint="default"/>
      </w:rPr>
    </w:lvl>
    <w:lvl w:ilvl="4" w:tplc="C834EF36" w:tentative="1">
      <w:start w:val="1"/>
      <w:numFmt w:val="bullet"/>
      <w:lvlText w:val=""/>
      <w:lvlJc w:val="left"/>
      <w:pPr>
        <w:tabs>
          <w:tab w:val="num" w:pos="3600"/>
        </w:tabs>
        <w:ind w:left="3600" w:hanging="360"/>
      </w:pPr>
      <w:rPr>
        <w:rFonts w:ascii="Wingdings" w:hAnsi="Wingdings" w:hint="default"/>
      </w:rPr>
    </w:lvl>
    <w:lvl w:ilvl="5" w:tplc="8BC21126" w:tentative="1">
      <w:start w:val="1"/>
      <w:numFmt w:val="bullet"/>
      <w:lvlText w:val=""/>
      <w:lvlJc w:val="left"/>
      <w:pPr>
        <w:tabs>
          <w:tab w:val="num" w:pos="4320"/>
        </w:tabs>
        <w:ind w:left="4320" w:hanging="360"/>
      </w:pPr>
      <w:rPr>
        <w:rFonts w:ascii="Wingdings" w:hAnsi="Wingdings" w:hint="default"/>
      </w:rPr>
    </w:lvl>
    <w:lvl w:ilvl="6" w:tplc="4C420FD0" w:tentative="1">
      <w:start w:val="1"/>
      <w:numFmt w:val="bullet"/>
      <w:lvlText w:val=""/>
      <w:lvlJc w:val="left"/>
      <w:pPr>
        <w:tabs>
          <w:tab w:val="num" w:pos="5040"/>
        </w:tabs>
        <w:ind w:left="5040" w:hanging="360"/>
      </w:pPr>
      <w:rPr>
        <w:rFonts w:ascii="Wingdings" w:hAnsi="Wingdings" w:hint="default"/>
      </w:rPr>
    </w:lvl>
    <w:lvl w:ilvl="7" w:tplc="24A2A690" w:tentative="1">
      <w:start w:val="1"/>
      <w:numFmt w:val="bullet"/>
      <w:lvlText w:val=""/>
      <w:lvlJc w:val="left"/>
      <w:pPr>
        <w:tabs>
          <w:tab w:val="num" w:pos="5760"/>
        </w:tabs>
        <w:ind w:left="5760" w:hanging="360"/>
      </w:pPr>
      <w:rPr>
        <w:rFonts w:ascii="Wingdings" w:hAnsi="Wingdings" w:hint="default"/>
      </w:rPr>
    </w:lvl>
    <w:lvl w:ilvl="8" w:tplc="4F2849B2"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A62EBE1A">
      <w:start w:val="1"/>
      <w:numFmt w:val="lowerRoman"/>
      <w:lvlText w:val="(%1)"/>
      <w:lvlJc w:val="left"/>
      <w:pPr>
        <w:tabs>
          <w:tab w:val="num" w:pos="2448"/>
        </w:tabs>
        <w:ind w:left="2448" w:hanging="648"/>
      </w:pPr>
      <w:rPr>
        <w:rFonts w:hint="default"/>
        <w:b w:val="0"/>
        <w:i w:val="0"/>
        <w:u w:val="none"/>
      </w:rPr>
    </w:lvl>
    <w:lvl w:ilvl="1" w:tplc="9C644A7C" w:tentative="1">
      <w:start w:val="1"/>
      <w:numFmt w:val="lowerLetter"/>
      <w:lvlText w:val="%2."/>
      <w:lvlJc w:val="left"/>
      <w:pPr>
        <w:tabs>
          <w:tab w:val="num" w:pos="1440"/>
        </w:tabs>
        <w:ind w:left="1440" w:hanging="360"/>
      </w:pPr>
    </w:lvl>
    <w:lvl w:ilvl="2" w:tplc="D404466A" w:tentative="1">
      <w:start w:val="1"/>
      <w:numFmt w:val="lowerRoman"/>
      <w:lvlText w:val="%3."/>
      <w:lvlJc w:val="right"/>
      <w:pPr>
        <w:tabs>
          <w:tab w:val="num" w:pos="2160"/>
        </w:tabs>
        <w:ind w:left="2160" w:hanging="180"/>
      </w:pPr>
    </w:lvl>
    <w:lvl w:ilvl="3" w:tplc="C6123E5E" w:tentative="1">
      <w:start w:val="1"/>
      <w:numFmt w:val="decimal"/>
      <w:lvlText w:val="%4."/>
      <w:lvlJc w:val="left"/>
      <w:pPr>
        <w:tabs>
          <w:tab w:val="num" w:pos="2880"/>
        </w:tabs>
        <w:ind w:left="2880" w:hanging="360"/>
      </w:pPr>
    </w:lvl>
    <w:lvl w:ilvl="4" w:tplc="F0824C24" w:tentative="1">
      <w:start w:val="1"/>
      <w:numFmt w:val="lowerLetter"/>
      <w:lvlText w:val="%5."/>
      <w:lvlJc w:val="left"/>
      <w:pPr>
        <w:tabs>
          <w:tab w:val="num" w:pos="3600"/>
        </w:tabs>
        <w:ind w:left="3600" w:hanging="360"/>
      </w:pPr>
    </w:lvl>
    <w:lvl w:ilvl="5" w:tplc="61C42678" w:tentative="1">
      <w:start w:val="1"/>
      <w:numFmt w:val="lowerRoman"/>
      <w:lvlText w:val="%6."/>
      <w:lvlJc w:val="right"/>
      <w:pPr>
        <w:tabs>
          <w:tab w:val="num" w:pos="4320"/>
        </w:tabs>
        <w:ind w:left="4320" w:hanging="180"/>
      </w:pPr>
    </w:lvl>
    <w:lvl w:ilvl="6" w:tplc="51B4E8DA" w:tentative="1">
      <w:start w:val="1"/>
      <w:numFmt w:val="decimal"/>
      <w:lvlText w:val="%7."/>
      <w:lvlJc w:val="left"/>
      <w:pPr>
        <w:tabs>
          <w:tab w:val="num" w:pos="5040"/>
        </w:tabs>
        <w:ind w:left="5040" w:hanging="360"/>
      </w:pPr>
    </w:lvl>
    <w:lvl w:ilvl="7" w:tplc="A5BEF172" w:tentative="1">
      <w:start w:val="1"/>
      <w:numFmt w:val="lowerLetter"/>
      <w:lvlText w:val="%8."/>
      <w:lvlJc w:val="left"/>
      <w:pPr>
        <w:tabs>
          <w:tab w:val="num" w:pos="5760"/>
        </w:tabs>
        <w:ind w:left="5760" w:hanging="360"/>
      </w:pPr>
    </w:lvl>
    <w:lvl w:ilvl="8" w:tplc="576E7CD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3B407E24">
      <w:start w:val="1"/>
      <w:numFmt w:val="bullet"/>
      <w:lvlText w:val=""/>
      <w:lvlJc w:val="left"/>
      <w:pPr>
        <w:tabs>
          <w:tab w:val="num" w:pos="720"/>
        </w:tabs>
        <w:ind w:left="720" w:hanging="360"/>
      </w:pPr>
      <w:rPr>
        <w:rFonts w:ascii="Wingdings" w:hAnsi="Wingdings" w:hint="default"/>
      </w:rPr>
    </w:lvl>
    <w:lvl w:ilvl="1" w:tplc="94DEAF66">
      <w:start w:val="11463"/>
      <w:numFmt w:val="bullet"/>
      <w:lvlText w:val=""/>
      <w:lvlJc w:val="left"/>
      <w:pPr>
        <w:tabs>
          <w:tab w:val="num" w:pos="1440"/>
        </w:tabs>
        <w:ind w:left="1440" w:hanging="360"/>
      </w:pPr>
      <w:rPr>
        <w:rFonts w:ascii="Wingdings" w:hAnsi="Wingdings" w:hint="default"/>
        <w:u w:val="none"/>
      </w:rPr>
    </w:lvl>
    <w:lvl w:ilvl="2" w:tplc="90406BF8">
      <w:start w:val="11463"/>
      <w:numFmt w:val="bullet"/>
      <w:lvlText w:val="•"/>
      <w:lvlJc w:val="left"/>
      <w:pPr>
        <w:tabs>
          <w:tab w:val="num" w:pos="2160"/>
        </w:tabs>
        <w:ind w:left="2160" w:hanging="360"/>
      </w:pPr>
      <w:rPr>
        <w:rFonts w:ascii="Times New Roman" w:hAnsi="Times New Roman" w:hint="default"/>
      </w:rPr>
    </w:lvl>
    <w:lvl w:ilvl="3" w:tplc="7B060110" w:tentative="1">
      <w:start w:val="1"/>
      <w:numFmt w:val="bullet"/>
      <w:lvlText w:val=""/>
      <w:lvlJc w:val="left"/>
      <w:pPr>
        <w:tabs>
          <w:tab w:val="num" w:pos="2880"/>
        </w:tabs>
        <w:ind w:left="2880" w:hanging="360"/>
      </w:pPr>
      <w:rPr>
        <w:rFonts w:ascii="Wingdings" w:hAnsi="Wingdings" w:hint="default"/>
      </w:rPr>
    </w:lvl>
    <w:lvl w:ilvl="4" w:tplc="442838AE" w:tentative="1">
      <w:start w:val="1"/>
      <w:numFmt w:val="bullet"/>
      <w:lvlText w:val=""/>
      <w:lvlJc w:val="left"/>
      <w:pPr>
        <w:tabs>
          <w:tab w:val="num" w:pos="3600"/>
        </w:tabs>
        <w:ind w:left="3600" w:hanging="360"/>
      </w:pPr>
      <w:rPr>
        <w:rFonts w:ascii="Wingdings" w:hAnsi="Wingdings" w:hint="default"/>
      </w:rPr>
    </w:lvl>
    <w:lvl w:ilvl="5" w:tplc="DAF0CDA2" w:tentative="1">
      <w:start w:val="1"/>
      <w:numFmt w:val="bullet"/>
      <w:lvlText w:val=""/>
      <w:lvlJc w:val="left"/>
      <w:pPr>
        <w:tabs>
          <w:tab w:val="num" w:pos="4320"/>
        </w:tabs>
        <w:ind w:left="4320" w:hanging="360"/>
      </w:pPr>
      <w:rPr>
        <w:rFonts w:ascii="Wingdings" w:hAnsi="Wingdings" w:hint="default"/>
      </w:rPr>
    </w:lvl>
    <w:lvl w:ilvl="6" w:tplc="55F888BE" w:tentative="1">
      <w:start w:val="1"/>
      <w:numFmt w:val="bullet"/>
      <w:lvlText w:val=""/>
      <w:lvlJc w:val="left"/>
      <w:pPr>
        <w:tabs>
          <w:tab w:val="num" w:pos="5040"/>
        </w:tabs>
        <w:ind w:left="5040" w:hanging="360"/>
      </w:pPr>
      <w:rPr>
        <w:rFonts w:ascii="Wingdings" w:hAnsi="Wingdings" w:hint="default"/>
      </w:rPr>
    </w:lvl>
    <w:lvl w:ilvl="7" w:tplc="789ED226" w:tentative="1">
      <w:start w:val="1"/>
      <w:numFmt w:val="bullet"/>
      <w:lvlText w:val=""/>
      <w:lvlJc w:val="left"/>
      <w:pPr>
        <w:tabs>
          <w:tab w:val="num" w:pos="5760"/>
        </w:tabs>
        <w:ind w:left="5760" w:hanging="360"/>
      </w:pPr>
      <w:rPr>
        <w:rFonts w:ascii="Wingdings" w:hAnsi="Wingdings" w:hint="default"/>
      </w:rPr>
    </w:lvl>
    <w:lvl w:ilvl="8" w:tplc="A286801A"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B9F8D4AA">
      <w:start w:val="1"/>
      <w:numFmt w:val="bullet"/>
      <w:lvlText w:val=""/>
      <w:lvlJc w:val="left"/>
      <w:pPr>
        <w:tabs>
          <w:tab w:val="num" w:pos="5760"/>
        </w:tabs>
        <w:ind w:left="5760" w:hanging="360"/>
      </w:pPr>
      <w:rPr>
        <w:rFonts w:ascii="Symbol" w:hAnsi="Symbol" w:hint="default"/>
        <w:color w:val="auto"/>
        <w:u w:val="none"/>
      </w:rPr>
    </w:lvl>
    <w:lvl w:ilvl="1" w:tplc="2B06D3EC" w:tentative="1">
      <w:start w:val="1"/>
      <w:numFmt w:val="bullet"/>
      <w:lvlText w:val="o"/>
      <w:lvlJc w:val="left"/>
      <w:pPr>
        <w:tabs>
          <w:tab w:val="num" w:pos="3600"/>
        </w:tabs>
        <w:ind w:left="3600" w:hanging="360"/>
      </w:pPr>
      <w:rPr>
        <w:rFonts w:ascii="Courier New" w:hAnsi="Courier New" w:hint="default"/>
      </w:rPr>
    </w:lvl>
    <w:lvl w:ilvl="2" w:tplc="83DC2934" w:tentative="1">
      <w:start w:val="1"/>
      <w:numFmt w:val="bullet"/>
      <w:lvlText w:val=""/>
      <w:lvlJc w:val="left"/>
      <w:pPr>
        <w:tabs>
          <w:tab w:val="num" w:pos="4320"/>
        </w:tabs>
        <w:ind w:left="4320" w:hanging="360"/>
      </w:pPr>
      <w:rPr>
        <w:rFonts w:ascii="Wingdings" w:hAnsi="Wingdings" w:hint="default"/>
      </w:rPr>
    </w:lvl>
    <w:lvl w:ilvl="3" w:tplc="1E120B20">
      <w:start w:val="1"/>
      <w:numFmt w:val="bullet"/>
      <w:lvlText w:val=""/>
      <w:lvlJc w:val="left"/>
      <w:pPr>
        <w:tabs>
          <w:tab w:val="num" w:pos="5040"/>
        </w:tabs>
        <w:ind w:left="5040" w:hanging="360"/>
      </w:pPr>
      <w:rPr>
        <w:rFonts w:ascii="Symbol" w:hAnsi="Symbol" w:hint="default"/>
      </w:rPr>
    </w:lvl>
    <w:lvl w:ilvl="4" w:tplc="052A775A" w:tentative="1">
      <w:start w:val="1"/>
      <w:numFmt w:val="bullet"/>
      <w:lvlText w:val="o"/>
      <w:lvlJc w:val="left"/>
      <w:pPr>
        <w:tabs>
          <w:tab w:val="num" w:pos="5760"/>
        </w:tabs>
        <w:ind w:left="5760" w:hanging="360"/>
      </w:pPr>
      <w:rPr>
        <w:rFonts w:ascii="Courier New" w:hAnsi="Courier New" w:hint="default"/>
      </w:rPr>
    </w:lvl>
    <w:lvl w:ilvl="5" w:tplc="47329D1A" w:tentative="1">
      <w:start w:val="1"/>
      <w:numFmt w:val="bullet"/>
      <w:lvlText w:val=""/>
      <w:lvlJc w:val="left"/>
      <w:pPr>
        <w:tabs>
          <w:tab w:val="num" w:pos="6480"/>
        </w:tabs>
        <w:ind w:left="6480" w:hanging="360"/>
      </w:pPr>
      <w:rPr>
        <w:rFonts w:ascii="Wingdings" w:hAnsi="Wingdings" w:hint="default"/>
      </w:rPr>
    </w:lvl>
    <w:lvl w:ilvl="6" w:tplc="6EBCAE26" w:tentative="1">
      <w:start w:val="1"/>
      <w:numFmt w:val="bullet"/>
      <w:lvlText w:val=""/>
      <w:lvlJc w:val="left"/>
      <w:pPr>
        <w:tabs>
          <w:tab w:val="num" w:pos="7200"/>
        </w:tabs>
        <w:ind w:left="7200" w:hanging="360"/>
      </w:pPr>
      <w:rPr>
        <w:rFonts w:ascii="Symbol" w:hAnsi="Symbol" w:hint="default"/>
      </w:rPr>
    </w:lvl>
    <w:lvl w:ilvl="7" w:tplc="6B2E3B04" w:tentative="1">
      <w:start w:val="1"/>
      <w:numFmt w:val="bullet"/>
      <w:lvlText w:val="o"/>
      <w:lvlJc w:val="left"/>
      <w:pPr>
        <w:tabs>
          <w:tab w:val="num" w:pos="7920"/>
        </w:tabs>
        <w:ind w:left="7920" w:hanging="360"/>
      </w:pPr>
      <w:rPr>
        <w:rFonts w:ascii="Courier New" w:hAnsi="Courier New" w:hint="default"/>
      </w:rPr>
    </w:lvl>
    <w:lvl w:ilvl="8" w:tplc="612E9EEC"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B4604A2A">
      <w:start w:val="2"/>
      <w:numFmt w:val="upperLetter"/>
      <w:lvlText w:val="%1."/>
      <w:lvlJc w:val="left"/>
      <w:pPr>
        <w:tabs>
          <w:tab w:val="num" w:pos="1440"/>
        </w:tabs>
        <w:ind w:left="1440" w:hanging="720"/>
      </w:pPr>
      <w:rPr>
        <w:rFonts w:hint="default"/>
      </w:rPr>
    </w:lvl>
    <w:lvl w:ilvl="1" w:tplc="C5E0AA04">
      <w:start w:val="2"/>
      <w:numFmt w:val="lowerRoman"/>
      <w:lvlText w:val="(%2)"/>
      <w:lvlJc w:val="left"/>
      <w:pPr>
        <w:tabs>
          <w:tab w:val="num" w:pos="2160"/>
        </w:tabs>
        <w:ind w:left="2160" w:hanging="720"/>
      </w:pPr>
      <w:rPr>
        <w:rFonts w:hint="default"/>
        <w:b/>
      </w:rPr>
    </w:lvl>
    <w:lvl w:ilvl="2" w:tplc="E622627A" w:tentative="1">
      <w:start w:val="1"/>
      <w:numFmt w:val="lowerRoman"/>
      <w:lvlText w:val="%3."/>
      <w:lvlJc w:val="right"/>
      <w:pPr>
        <w:tabs>
          <w:tab w:val="num" w:pos="2520"/>
        </w:tabs>
        <w:ind w:left="2520" w:hanging="180"/>
      </w:pPr>
    </w:lvl>
    <w:lvl w:ilvl="3" w:tplc="5972D644" w:tentative="1">
      <w:start w:val="1"/>
      <w:numFmt w:val="decimal"/>
      <w:lvlText w:val="%4."/>
      <w:lvlJc w:val="left"/>
      <w:pPr>
        <w:tabs>
          <w:tab w:val="num" w:pos="3240"/>
        </w:tabs>
        <w:ind w:left="3240" w:hanging="360"/>
      </w:pPr>
    </w:lvl>
    <w:lvl w:ilvl="4" w:tplc="93A00268" w:tentative="1">
      <w:start w:val="1"/>
      <w:numFmt w:val="lowerLetter"/>
      <w:lvlText w:val="%5."/>
      <w:lvlJc w:val="left"/>
      <w:pPr>
        <w:tabs>
          <w:tab w:val="num" w:pos="3960"/>
        </w:tabs>
        <w:ind w:left="3960" w:hanging="360"/>
      </w:pPr>
    </w:lvl>
    <w:lvl w:ilvl="5" w:tplc="95E03AD0" w:tentative="1">
      <w:start w:val="1"/>
      <w:numFmt w:val="lowerRoman"/>
      <w:lvlText w:val="%6."/>
      <w:lvlJc w:val="right"/>
      <w:pPr>
        <w:tabs>
          <w:tab w:val="num" w:pos="4680"/>
        </w:tabs>
        <w:ind w:left="4680" w:hanging="180"/>
      </w:pPr>
    </w:lvl>
    <w:lvl w:ilvl="6" w:tplc="C228051C" w:tentative="1">
      <w:start w:val="1"/>
      <w:numFmt w:val="decimal"/>
      <w:lvlText w:val="%7."/>
      <w:lvlJc w:val="left"/>
      <w:pPr>
        <w:tabs>
          <w:tab w:val="num" w:pos="5400"/>
        </w:tabs>
        <w:ind w:left="5400" w:hanging="360"/>
      </w:pPr>
    </w:lvl>
    <w:lvl w:ilvl="7" w:tplc="66BA7DAC" w:tentative="1">
      <w:start w:val="1"/>
      <w:numFmt w:val="lowerLetter"/>
      <w:lvlText w:val="%8."/>
      <w:lvlJc w:val="left"/>
      <w:pPr>
        <w:tabs>
          <w:tab w:val="num" w:pos="6120"/>
        </w:tabs>
        <w:ind w:left="6120" w:hanging="360"/>
      </w:pPr>
    </w:lvl>
    <w:lvl w:ilvl="8" w:tplc="8BC0B4A0"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B412B250">
      <w:start w:val="1"/>
      <w:numFmt w:val="bullet"/>
      <w:lvlText w:val=""/>
      <w:lvlJc w:val="left"/>
      <w:pPr>
        <w:tabs>
          <w:tab w:val="num" w:pos="720"/>
        </w:tabs>
        <w:ind w:left="720" w:hanging="360"/>
      </w:pPr>
      <w:rPr>
        <w:rFonts w:ascii="Wingdings" w:hAnsi="Wingdings" w:hint="default"/>
      </w:rPr>
    </w:lvl>
    <w:lvl w:ilvl="1" w:tplc="52D4F420">
      <w:start w:val="188"/>
      <w:numFmt w:val="bullet"/>
      <w:lvlText w:val=""/>
      <w:lvlJc w:val="left"/>
      <w:pPr>
        <w:tabs>
          <w:tab w:val="num" w:pos="1440"/>
        </w:tabs>
        <w:ind w:left="1440" w:hanging="360"/>
      </w:pPr>
      <w:rPr>
        <w:rFonts w:ascii="Wingdings" w:hAnsi="Wingdings" w:hint="default"/>
        <w:u w:val="double"/>
      </w:rPr>
    </w:lvl>
    <w:lvl w:ilvl="2" w:tplc="294825AC">
      <w:start w:val="188"/>
      <w:numFmt w:val="bullet"/>
      <w:lvlText w:val="•"/>
      <w:lvlJc w:val="left"/>
      <w:pPr>
        <w:tabs>
          <w:tab w:val="num" w:pos="2160"/>
        </w:tabs>
        <w:ind w:left="2160" w:hanging="360"/>
      </w:pPr>
      <w:rPr>
        <w:rFonts w:ascii="Times New Roman" w:hAnsi="Times New Roman" w:hint="default"/>
        <w:u w:val="double"/>
      </w:rPr>
    </w:lvl>
    <w:lvl w:ilvl="3" w:tplc="8116C61A" w:tentative="1">
      <w:start w:val="1"/>
      <w:numFmt w:val="bullet"/>
      <w:lvlText w:val=""/>
      <w:lvlJc w:val="left"/>
      <w:pPr>
        <w:tabs>
          <w:tab w:val="num" w:pos="2880"/>
        </w:tabs>
        <w:ind w:left="2880" w:hanging="360"/>
      </w:pPr>
      <w:rPr>
        <w:rFonts w:ascii="Wingdings" w:hAnsi="Wingdings" w:hint="default"/>
      </w:rPr>
    </w:lvl>
    <w:lvl w:ilvl="4" w:tplc="49B4E7FE" w:tentative="1">
      <w:start w:val="1"/>
      <w:numFmt w:val="bullet"/>
      <w:lvlText w:val=""/>
      <w:lvlJc w:val="left"/>
      <w:pPr>
        <w:tabs>
          <w:tab w:val="num" w:pos="3600"/>
        </w:tabs>
        <w:ind w:left="3600" w:hanging="360"/>
      </w:pPr>
      <w:rPr>
        <w:rFonts w:ascii="Wingdings" w:hAnsi="Wingdings" w:hint="default"/>
      </w:rPr>
    </w:lvl>
    <w:lvl w:ilvl="5" w:tplc="7AB26AA4" w:tentative="1">
      <w:start w:val="1"/>
      <w:numFmt w:val="bullet"/>
      <w:lvlText w:val=""/>
      <w:lvlJc w:val="left"/>
      <w:pPr>
        <w:tabs>
          <w:tab w:val="num" w:pos="4320"/>
        </w:tabs>
        <w:ind w:left="4320" w:hanging="360"/>
      </w:pPr>
      <w:rPr>
        <w:rFonts w:ascii="Wingdings" w:hAnsi="Wingdings" w:hint="default"/>
      </w:rPr>
    </w:lvl>
    <w:lvl w:ilvl="6" w:tplc="9D068A7C" w:tentative="1">
      <w:start w:val="1"/>
      <w:numFmt w:val="bullet"/>
      <w:lvlText w:val=""/>
      <w:lvlJc w:val="left"/>
      <w:pPr>
        <w:tabs>
          <w:tab w:val="num" w:pos="5040"/>
        </w:tabs>
        <w:ind w:left="5040" w:hanging="360"/>
      </w:pPr>
      <w:rPr>
        <w:rFonts w:ascii="Wingdings" w:hAnsi="Wingdings" w:hint="default"/>
      </w:rPr>
    </w:lvl>
    <w:lvl w:ilvl="7" w:tplc="320AF46C" w:tentative="1">
      <w:start w:val="1"/>
      <w:numFmt w:val="bullet"/>
      <w:lvlText w:val=""/>
      <w:lvlJc w:val="left"/>
      <w:pPr>
        <w:tabs>
          <w:tab w:val="num" w:pos="5760"/>
        </w:tabs>
        <w:ind w:left="5760" w:hanging="360"/>
      </w:pPr>
      <w:rPr>
        <w:rFonts w:ascii="Wingdings" w:hAnsi="Wingdings" w:hint="default"/>
      </w:rPr>
    </w:lvl>
    <w:lvl w:ilvl="8" w:tplc="8B6C1DF0"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10643450">
      <w:start w:val="1"/>
      <w:numFmt w:val="bullet"/>
      <w:lvlText w:val=""/>
      <w:lvlJc w:val="left"/>
      <w:pPr>
        <w:tabs>
          <w:tab w:val="num" w:pos="720"/>
        </w:tabs>
        <w:ind w:left="720" w:hanging="360"/>
      </w:pPr>
      <w:rPr>
        <w:rFonts w:ascii="Wingdings" w:hAnsi="Wingdings" w:hint="default"/>
      </w:rPr>
    </w:lvl>
    <w:lvl w:ilvl="1" w:tplc="5F14D648">
      <w:start w:val="11463"/>
      <w:numFmt w:val="bullet"/>
      <w:lvlText w:val=""/>
      <w:lvlJc w:val="left"/>
      <w:pPr>
        <w:tabs>
          <w:tab w:val="num" w:pos="1440"/>
        </w:tabs>
        <w:ind w:left="1440" w:hanging="360"/>
      </w:pPr>
      <w:rPr>
        <w:rFonts w:ascii="Wingdings" w:hAnsi="Wingdings" w:hint="default"/>
        <w:u w:val="double"/>
      </w:rPr>
    </w:lvl>
    <w:lvl w:ilvl="2" w:tplc="16B699D2">
      <w:start w:val="11463"/>
      <w:numFmt w:val="bullet"/>
      <w:lvlText w:val="•"/>
      <w:lvlJc w:val="left"/>
      <w:pPr>
        <w:tabs>
          <w:tab w:val="num" w:pos="2160"/>
        </w:tabs>
        <w:ind w:left="2160" w:hanging="360"/>
      </w:pPr>
      <w:rPr>
        <w:rFonts w:ascii="Times New Roman" w:hAnsi="Times New Roman" w:hint="default"/>
      </w:rPr>
    </w:lvl>
    <w:lvl w:ilvl="3" w:tplc="8AFC49C6" w:tentative="1">
      <w:start w:val="1"/>
      <w:numFmt w:val="bullet"/>
      <w:lvlText w:val=""/>
      <w:lvlJc w:val="left"/>
      <w:pPr>
        <w:tabs>
          <w:tab w:val="num" w:pos="2880"/>
        </w:tabs>
        <w:ind w:left="2880" w:hanging="360"/>
      </w:pPr>
      <w:rPr>
        <w:rFonts w:ascii="Wingdings" w:hAnsi="Wingdings" w:hint="default"/>
      </w:rPr>
    </w:lvl>
    <w:lvl w:ilvl="4" w:tplc="87F4FF72" w:tentative="1">
      <w:start w:val="1"/>
      <w:numFmt w:val="bullet"/>
      <w:lvlText w:val=""/>
      <w:lvlJc w:val="left"/>
      <w:pPr>
        <w:tabs>
          <w:tab w:val="num" w:pos="3600"/>
        </w:tabs>
        <w:ind w:left="3600" w:hanging="360"/>
      </w:pPr>
      <w:rPr>
        <w:rFonts w:ascii="Wingdings" w:hAnsi="Wingdings" w:hint="default"/>
      </w:rPr>
    </w:lvl>
    <w:lvl w:ilvl="5" w:tplc="7D9E9EAA" w:tentative="1">
      <w:start w:val="1"/>
      <w:numFmt w:val="bullet"/>
      <w:lvlText w:val=""/>
      <w:lvlJc w:val="left"/>
      <w:pPr>
        <w:tabs>
          <w:tab w:val="num" w:pos="4320"/>
        </w:tabs>
        <w:ind w:left="4320" w:hanging="360"/>
      </w:pPr>
      <w:rPr>
        <w:rFonts w:ascii="Wingdings" w:hAnsi="Wingdings" w:hint="default"/>
      </w:rPr>
    </w:lvl>
    <w:lvl w:ilvl="6" w:tplc="68F62466" w:tentative="1">
      <w:start w:val="1"/>
      <w:numFmt w:val="bullet"/>
      <w:lvlText w:val=""/>
      <w:lvlJc w:val="left"/>
      <w:pPr>
        <w:tabs>
          <w:tab w:val="num" w:pos="5040"/>
        </w:tabs>
        <w:ind w:left="5040" w:hanging="360"/>
      </w:pPr>
      <w:rPr>
        <w:rFonts w:ascii="Wingdings" w:hAnsi="Wingdings" w:hint="default"/>
      </w:rPr>
    </w:lvl>
    <w:lvl w:ilvl="7" w:tplc="C7B4EEAA" w:tentative="1">
      <w:start w:val="1"/>
      <w:numFmt w:val="bullet"/>
      <w:lvlText w:val=""/>
      <w:lvlJc w:val="left"/>
      <w:pPr>
        <w:tabs>
          <w:tab w:val="num" w:pos="5760"/>
        </w:tabs>
        <w:ind w:left="5760" w:hanging="360"/>
      </w:pPr>
      <w:rPr>
        <w:rFonts w:ascii="Wingdings" w:hAnsi="Wingdings" w:hint="default"/>
      </w:rPr>
    </w:lvl>
    <w:lvl w:ilvl="8" w:tplc="B23E7002"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94E8F956">
      <w:start w:val="1"/>
      <w:numFmt w:val="bullet"/>
      <w:lvlText w:val=""/>
      <w:lvlJc w:val="left"/>
      <w:pPr>
        <w:tabs>
          <w:tab w:val="num" w:pos="720"/>
        </w:tabs>
        <w:ind w:left="720" w:hanging="360"/>
      </w:pPr>
      <w:rPr>
        <w:rFonts w:ascii="Wingdings" w:hAnsi="Wingdings" w:hint="default"/>
      </w:rPr>
    </w:lvl>
    <w:lvl w:ilvl="1" w:tplc="1546652A">
      <w:start w:val="188"/>
      <w:numFmt w:val="bullet"/>
      <w:lvlText w:val=""/>
      <w:lvlJc w:val="left"/>
      <w:pPr>
        <w:tabs>
          <w:tab w:val="num" w:pos="1440"/>
        </w:tabs>
        <w:ind w:left="1440" w:hanging="360"/>
      </w:pPr>
      <w:rPr>
        <w:rFonts w:ascii="Wingdings" w:hAnsi="Wingdings" w:hint="default"/>
        <w:u w:val="double"/>
      </w:rPr>
    </w:lvl>
    <w:lvl w:ilvl="2" w:tplc="8E586770">
      <w:start w:val="188"/>
      <w:numFmt w:val="bullet"/>
      <w:lvlText w:val="•"/>
      <w:lvlJc w:val="left"/>
      <w:pPr>
        <w:tabs>
          <w:tab w:val="num" w:pos="2160"/>
        </w:tabs>
        <w:ind w:left="2160" w:hanging="360"/>
      </w:pPr>
      <w:rPr>
        <w:rFonts w:ascii="Times New Roman" w:hAnsi="Times New Roman" w:hint="default"/>
        <w:u w:val="none"/>
      </w:rPr>
    </w:lvl>
    <w:lvl w:ilvl="3" w:tplc="8C981108" w:tentative="1">
      <w:start w:val="1"/>
      <w:numFmt w:val="bullet"/>
      <w:lvlText w:val=""/>
      <w:lvlJc w:val="left"/>
      <w:pPr>
        <w:tabs>
          <w:tab w:val="num" w:pos="2880"/>
        </w:tabs>
        <w:ind w:left="2880" w:hanging="360"/>
      </w:pPr>
      <w:rPr>
        <w:rFonts w:ascii="Wingdings" w:hAnsi="Wingdings" w:hint="default"/>
      </w:rPr>
    </w:lvl>
    <w:lvl w:ilvl="4" w:tplc="DD00C774" w:tentative="1">
      <w:start w:val="1"/>
      <w:numFmt w:val="bullet"/>
      <w:lvlText w:val=""/>
      <w:lvlJc w:val="left"/>
      <w:pPr>
        <w:tabs>
          <w:tab w:val="num" w:pos="3600"/>
        </w:tabs>
        <w:ind w:left="3600" w:hanging="360"/>
      </w:pPr>
      <w:rPr>
        <w:rFonts w:ascii="Wingdings" w:hAnsi="Wingdings" w:hint="default"/>
      </w:rPr>
    </w:lvl>
    <w:lvl w:ilvl="5" w:tplc="559C9272" w:tentative="1">
      <w:start w:val="1"/>
      <w:numFmt w:val="bullet"/>
      <w:lvlText w:val=""/>
      <w:lvlJc w:val="left"/>
      <w:pPr>
        <w:tabs>
          <w:tab w:val="num" w:pos="4320"/>
        </w:tabs>
        <w:ind w:left="4320" w:hanging="360"/>
      </w:pPr>
      <w:rPr>
        <w:rFonts w:ascii="Wingdings" w:hAnsi="Wingdings" w:hint="default"/>
      </w:rPr>
    </w:lvl>
    <w:lvl w:ilvl="6" w:tplc="C23E6D3A" w:tentative="1">
      <w:start w:val="1"/>
      <w:numFmt w:val="bullet"/>
      <w:lvlText w:val=""/>
      <w:lvlJc w:val="left"/>
      <w:pPr>
        <w:tabs>
          <w:tab w:val="num" w:pos="5040"/>
        </w:tabs>
        <w:ind w:left="5040" w:hanging="360"/>
      </w:pPr>
      <w:rPr>
        <w:rFonts w:ascii="Wingdings" w:hAnsi="Wingdings" w:hint="default"/>
      </w:rPr>
    </w:lvl>
    <w:lvl w:ilvl="7" w:tplc="E8580F6E" w:tentative="1">
      <w:start w:val="1"/>
      <w:numFmt w:val="bullet"/>
      <w:lvlText w:val=""/>
      <w:lvlJc w:val="left"/>
      <w:pPr>
        <w:tabs>
          <w:tab w:val="num" w:pos="5760"/>
        </w:tabs>
        <w:ind w:left="5760" w:hanging="360"/>
      </w:pPr>
      <w:rPr>
        <w:rFonts w:ascii="Wingdings" w:hAnsi="Wingdings" w:hint="default"/>
      </w:rPr>
    </w:lvl>
    <w:lvl w:ilvl="8" w:tplc="5EAED5F4"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stylePaneFormatFilter w:val="3F01"/>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CC5E8A"/>
    <w:rsid w:val="00CC5E8A"/>
    <w:rsid w:val="00E3192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45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CC5E8A"/>
    <w:pPr>
      <w:jc w:val="center"/>
    </w:pPr>
    <w:rPr>
      <w:b/>
      <w:bCs/>
    </w:rPr>
  </w:style>
  <w:style w:type="paragraph" w:styleId="Footer">
    <w:name w:val="footer"/>
    <w:basedOn w:val="Normal"/>
    <w:rsid w:val="00CC5E8A"/>
    <w:pPr>
      <w:tabs>
        <w:tab w:val="center" w:pos="4320"/>
        <w:tab w:val="right" w:pos="8640"/>
      </w:tabs>
    </w:pPr>
  </w:style>
  <w:style w:type="paragraph" w:styleId="Subtitle">
    <w:name w:val="Subtitle"/>
    <w:basedOn w:val="Normal"/>
    <w:qFormat/>
    <w:rsid w:val="00CC5E8A"/>
    <w:pPr>
      <w:widowControl w:val="0"/>
      <w:tabs>
        <w:tab w:val="left" w:pos="720"/>
        <w:tab w:val="left" w:pos="1440"/>
        <w:tab w:val="right" w:pos="9360"/>
      </w:tabs>
      <w:ind w:left="1440" w:hanging="1440"/>
    </w:pPr>
    <w:rPr>
      <w:b/>
      <w:szCs w:val="20"/>
    </w:rPr>
  </w:style>
  <w:style w:type="paragraph" w:customStyle="1" w:styleId="WPDefaults">
    <w:name w:val="WP Defaults"/>
    <w:rsid w:val="00CC5E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CC5E8A"/>
    <w:pPr>
      <w:keepLines/>
    </w:pPr>
  </w:style>
  <w:style w:type="paragraph" w:styleId="FootnoteText">
    <w:name w:val="footnote text"/>
    <w:basedOn w:val="Normal"/>
    <w:semiHidden/>
    <w:rsid w:val="00CC5E8A"/>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1652</Words>
  <Characters>9422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2017-12-13T19:37:00Z</dcterms:created>
  <dcterms:modified xsi:type="dcterms:W3CDTF">2017-12-13T19:37:00Z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