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105" w:rsidRDefault="00F34076" w:rsidP="008919A3">
      <w:pPr>
        <w:pStyle w:val="Heading1"/>
      </w:pPr>
      <w:bookmarkStart w:id="0" w:name="_Toc261252297"/>
      <w:r>
        <w:t>25</w:t>
      </w:r>
      <w:r>
        <w:tab/>
        <w:t>Attachment J - Determination of</w:t>
      </w:r>
      <w:r>
        <w:rPr>
          <w:i/>
          <w:iCs/>
        </w:rPr>
        <w:t xml:space="preserve"> </w:t>
      </w:r>
      <w:r>
        <w:t>Day-Ahead Margin Assurance Payments</w:t>
      </w:r>
      <w:bookmarkEnd w:id="0"/>
    </w:p>
    <w:p w:rsidR="00746105" w:rsidRPr="008919A3" w:rsidRDefault="00F34076" w:rsidP="003B5A6C">
      <w:pPr>
        <w:pStyle w:val="subheadwH2formatting"/>
      </w:pPr>
      <w:bookmarkStart w:id="1" w:name="_Toc261252298"/>
      <w:r>
        <w:t>25.1</w:t>
      </w:r>
      <w:r>
        <w:tab/>
        <w:t>General Rule</w:t>
      </w:r>
      <w:bookmarkEnd w:id="1"/>
    </w:p>
    <w:p w:rsidR="00746105" w:rsidRPr="00A87B04" w:rsidRDefault="00F34076" w:rsidP="008919A3">
      <w:pPr>
        <w:pStyle w:val="Bodypara"/>
        <w:rPr>
          <w:iCs/>
        </w:rPr>
      </w:pPr>
      <w:r>
        <w:t xml:space="preserve">If an eligible Supplier buys out of a Day-Ahead Energy, Regulation Service or Operating Reserve schedule in a manner that reduces its Day-Ahead Margin it shall receive a Day-Ahead Margin Assurance Payment, except as noted in Sections </w:t>
      </w:r>
      <w:r w:rsidRPr="006305F8">
        <w:t>25.4</w:t>
      </w:r>
      <w:r>
        <w:t xml:space="preserve">, and </w:t>
      </w:r>
      <w:r w:rsidRPr="006305F8">
        <w:t>25.</w:t>
      </w:r>
      <w:r>
        <w:t>5 of this</w:t>
      </w:r>
      <w:r>
        <w:t xml:space="preserve"> Attachment </w:t>
      </w:r>
      <w:r>
        <w:t xml:space="preserve">J.  The purpose of such payments is to protect Suppliers’ Day-Ahead Margins associated with real-time reductions after accounting for: (i) any real-time profits associated with offsetting increases in </w:t>
      </w:r>
      <w:r w:rsidRPr="00A87B04">
        <w:t>real-time Energy, Regulation Service, or Op</w:t>
      </w:r>
      <w:r w:rsidRPr="00A87B04">
        <w:t>erating Reserve Schedules; and (ii) any Supplier-requested real-time de-rate granted by the ISO.</w:t>
      </w:r>
      <w:r w:rsidRPr="00A87B04">
        <w:rPr>
          <w:i/>
          <w:iCs/>
        </w:rPr>
        <w:t xml:space="preserve"> </w:t>
      </w:r>
      <w:r w:rsidRPr="00A87B04">
        <w:rPr>
          <w:iCs/>
        </w:rPr>
        <w:t xml:space="preserve">Day-Ahead Margin Assurance Payments payable to Limited Energy Storage Resources shall be determined pursuant to Section </w:t>
      </w:r>
      <w:r>
        <w:t>25.6</w:t>
      </w:r>
      <w:r w:rsidRPr="00A87B04">
        <w:rPr>
          <w:iCs/>
        </w:rPr>
        <w:t xml:space="preserve"> of this Attachment J.</w:t>
      </w:r>
    </w:p>
    <w:p w:rsidR="00746105" w:rsidRPr="008919A3" w:rsidRDefault="00F34076" w:rsidP="003B5A6C">
      <w:pPr>
        <w:pStyle w:val="subheadwH2formatting"/>
      </w:pPr>
      <w:bookmarkStart w:id="2" w:name="_Toc261252299"/>
      <w:r>
        <w:t>25.</w:t>
      </w:r>
      <w:r w:rsidRPr="008919A3">
        <w:t>2</w:t>
      </w:r>
      <w:r w:rsidRPr="008919A3">
        <w:tab/>
        <w:t>Eligibi</w:t>
      </w:r>
      <w:r w:rsidRPr="008919A3">
        <w:t>lity for Receiving Day-Ahead Margin Assurance Payments</w:t>
      </w:r>
      <w:bookmarkEnd w:id="2"/>
    </w:p>
    <w:p w:rsidR="00746105" w:rsidRPr="00F53EE9" w:rsidRDefault="00F34076" w:rsidP="008919A3">
      <w:pPr>
        <w:pStyle w:val="Bodypara"/>
      </w:pPr>
      <w:r w:rsidRPr="00C14F6D">
        <w:t>The following categories of Suppliers shall be eligible to receive Day-Ahead Margin Assurance Payments provided however, that intermittent Power Resources depending on wind as their fuel shall not be e</w:t>
      </w:r>
      <w:r w:rsidRPr="00C14F6D">
        <w:t>ligible for Day-Ahead Margin Assurance Payments: (i) all Self-Committed Flexible and ISO-Committed Flexible Generators that are online and dispatched by RTD; (ii) Demand Side Resources committed to provide Operating Reserves or Regulation Service; (iii) an</w:t>
      </w:r>
      <w:r w:rsidRPr="00C14F6D">
        <w:t xml:space="preserve">y Supplier that is scheduled out of economic merit order by the ISO in response to an ISO or Transmission Owner system security need or to permit the ISO to procure additional Operating </w:t>
      </w:r>
      <w:r>
        <w:t xml:space="preserve">Reserves; (iv) any Supplier that is derated or </w:t>
      </w:r>
      <w:r w:rsidRPr="0010557A">
        <w:t xml:space="preserve">decommitted by the ISO </w:t>
      </w:r>
      <w:r w:rsidRPr="0010557A">
        <w:t xml:space="preserve">in response to an ISO or Transmission Owner system security need or to permit the ISO to procure additional Operating Reserves; and (v) Energy Limited Resources with a total margin for the dispatch day that is less than its Day-Ahead margin as a result of </w:t>
      </w:r>
      <w:r w:rsidRPr="0010557A">
        <w:t>an ISO-approved real-time reduction in scheduled output from its Day-Ahead schedule for Energy limited reasons</w:t>
      </w:r>
      <w:r>
        <w:t>.</w:t>
      </w:r>
    </w:p>
    <w:p w:rsidR="00746105" w:rsidRPr="00F53EE9" w:rsidRDefault="00F34076" w:rsidP="008919A3">
      <w:pPr>
        <w:pStyle w:val="Bodypara"/>
        <w:rPr>
          <w:color w:val="000000"/>
        </w:rPr>
      </w:pPr>
      <w:r w:rsidRPr="00F53EE9">
        <w:lastRenderedPageBreak/>
        <w:t xml:space="preserve">No Day-Ahead Margin Assurance Payment shall be paid a Generator, otherwise eligible for a Day-Ahead Margin Assurance Payment, in hours in which </w:t>
      </w:r>
      <w:r w:rsidRPr="00F53EE9">
        <w:t xml:space="preserve">the </w:t>
      </w:r>
      <w:r w:rsidRPr="00F53EE9">
        <w:rPr>
          <w:color w:val="000000"/>
        </w:rPr>
        <w:t>NYISO has increased the Generator’s minimum operating level, either: (i) at the Generator’s request; or (ii) in order to reconcile the ISO’s dispatch with the Generator’s actual output or to address reliability concerns that arise because the Generator</w:t>
      </w:r>
      <w:r w:rsidRPr="00F53EE9">
        <w:rPr>
          <w:color w:val="000000"/>
        </w:rPr>
        <w:t xml:space="preserve"> is not following Base Point Signals.</w:t>
      </w:r>
    </w:p>
    <w:p w:rsidR="006108FE" w:rsidRPr="008919A3" w:rsidRDefault="00F34076" w:rsidP="003B5A6C">
      <w:pPr>
        <w:pStyle w:val="subheadwH2formatting"/>
      </w:pPr>
      <w:bookmarkStart w:id="3" w:name="_Toc261252300"/>
      <w:r>
        <w:t>25.</w:t>
      </w:r>
      <w:r w:rsidRPr="008919A3">
        <w:t>3</w:t>
      </w:r>
      <w:r w:rsidRPr="008919A3">
        <w:tab/>
        <w:t>Calculation of Day-Ahead Margin Assurance Payments</w:t>
      </w:r>
      <w:bookmarkEnd w:id="3"/>
    </w:p>
    <w:p w:rsidR="001204CB" w:rsidRDefault="00F34076" w:rsidP="001204CB">
      <w:pPr>
        <w:pStyle w:val="Heading3"/>
      </w:pPr>
      <w:bookmarkStart w:id="4" w:name="_Toc261252301"/>
      <w:r>
        <w:t>25.</w:t>
      </w:r>
      <w:r w:rsidRPr="00A37E56">
        <w:t>3.1</w:t>
      </w:r>
      <w:bookmarkEnd w:id="4"/>
      <w:r w:rsidRPr="00A37E56">
        <w:t xml:space="preserve">  </w:t>
      </w:r>
    </w:p>
    <w:p w:rsidR="006108FE" w:rsidRDefault="00F34076" w:rsidP="008919A3">
      <w:pPr>
        <w:pStyle w:val="Bodypara"/>
      </w:pPr>
      <w:r w:rsidRPr="00A37E56">
        <w:t>Day-Ahead Margin Assurance Payments for Generators</w:t>
      </w:r>
      <w:r w:rsidRPr="00A37E56">
        <w:rPr>
          <w:i/>
          <w:iCs/>
        </w:rPr>
        <w:t xml:space="preserve"> </w:t>
      </w:r>
      <w:r w:rsidRPr="00A37E56">
        <w:t>shall be determined by applying</w:t>
      </w:r>
      <w:r w:rsidRPr="00A37E56">
        <w:rPr>
          <w:i/>
          <w:iCs/>
        </w:rPr>
        <w:t xml:space="preserve"> </w:t>
      </w:r>
      <w:r w:rsidRPr="00A37E56">
        <w:t>the following equations to each individual Generator using the terms</w:t>
      </w:r>
      <w:r>
        <w:t xml:space="preserve"> a</w:t>
      </w:r>
      <w:r>
        <w:t xml:space="preserve">s defined in subsection </w:t>
      </w:r>
      <w:r w:rsidRPr="006305F8">
        <w:t>25.3.3</w:t>
      </w:r>
      <w:r>
        <w:t>:</w:t>
      </w:r>
    </w:p>
    <w:p w:rsidR="006108FE" w:rsidRDefault="004D3E9F" w:rsidP="001204CB">
      <w:pPr>
        <w:pStyle w:val="equationtext"/>
        <w:rPr>
          <w:rFonts w:ascii="Arial" w:hAnsi="Arial"/>
        </w:rPr>
      </w:pPr>
      <w:r w:rsidRPr="004D3E9F">
        <w:rPr>
          <w:rFonts w:ascii="Arial" w:hAnsi="Arial"/>
          <w:position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36pt" fillcolor="window">
            <v:imagedata r:id="rId7" o:title=""/>
          </v:shape>
        </w:pict>
      </w:r>
      <w:r w:rsidR="00F34076">
        <w:t>where:</w:t>
      </w:r>
    </w:p>
    <w:p w:rsidR="006108FE" w:rsidRDefault="004D3E9F" w:rsidP="001204CB">
      <w:pPr>
        <w:pStyle w:val="equationtext"/>
        <w:rPr>
          <w:rFonts w:ascii="Arial" w:hAnsi="Arial"/>
        </w:rPr>
      </w:pPr>
      <w:r w:rsidRPr="004D3E9F">
        <w:rPr>
          <w:position w:val="-30"/>
        </w:rPr>
        <w:pict>
          <v:shape id="_x0000_i1026" type="#_x0000_t75" style="width:297pt;height:27.75pt" fillcolor="window">
            <v:imagedata r:id="rId8" o:title=""/>
          </v:shape>
        </w:pict>
      </w:r>
      <w:r w:rsidR="00F34076">
        <w:rPr>
          <w:rFonts w:ascii="Arial" w:hAnsi="Arial"/>
        </w:rPr>
        <w:t xml:space="preserve">, </w:t>
      </w:r>
    </w:p>
    <w:p w:rsidR="006108FE" w:rsidRDefault="00F34076" w:rsidP="008919A3">
      <w:pPr>
        <w:pStyle w:val="Bodypara"/>
      </w:pPr>
      <w:r w:rsidRPr="00D35D06">
        <w:t>If the Supplier’s real-time Energy schedule is lower than its Day-Ahead Energy schedule then:</w:t>
      </w:r>
    </w:p>
    <w:p w:rsidR="006108FE" w:rsidRDefault="004D3E9F" w:rsidP="001204CB">
      <w:pPr>
        <w:pStyle w:val="equationtext"/>
        <w:rPr>
          <w:rFonts w:ascii="Arial" w:hAnsi="Arial"/>
        </w:rPr>
      </w:pPr>
      <w:r w:rsidRPr="004D3E9F">
        <w:rPr>
          <w:rFonts w:ascii="Arial" w:hAnsi="Arial"/>
          <w:i/>
          <w:iCs w:val="0"/>
          <w:position w:val="-54"/>
        </w:rPr>
        <w:pict>
          <v:shape id="_x0000_i1027" type="#_x0000_t75" style="width:282.75pt;height:60pt" fillcolor="window">
            <v:imagedata r:id="rId9" o:title=""/>
          </v:shape>
        </w:pict>
      </w:r>
      <w:r w:rsidR="00F34076">
        <w:rPr>
          <w:rFonts w:ascii="Arial" w:hAnsi="Arial"/>
          <w:i/>
          <w:iCs w:val="0"/>
        </w:rPr>
        <w:t>,</w:t>
      </w:r>
    </w:p>
    <w:p w:rsidR="006108FE" w:rsidRDefault="00F34076" w:rsidP="008919A3">
      <w:pPr>
        <w:pStyle w:val="Bodypara"/>
      </w:pPr>
      <w:r>
        <w:t>If the Supplier’s real-time Energy schedule is greater than or equal to its Day-A</w:t>
      </w:r>
      <w:r>
        <w:t>head Energy schedule then:</w:t>
      </w:r>
    </w:p>
    <w:p w:rsidR="006108FE" w:rsidRPr="008919A3" w:rsidRDefault="004D3E9F" w:rsidP="001204CB">
      <w:pPr>
        <w:pStyle w:val="equationtext"/>
        <w:rPr>
          <w:rFonts w:ascii="Arial" w:hAnsi="Arial"/>
          <w:i/>
        </w:rPr>
      </w:pPr>
      <w:r w:rsidRPr="004D3E9F">
        <w:rPr>
          <w:rFonts w:ascii="Arial" w:hAnsi="Arial"/>
          <w:i/>
          <w:iCs w:val="0"/>
          <w:position w:val="-56"/>
        </w:rPr>
        <w:pict>
          <v:shape id="_x0000_i1028" type="#_x0000_t75" style="width:333pt;height:62.25pt" fillcolor="window">
            <v:imagedata r:id="rId10" o:title=""/>
          </v:shape>
        </w:pict>
      </w:r>
    </w:p>
    <w:p w:rsidR="006108FE" w:rsidRDefault="00F34076" w:rsidP="008919A3">
      <w:pPr>
        <w:pStyle w:val="Bodypara"/>
      </w:pPr>
      <w:r>
        <w:lastRenderedPageBreak/>
        <w:t xml:space="preserve">If </w:t>
      </w:r>
      <w:r>
        <w:t>the Supplier’s real-time schedule for a given Operating Reserve product, p, is lower than its Day-Ahead Operating Reserve schedule for that product then:</w:t>
      </w:r>
    </w:p>
    <w:p w:rsidR="006108FE" w:rsidRDefault="004D3E9F" w:rsidP="001204CB">
      <w:pPr>
        <w:pStyle w:val="equationtext"/>
        <w:rPr>
          <w:rFonts w:ascii="Arial" w:hAnsi="Arial"/>
        </w:rPr>
      </w:pPr>
      <w:r w:rsidRPr="004D3E9F">
        <w:rPr>
          <w:rFonts w:ascii="Arial" w:hAnsi="Arial"/>
          <w:position w:val="-24"/>
        </w:rPr>
        <w:pict>
          <v:shape id="_x0000_i1029" type="#_x0000_t75" style="width:386.25pt;height:30.75pt" fillcolor="window">
            <v:imagedata r:id="rId11" o:title=""/>
          </v:shape>
        </w:pict>
      </w:r>
    </w:p>
    <w:p w:rsidR="006108FE" w:rsidRDefault="00F34076" w:rsidP="008919A3">
      <w:pPr>
        <w:pStyle w:val="Bodypara"/>
      </w:pPr>
      <w:r>
        <w:t>If the Supplier’s real-time schedule for a given Operating Reserve product, p, is greater than or eq</w:t>
      </w:r>
      <w:r>
        <w:t>ual to its Day-Ahead Operating Reserve schedule for that product then:</w:t>
      </w:r>
    </w:p>
    <w:p w:rsidR="006108FE" w:rsidRDefault="004D3E9F" w:rsidP="001204CB">
      <w:pPr>
        <w:pStyle w:val="equationtext"/>
        <w:rPr>
          <w:rFonts w:ascii="Arial" w:hAnsi="Arial"/>
        </w:rPr>
      </w:pPr>
      <w:r w:rsidRPr="004D3E9F">
        <w:rPr>
          <w:rFonts w:ascii="Arial" w:hAnsi="Arial"/>
          <w:position w:val="-24"/>
        </w:rPr>
        <w:pict>
          <v:shape id="_x0000_i1030" type="#_x0000_t75" style="width:323.25pt;height:30.75pt" fillcolor="window">
            <v:imagedata r:id="rId12" o:title=""/>
          </v:shape>
        </w:pict>
      </w:r>
    </w:p>
    <w:p w:rsidR="006108FE" w:rsidRDefault="00F34076" w:rsidP="008919A3">
      <w:pPr>
        <w:pStyle w:val="Bodypara"/>
      </w:pPr>
      <w:r>
        <w:t>If the Supplier’s real-time Regulation Service schedule is less than its Day-Ahead</w:t>
      </w:r>
      <w:r>
        <w:rPr>
          <w:i/>
          <w:iCs/>
        </w:rPr>
        <w:t xml:space="preserve"> </w:t>
      </w:r>
      <w:r>
        <w:t>Regulation Service schedule then:</w:t>
      </w:r>
    </w:p>
    <w:p w:rsidR="006108FE" w:rsidRDefault="004D3E9F" w:rsidP="001204CB">
      <w:pPr>
        <w:pStyle w:val="equationtext"/>
        <w:rPr>
          <w:rFonts w:ascii="Arial" w:hAnsi="Arial"/>
        </w:rPr>
      </w:pPr>
      <w:r w:rsidRPr="004D3E9F">
        <w:rPr>
          <w:rFonts w:ascii="Arial" w:hAnsi="Arial"/>
          <w:position w:val="-24"/>
        </w:rPr>
        <w:pict>
          <v:shape id="_x0000_i1031" type="#_x0000_t75" style="width:380.25pt;height:30.75pt" fillcolor="window">
            <v:imagedata r:id="rId13" o:title=""/>
          </v:shape>
        </w:pict>
      </w:r>
    </w:p>
    <w:p w:rsidR="006108FE" w:rsidRDefault="00F34076" w:rsidP="008919A3">
      <w:pPr>
        <w:pStyle w:val="Bodypara"/>
      </w:pPr>
      <w:r>
        <w:t xml:space="preserve">If the Supplier’s real-time Regulation Schedule is greater than </w:t>
      </w:r>
      <w:r>
        <w:t>or equal to the Day-Ahead Regulation Service schedule then:</w:t>
      </w:r>
    </w:p>
    <w:p w:rsidR="006108FE" w:rsidRPr="00231E70" w:rsidRDefault="004D3E9F" w:rsidP="001204CB">
      <w:pPr>
        <w:pStyle w:val="equationtext"/>
        <w:rPr>
          <w:rFonts w:ascii="Arial" w:hAnsi="Arial"/>
        </w:rPr>
      </w:pPr>
      <w:r w:rsidRPr="004D3E9F">
        <w:rPr>
          <w:rFonts w:ascii="Arial" w:hAnsi="Arial"/>
          <w:position w:val="-24"/>
        </w:rPr>
        <w:pict>
          <v:shape id="_x0000_i1032" type="#_x0000_t75" style="width:420.75pt;height:30.75pt" fillcolor="window">
            <v:imagedata r:id="rId14" o:title=""/>
          </v:shape>
        </w:pict>
      </w:r>
      <w:r w:rsidR="00F34076" w:rsidRPr="00231E70">
        <w:rPr>
          <w:rFonts w:ascii="Arial" w:hAnsi="Arial"/>
        </w:rPr>
        <w:t>.</w:t>
      </w:r>
    </w:p>
    <w:p w:rsidR="001204CB" w:rsidRDefault="00F34076" w:rsidP="001204CB">
      <w:pPr>
        <w:pStyle w:val="Heading3"/>
      </w:pPr>
      <w:bookmarkStart w:id="5" w:name="_Toc261252302"/>
      <w:r>
        <w:t>25.3.</w:t>
      </w:r>
      <w:r w:rsidRPr="00231E70">
        <w:t>2</w:t>
      </w:r>
      <w:bookmarkEnd w:id="5"/>
      <w:r w:rsidRPr="00231E70">
        <w:t xml:space="preserve">  </w:t>
      </w:r>
    </w:p>
    <w:p w:rsidR="006108FE" w:rsidRPr="00231E70" w:rsidRDefault="00F34076" w:rsidP="008919A3">
      <w:pPr>
        <w:pStyle w:val="Bodypara"/>
      </w:pPr>
      <w:r w:rsidRPr="00231E70">
        <w:t>Day-Ahead Margin Assurance Payments for Demand Side resources scheduled to provide Operating Reserves or Regulation Service shall be determined by applying</w:t>
      </w:r>
      <w:r w:rsidRPr="00231E70">
        <w:rPr>
          <w:i/>
          <w:iCs/>
        </w:rPr>
        <w:t xml:space="preserve"> </w:t>
      </w:r>
      <w:r w:rsidRPr="00231E70">
        <w:t>the following equations to e</w:t>
      </w:r>
      <w:r w:rsidRPr="00231E70">
        <w:t xml:space="preserve">ach individual Demand Side Resource using the terms as defined in subsection </w:t>
      </w:r>
      <w:r w:rsidRPr="006305F8">
        <w:t>25.3.3</w:t>
      </w:r>
      <w:r w:rsidRPr="00231E70">
        <w:t>:</w:t>
      </w:r>
    </w:p>
    <w:p w:rsidR="006108FE" w:rsidRPr="00231E70" w:rsidRDefault="004D3E9F" w:rsidP="001204CB">
      <w:pPr>
        <w:pStyle w:val="equationtext"/>
        <w:rPr>
          <w:rFonts w:ascii="Arial" w:hAnsi="Arial"/>
        </w:rPr>
      </w:pPr>
      <w:r w:rsidRPr="004D3E9F">
        <w:rPr>
          <w:rFonts w:ascii="Arial" w:hAnsi="Arial"/>
          <w:position w:val="-30"/>
        </w:rPr>
        <w:pict>
          <v:shape id="_x0000_i1033" type="#_x0000_t75" style="width:165pt;height:36pt" fillcolor="window">
            <v:imagedata r:id="rId7" o:title=""/>
          </v:shape>
        </w:pict>
      </w:r>
      <w:r w:rsidR="00F34076" w:rsidRPr="00231E70">
        <w:t>where:</w:t>
      </w:r>
    </w:p>
    <w:p w:rsidR="006108FE" w:rsidRPr="00231E70" w:rsidRDefault="004D3E9F" w:rsidP="001204CB">
      <w:pPr>
        <w:pStyle w:val="equationtext"/>
        <w:rPr>
          <w:rFonts w:ascii="Arial" w:hAnsi="Arial"/>
        </w:rPr>
      </w:pPr>
      <w:r w:rsidRPr="004D3E9F">
        <w:rPr>
          <w:position w:val="-30"/>
        </w:rPr>
        <w:pict>
          <v:shape id="_x0000_i1034" type="#_x0000_t75" style="width:224.25pt;height:27.75pt" fillcolor="window">
            <v:imagedata r:id="rId15" o:title=""/>
          </v:shape>
        </w:pict>
      </w:r>
      <w:r w:rsidR="00F34076" w:rsidRPr="00231E70">
        <w:rPr>
          <w:rFonts w:ascii="Arial" w:hAnsi="Arial"/>
        </w:rPr>
        <w:t xml:space="preserve">, </w:t>
      </w:r>
    </w:p>
    <w:p w:rsidR="006108FE" w:rsidRPr="00231E70" w:rsidRDefault="00F34076" w:rsidP="008919A3">
      <w:pPr>
        <w:pStyle w:val="Bodypara"/>
      </w:pPr>
      <w:r w:rsidRPr="00231E70">
        <w:t xml:space="preserve">If the Demand Side Resource’s real-time schedule for a given Operating Reserve product, p, is lower than its Day-Ahead Operating Reserve schedule for that </w:t>
      </w:r>
      <w:r w:rsidRPr="00231E70">
        <w:t>product then:</w:t>
      </w:r>
    </w:p>
    <w:p w:rsidR="006108FE" w:rsidRPr="00461C3E" w:rsidRDefault="004D3E9F" w:rsidP="001204CB">
      <w:pPr>
        <w:pStyle w:val="equationtext"/>
        <w:rPr>
          <w:rFonts w:ascii="Arial" w:hAnsi="Arial"/>
        </w:rPr>
      </w:pPr>
      <w:r w:rsidRPr="004D3E9F">
        <w:rPr>
          <w:rFonts w:ascii="Arial" w:hAnsi="Arial"/>
          <w:position w:val="-24"/>
        </w:rPr>
        <w:pict>
          <v:shape id="_x0000_i1035" type="#_x0000_t75" style="width:426pt;height:32.25pt" fillcolor="window">
            <v:imagedata r:id="rId16" o:title=""/>
          </v:shape>
        </w:pict>
      </w:r>
    </w:p>
    <w:p w:rsidR="006108FE" w:rsidRPr="00461C3E" w:rsidRDefault="00F34076" w:rsidP="008919A3">
      <w:pPr>
        <w:pStyle w:val="Bodypara"/>
      </w:pPr>
      <w:r w:rsidRPr="00461C3E">
        <w:t>If the Demand Side Resource’s real-time schedule for a given Operating Reserve product, p, is greater than or equal to its Day-Ahead Operating Reserve schedule for that product then:</w:t>
      </w:r>
    </w:p>
    <w:p w:rsidR="006108FE" w:rsidRPr="00461C3E" w:rsidRDefault="004D3E9F" w:rsidP="001204CB">
      <w:pPr>
        <w:pStyle w:val="equationtext"/>
        <w:rPr>
          <w:rFonts w:ascii="Arial" w:hAnsi="Arial"/>
        </w:rPr>
      </w:pPr>
      <w:r w:rsidRPr="004D3E9F">
        <w:rPr>
          <w:rFonts w:ascii="Arial" w:hAnsi="Arial"/>
          <w:position w:val="-24"/>
        </w:rPr>
        <w:pict>
          <v:shape id="_x0000_i1036" type="#_x0000_t75" style="width:365.25pt;height:32.25pt" fillcolor="window">
            <v:imagedata r:id="rId17" o:title=""/>
          </v:shape>
        </w:pict>
      </w:r>
    </w:p>
    <w:p w:rsidR="006108FE" w:rsidRPr="00461C3E" w:rsidRDefault="00F34076" w:rsidP="008919A3">
      <w:pPr>
        <w:pStyle w:val="Bodypara"/>
      </w:pPr>
      <w:r w:rsidRPr="00461C3E">
        <w:t>If the Demand Side Resource’s real-time Regulation Serv</w:t>
      </w:r>
      <w:r w:rsidRPr="00461C3E">
        <w:t>ice schedule is less than its Day-Ahead</w:t>
      </w:r>
      <w:r w:rsidRPr="00461C3E">
        <w:rPr>
          <w:i/>
          <w:iCs/>
        </w:rPr>
        <w:t xml:space="preserve"> </w:t>
      </w:r>
      <w:r w:rsidRPr="00461C3E">
        <w:t>Regulation Service schedule then:</w:t>
      </w:r>
    </w:p>
    <w:p w:rsidR="006108FE" w:rsidRPr="00461C3E" w:rsidRDefault="004D3E9F" w:rsidP="001204CB">
      <w:pPr>
        <w:pStyle w:val="equationtext"/>
        <w:rPr>
          <w:rFonts w:ascii="Arial" w:hAnsi="Arial"/>
        </w:rPr>
      </w:pPr>
      <w:r w:rsidRPr="004D3E9F">
        <w:rPr>
          <w:rFonts w:ascii="Arial" w:hAnsi="Arial"/>
          <w:position w:val="-24"/>
        </w:rPr>
        <w:pict>
          <v:shape id="_x0000_i1037" type="#_x0000_t75" style="width:380.25pt;height:30.75pt" fillcolor="window">
            <v:imagedata r:id="rId13" o:title=""/>
          </v:shape>
        </w:pict>
      </w:r>
    </w:p>
    <w:p w:rsidR="006108FE" w:rsidRPr="00461C3E" w:rsidRDefault="00F34076" w:rsidP="008919A3">
      <w:pPr>
        <w:pStyle w:val="Bodypara"/>
      </w:pPr>
      <w:r w:rsidRPr="00461C3E">
        <w:t>If the Demand Side Resource’s real-time Regulation Schedule is greater than or equal to the Day-Ahead Regulation Service schedule then:</w:t>
      </w:r>
    </w:p>
    <w:p w:rsidR="006108FE" w:rsidRPr="00461C3E" w:rsidRDefault="004D3E9F" w:rsidP="001204CB">
      <w:pPr>
        <w:pStyle w:val="equationtext"/>
        <w:rPr>
          <w:rFonts w:ascii="Arial" w:hAnsi="Arial"/>
        </w:rPr>
      </w:pPr>
      <w:r w:rsidRPr="004D3E9F">
        <w:rPr>
          <w:rFonts w:ascii="Arial" w:hAnsi="Arial"/>
          <w:position w:val="-24"/>
        </w:rPr>
        <w:pict>
          <v:shape id="_x0000_i1038" type="#_x0000_t75" style="width:420.75pt;height:30.75pt" fillcolor="window">
            <v:imagedata r:id="rId14" o:title=""/>
          </v:shape>
        </w:pict>
      </w:r>
      <w:r w:rsidR="00F34076" w:rsidRPr="00461C3E">
        <w:rPr>
          <w:rFonts w:ascii="Arial" w:hAnsi="Arial"/>
        </w:rPr>
        <w:t>.</w:t>
      </w:r>
    </w:p>
    <w:p w:rsidR="006108FE" w:rsidRPr="00461C3E" w:rsidRDefault="00F34076" w:rsidP="001204CB">
      <w:pPr>
        <w:pStyle w:val="Heading3"/>
        <w:rPr>
          <w:strike/>
        </w:rPr>
      </w:pPr>
      <w:bookmarkStart w:id="6" w:name="_Toc261252303"/>
      <w:r>
        <w:t>25.</w:t>
      </w:r>
      <w:r w:rsidRPr="00461C3E">
        <w:t>3</w:t>
      </w:r>
      <w:r>
        <w:t>.</w:t>
      </w:r>
      <w:r w:rsidRPr="00461C3E">
        <w:t>3</w:t>
      </w:r>
      <w:r>
        <w:tab/>
        <w:t>Terms used in</w:t>
      </w:r>
      <w:r w:rsidRPr="00461C3E">
        <w:t xml:space="preserve"> this Attachment J:</w:t>
      </w:r>
      <w:bookmarkEnd w:id="6"/>
    </w:p>
    <w:p w:rsidR="006108FE" w:rsidRPr="001204CB" w:rsidRDefault="00F34076" w:rsidP="001204CB">
      <w:pPr>
        <w:pStyle w:val="Bodypara"/>
      </w:pPr>
      <w:r w:rsidRPr="00461C3E">
        <w:rPr>
          <w:i/>
          <w:iCs/>
        </w:rPr>
        <w:t>h</w:t>
      </w:r>
      <w:r w:rsidRPr="00461C3E">
        <w:t xml:space="preserve"> is the hour that includes interval </w:t>
      </w:r>
      <w:r w:rsidRPr="00461C3E">
        <w:rPr>
          <w:i/>
          <w:iCs/>
        </w:rPr>
        <w:t>i</w:t>
      </w:r>
      <w:r>
        <w:t>;</w:t>
      </w:r>
    </w:p>
    <w:p w:rsidR="006108FE" w:rsidRPr="00461C3E" w:rsidRDefault="00F34076" w:rsidP="001204CB">
      <w:pPr>
        <w:pStyle w:val="equationtext"/>
      </w:pPr>
      <w:r w:rsidRPr="00461C3E">
        <w:t xml:space="preserve">DMAPhu </w:t>
      </w:r>
      <w:r>
        <w:tab/>
        <w:t>=</w:t>
      </w:r>
      <w:r>
        <w:tab/>
      </w:r>
      <w:r w:rsidRPr="00461C3E">
        <w:t>the Day-Ahead Margin Assurance Payment attributable in any hour h to any Supplier u;</w:t>
      </w:r>
    </w:p>
    <w:p w:rsidR="006108FE" w:rsidRPr="001204CB" w:rsidRDefault="00F34076" w:rsidP="001204CB">
      <w:pPr>
        <w:pStyle w:val="equationtext"/>
        <w:rPr>
          <w:iCs w:val="0"/>
        </w:rPr>
      </w:pPr>
      <w:r w:rsidRPr="00461C3E">
        <w:t>CDMAP</w:t>
      </w:r>
      <w:r w:rsidRPr="00461C3E">
        <w:rPr>
          <w:vertAlign w:val="subscript"/>
        </w:rPr>
        <w:t>iu</w:t>
      </w:r>
      <w:r w:rsidRPr="00461C3E">
        <w:t xml:space="preserve"> </w:t>
      </w:r>
      <w:r>
        <w:tab/>
        <w:t>=</w:t>
      </w:r>
      <w:r>
        <w:tab/>
      </w:r>
      <w:r w:rsidRPr="00461C3E">
        <w:t xml:space="preserve">the </w:t>
      </w:r>
      <w:r w:rsidRPr="008919A3">
        <w:t>contribution</w:t>
      </w:r>
      <w:r w:rsidRPr="00461C3E">
        <w:t xml:space="preserve"> of RTD interval </w:t>
      </w:r>
      <w:r w:rsidRPr="00461C3E">
        <w:rPr>
          <w:i/>
        </w:rPr>
        <w:t>i</w:t>
      </w:r>
      <w:r w:rsidRPr="00461C3E">
        <w:t xml:space="preserve"> to the Day-Ahead Margin Assurance Payment for Supplier </w:t>
      </w:r>
      <w:r w:rsidRPr="00461C3E">
        <w:rPr>
          <w:i/>
        </w:rPr>
        <w:t>u</w:t>
      </w:r>
      <w:r>
        <w:t>;</w:t>
      </w:r>
    </w:p>
    <w:p w:rsidR="006108FE" w:rsidRPr="001204CB" w:rsidRDefault="00F34076" w:rsidP="001204CB">
      <w:pPr>
        <w:pStyle w:val="equationtext"/>
        <w:rPr>
          <w:iCs w:val="0"/>
        </w:rPr>
      </w:pPr>
      <w:r w:rsidRPr="00461C3E">
        <w:t>CDMAPen</w:t>
      </w:r>
      <w:r w:rsidRPr="00461C3E">
        <w:rPr>
          <w:vertAlign w:val="subscript"/>
        </w:rPr>
        <w:t>iu</w:t>
      </w:r>
      <w:r w:rsidRPr="00461C3E">
        <w:t xml:space="preserve"> </w:t>
      </w:r>
      <w:r>
        <w:tab/>
      </w:r>
      <w:r w:rsidRPr="00461C3E">
        <w:t xml:space="preserve">= </w:t>
      </w:r>
      <w:r>
        <w:tab/>
      </w:r>
      <w:r w:rsidRPr="00461C3E">
        <w:t xml:space="preserve">the </w:t>
      </w:r>
      <w:r w:rsidRPr="008919A3">
        <w:t>Energy</w:t>
      </w:r>
      <w:r w:rsidRPr="00461C3E">
        <w:t xml:space="preserve"> contribution of RTD interval </w:t>
      </w:r>
      <w:r w:rsidRPr="00461C3E">
        <w:rPr>
          <w:i/>
        </w:rPr>
        <w:t>i</w:t>
      </w:r>
      <w:r w:rsidRPr="00461C3E">
        <w:t xml:space="preserve"> to the Day-Ahead Margin Assurance Payment for Supplier </w:t>
      </w:r>
      <w:r w:rsidRPr="00461C3E">
        <w:rPr>
          <w:i/>
        </w:rPr>
        <w:t>u</w:t>
      </w:r>
      <w:r>
        <w:t>;</w:t>
      </w:r>
    </w:p>
    <w:p w:rsidR="00817F89" w:rsidRPr="001204CB" w:rsidRDefault="00F34076" w:rsidP="001204CB">
      <w:pPr>
        <w:pStyle w:val="equationtext"/>
        <w:rPr>
          <w:iCs w:val="0"/>
        </w:rPr>
      </w:pPr>
      <w:r w:rsidRPr="00461C3E">
        <w:t>CDMAPreg</w:t>
      </w:r>
      <w:r w:rsidRPr="00461C3E">
        <w:rPr>
          <w:vertAlign w:val="subscript"/>
        </w:rPr>
        <w:t>iu</w:t>
      </w:r>
      <w:r w:rsidRPr="00461C3E">
        <w:t xml:space="preserve"> </w:t>
      </w:r>
      <w:r>
        <w:tab/>
        <w:t>=</w:t>
      </w:r>
      <w:r>
        <w:tab/>
      </w:r>
      <w:r w:rsidRPr="00461C3E">
        <w:t xml:space="preserve">the Regulation Service contribution of RTD interval </w:t>
      </w:r>
      <w:r w:rsidRPr="00461C3E">
        <w:rPr>
          <w:i/>
        </w:rPr>
        <w:t>i</w:t>
      </w:r>
      <w:r w:rsidRPr="00461C3E">
        <w:t xml:space="preserve"> to the Day-Ahead Margin Assurance Payment for </w:t>
      </w:r>
      <w:r w:rsidRPr="008919A3">
        <w:t>Supplier</w:t>
      </w:r>
      <w:r w:rsidRPr="00461C3E">
        <w:t xml:space="preserve"> </w:t>
      </w:r>
      <w:r w:rsidRPr="00461C3E">
        <w:rPr>
          <w:i/>
        </w:rPr>
        <w:t>u</w:t>
      </w:r>
      <w:r>
        <w:t>;</w:t>
      </w:r>
    </w:p>
    <w:p w:rsidR="00817F89" w:rsidRDefault="00F34076" w:rsidP="001204CB">
      <w:pPr>
        <w:pStyle w:val="equationtext"/>
      </w:pPr>
      <w:r>
        <w:t>CDMAPres</w:t>
      </w:r>
      <w:r>
        <w:rPr>
          <w:vertAlign w:val="subscript"/>
        </w:rPr>
        <w:t>iup</w:t>
      </w:r>
      <w:r>
        <w:t xml:space="preserve"> </w:t>
      </w:r>
      <w:r>
        <w:tab/>
        <w:t>=</w:t>
      </w:r>
      <w:r>
        <w:tab/>
      </w:r>
      <w:r>
        <w:t xml:space="preserve">the Operating Reserve contribution of RTD interval </w:t>
      </w:r>
      <w:r>
        <w:rPr>
          <w:i/>
        </w:rPr>
        <w:t>i</w:t>
      </w:r>
      <w:r>
        <w:t xml:space="preserve"> to the Day-Ahead Margin Assurance Payment for Supplier </w:t>
      </w:r>
      <w:r>
        <w:rPr>
          <w:i/>
        </w:rPr>
        <w:t>u</w:t>
      </w:r>
      <w:r>
        <w:t xml:space="preserve"> determined separately for ea</w:t>
      </w:r>
      <w:r>
        <w:t>ch Operating Reserve product p;</w:t>
      </w:r>
    </w:p>
    <w:p w:rsidR="00817F89" w:rsidRDefault="00F34076" w:rsidP="001204CB">
      <w:pPr>
        <w:pStyle w:val="equationtext"/>
      </w:pPr>
      <w:r>
        <w:t>DASen</w:t>
      </w:r>
      <w:r>
        <w:rPr>
          <w:vertAlign w:val="subscript"/>
        </w:rPr>
        <w:t>hu</w:t>
      </w:r>
      <w:r>
        <w:rPr>
          <w:i/>
        </w:rPr>
        <w:t xml:space="preserve"> </w:t>
      </w:r>
      <w:r>
        <w:tab/>
        <w:t>=</w:t>
      </w:r>
      <w:r>
        <w:tab/>
      </w:r>
      <w:r>
        <w:t xml:space="preserve">Day-Ahead Energy schedule for Supplier </w:t>
      </w:r>
      <w:r>
        <w:rPr>
          <w:i/>
        </w:rPr>
        <w:t>u</w:t>
      </w:r>
      <w:r>
        <w:t xml:space="preserve"> in hour </w:t>
      </w:r>
      <w:r>
        <w:rPr>
          <w:i/>
        </w:rPr>
        <w:t>h</w:t>
      </w:r>
      <w:r>
        <w:t>;</w:t>
      </w:r>
    </w:p>
    <w:p w:rsidR="00817F89" w:rsidRPr="001204CB" w:rsidRDefault="00F34076" w:rsidP="001204CB">
      <w:pPr>
        <w:pStyle w:val="equationtext"/>
        <w:rPr>
          <w:iCs w:val="0"/>
        </w:rPr>
      </w:pPr>
      <w:r>
        <w:t>DASreg</w:t>
      </w:r>
      <w:r>
        <w:rPr>
          <w:vertAlign w:val="subscript"/>
        </w:rPr>
        <w:t>hu</w:t>
      </w:r>
      <w:r>
        <w:t xml:space="preserve"> </w:t>
      </w:r>
      <w:r>
        <w:tab/>
        <w:t>=</w:t>
      </w:r>
      <w:r>
        <w:tab/>
      </w:r>
      <w:r>
        <w:t xml:space="preserve">Day-Ahead </w:t>
      </w:r>
      <w:r w:rsidRPr="008919A3">
        <w:t>s</w:t>
      </w:r>
      <w:r w:rsidRPr="008919A3">
        <w:t>chedule</w:t>
      </w:r>
      <w:r>
        <w:t xml:space="preserve"> for Regulation Service for Supplier </w:t>
      </w:r>
      <w:r>
        <w:rPr>
          <w:i/>
        </w:rPr>
        <w:t>u</w:t>
      </w:r>
      <w:r>
        <w:t xml:space="preserve"> in hour </w:t>
      </w:r>
      <w:r>
        <w:rPr>
          <w:i/>
        </w:rPr>
        <w:t>h</w:t>
      </w:r>
      <w:r>
        <w:t>;</w:t>
      </w:r>
    </w:p>
    <w:p w:rsidR="00817F89" w:rsidRPr="001204CB" w:rsidRDefault="00F34076" w:rsidP="001204CB">
      <w:pPr>
        <w:pStyle w:val="equationtext"/>
        <w:rPr>
          <w:iCs w:val="0"/>
        </w:rPr>
      </w:pPr>
      <w:r>
        <w:t>DASres</w:t>
      </w:r>
      <w:r>
        <w:rPr>
          <w:vertAlign w:val="subscript"/>
        </w:rPr>
        <w:t>hup</w:t>
      </w:r>
      <w:r>
        <w:t xml:space="preserve"> </w:t>
      </w:r>
      <w:r>
        <w:tab/>
        <w:t>=</w:t>
      </w:r>
      <w:r>
        <w:tab/>
      </w:r>
      <w:r>
        <w:t xml:space="preserve">Day-Ahead </w:t>
      </w:r>
      <w:r w:rsidRPr="008919A3">
        <w:t>schedule</w:t>
      </w:r>
      <w:r>
        <w:t xml:space="preserve"> for Operating Reserve product p, for Supplier </w:t>
      </w:r>
      <w:r>
        <w:rPr>
          <w:i/>
        </w:rPr>
        <w:t>u</w:t>
      </w:r>
      <w:r>
        <w:t xml:space="preserve"> in hour </w:t>
      </w:r>
      <w:r>
        <w:rPr>
          <w:i/>
        </w:rPr>
        <w:t>h</w:t>
      </w:r>
      <w:r>
        <w:t>;</w:t>
      </w:r>
    </w:p>
    <w:p w:rsidR="00817F89" w:rsidRPr="001204CB" w:rsidRDefault="00F34076" w:rsidP="001204CB">
      <w:pPr>
        <w:pStyle w:val="equationtext"/>
        <w:rPr>
          <w:iCs w:val="0"/>
        </w:rPr>
      </w:pPr>
      <w:r>
        <w:t>DABen</w:t>
      </w:r>
      <w:r>
        <w:rPr>
          <w:vertAlign w:val="subscript"/>
        </w:rPr>
        <w:t>hu</w:t>
      </w:r>
      <w:r>
        <w:t xml:space="preserve"> </w:t>
      </w:r>
      <w:r>
        <w:tab/>
        <w:t>=</w:t>
      </w:r>
      <w:r>
        <w:tab/>
      </w:r>
      <w:r>
        <w:t xml:space="preserve">Day-Ahead Energy bid curve for Supplier </w:t>
      </w:r>
      <w:r>
        <w:rPr>
          <w:i/>
        </w:rPr>
        <w:t>u</w:t>
      </w:r>
      <w:r>
        <w:t xml:space="preserve"> in hour </w:t>
      </w:r>
      <w:r>
        <w:rPr>
          <w:i/>
        </w:rPr>
        <w:t>h</w:t>
      </w:r>
      <w:r>
        <w:t>;</w:t>
      </w:r>
    </w:p>
    <w:p w:rsidR="00817F89" w:rsidRPr="001204CB" w:rsidRDefault="00F34076" w:rsidP="001204CB">
      <w:pPr>
        <w:pStyle w:val="equationtext"/>
        <w:rPr>
          <w:iCs w:val="0"/>
        </w:rPr>
      </w:pPr>
      <w:r>
        <w:t>DABreg</w:t>
      </w:r>
      <w:r>
        <w:rPr>
          <w:vertAlign w:val="subscript"/>
        </w:rPr>
        <w:t>hu</w:t>
      </w:r>
      <w:r>
        <w:t xml:space="preserve"> </w:t>
      </w:r>
      <w:r>
        <w:tab/>
        <w:t>=</w:t>
      </w:r>
      <w:r>
        <w:tab/>
      </w:r>
      <w:r>
        <w:t xml:space="preserve">Day-Ahead </w:t>
      </w:r>
      <w:r w:rsidRPr="008919A3">
        <w:t>Availability</w:t>
      </w:r>
      <w:r>
        <w:t xml:space="preserve"> Bid for R</w:t>
      </w:r>
      <w:r>
        <w:t xml:space="preserve">egulation Service for Supplier </w:t>
      </w:r>
      <w:r>
        <w:rPr>
          <w:i/>
        </w:rPr>
        <w:t>u</w:t>
      </w:r>
      <w:r>
        <w:t xml:space="preserve"> in hour </w:t>
      </w:r>
      <w:r>
        <w:rPr>
          <w:i/>
        </w:rPr>
        <w:t>h</w:t>
      </w:r>
      <w:r>
        <w:t>;</w:t>
      </w:r>
    </w:p>
    <w:p w:rsidR="00817F89" w:rsidRPr="001204CB" w:rsidRDefault="00F34076" w:rsidP="001204CB">
      <w:pPr>
        <w:pStyle w:val="equationtext"/>
        <w:rPr>
          <w:iCs w:val="0"/>
        </w:rPr>
      </w:pPr>
      <w:r>
        <w:t>DABres</w:t>
      </w:r>
      <w:r>
        <w:rPr>
          <w:vertAlign w:val="subscript"/>
        </w:rPr>
        <w:t>hup</w:t>
      </w:r>
      <w:r>
        <w:t xml:space="preserve"> </w:t>
      </w:r>
      <w:r>
        <w:tab/>
        <w:t>=</w:t>
      </w:r>
      <w:r>
        <w:tab/>
      </w:r>
      <w:r>
        <w:t xml:space="preserve">Day-Ahead </w:t>
      </w:r>
      <w:r w:rsidRPr="008919A3">
        <w:t>Availability</w:t>
      </w:r>
      <w:r>
        <w:t xml:space="preserve"> Bid for Operating Reserve product p for Supplier </w:t>
      </w:r>
      <w:r>
        <w:rPr>
          <w:i/>
        </w:rPr>
        <w:t>u</w:t>
      </w:r>
      <w:r>
        <w:t xml:space="preserve"> in hour </w:t>
      </w:r>
      <w:r>
        <w:rPr>
          <w:i/>
        </w:rPr>
        <w:t>h</w:t>
      </w:r>
      <w:r>
        <w:t>;</w:t>
      </w:r>
    </w:p>
    <w:p w:rsidR="00817F89" w:rsidRPr="001204CB" w:rsidRDefault="00F34076" w:rsidP="001204CB">
      <w:pPr>
        <w:pStyle w:val="equationtext"/>
        <w:rPr>
          <w:iCs w:val="0"/>
        </w:rPr>
      </w:pPr>
      <w:r>
        <w:t>RTSen</w:t>
      </w:r>
      <w:r>
        <w:rPr>
          <w:vertAlign w:val="subscript"/>
        </w:rPr>
        <w:t>iu</w:t>
      </w:r>
      <w:r>
        <w:t xml:space="preserve"> </w:t>
      </w:r>
      <w:r>
        <w:tab/>
        <w:t>=</w:t>
      </w:r>
      <w:r>
        <w:tab/>
      </w:r>
      <w:r>
        <w:t xml:space="preserve">Real-time Energy scheduled for Supplier </w:t>
      </w:r>
      <w:r>
        <w:rPr>
          <w:i/>
        </w:rPr>
        <w:t>u</w:t>
      </w:r>
      <w:r>
        <w:t xml:space="preserve"> in interval </w:t>
      </w:r>
      <w:r>
        <w:rPr>
          <w:i/>
        </w:rPr>
        <w:t>i</w:t>
      </w:r>
      <w:r>
        <w:t xml:space="preserve">, and calculated as the arithmetic average of the 6-second AGC Base Point Signals sent to Supplier </w:t>
      </w:r>
      <w:r>
        <w:rPr>
          <w:i/>
        </w:rPr>
        <w:t>u</w:t>
      </w:r>
      <w:r>
        <w:t xml:space="preserve"> during the course of interval </w:t>
      </w:r>
      <w:r>
        <w:rPr>
          <w:i/>
        </w:rPr>
        <w:t>i</w:t>
      </w:r>
      <w:r>
        <w:t>;</w:t>
      </w:r>
    </w:p>
    <w:p w:rsidR="00817F89" w:rsidRPr="001204CB" w:rsidRDefault="00F34076" w:rsidP="001204CB">
      <w:pPr>
        <w:pStyle w:val="equationtext"/>
        <w:rPr>
          <w:iCs w:val="0"/>
        </w:rPr>
      </w:pPr>
      <w:r>
        <w:t>RTSreg</w:t>
      </w:r>
      <w:r>
        <w:rPr>
          <w:vertAlign w:val="subscript"/>
        </w:rPr>
        <w:t>iu</w:t>
      </w:r>
      <w:r>
        <w:t xml:space="preserve"> </w:t>
      </w:r>
      <w:r>
        <w:tab/>
        <w:t>=</w:t>
      </w:r>
      <w:r>
        <w:tab/>
      </w:r>
      <w:r>
        <w:t xml:space="preserve">Real-time </w:t>
      </w:r>
      <w:r w:rsidRPr="008919A3">
        <w:t>schedule</w:t>
      </w:r>
      <w:r>
        <w:t xml:space="preserve"> for Regulation Service for Supplier </w:t>
      </w:r>
      <w:r>
        <w:rPr>
          <w:i/>
        </w:rPr>
        <w:t>u</w:t>
      </w:r>
      <w:r>
        <w:t xml:space="preserve"> in interval </w:t>
      </w:r>
      <w:r>
        <w:rPr>
          <w:i/>
        </w:rPr>
        <w:t>i</w:t>
      </w:r>
      <w:r>
        <w:t>.</w:t>
      </w:r>
    </w:p>
    <w:p w:rsidR="00817F89" w:rsidRPr="001204CB" w:rsidRDefault="00F34076" w:rsidP="001204CB">
      <w:pPr>
        <w:pStyle w:val="equationtext"/>
        <w:rPr>
          <w:iCs w:val="0"/>
        </w:rPr>
      </w:pPr>
      <w:r>
        <w:t>RTSres</w:t>
      </w:r>
      <w:r>
        <w:rPr>
          <w:vertAlign w:val="subscript"/>
        </w:rPr>
        <w:t>iup</w:t>
      </w:r>
      <w:r>
        <w:t xml:space="preserve"> </w:t>
      </w:r>
      <w:r>
        <w:tab/>
        <w:t>=</w:t>
      </w:r>
      <w:r>
        <w:tab/>
      </w:r>
      <w:r>
        <w:t xml:space="preserve">Real-time </w:t>
      </w:r>
      <w:r w:rsidRPr="008919A3">
        <w:t>schedule</w:t>
      </w:r>
      <w:r>
        <w:t xml:space="preserve"> for Op</w:t>
      </w:r>
      <w:r>
        <w:t xml:space="preserve">erating Reserve product p for Supplier </w:t>
      </w:r>
      <w:r>
        <w:rPr>
          <w:i/>
        </w:rPr>
        <w:t>u</w:t>
      </w:r>
      <w:r>
        <w:t xml:space="preserve"> in interval </w:t>
      </w:r>
      <w:r>
        <w:rPr>
          <w:i/>
        </w:rPr>
        <w:t>i</w:t>
      </w:r>
      <w:r>
        <w:t>.</w:t>
      </w:r>
    </w:p>
    <w:p w:rsidR="00817F89" w:rsidRPr="001204CB" w:rsidRDefault="00F34076" w:rsidP="001204CB">
      <w:pPr>
        <w:pStyle w:val="equationtext"/>
        <w:rPr>
          <w:iCs w:val="0"/>
        </w:rPr>
      </w:pPr>
      <w:r>
        <w:t>RTBreg</w:t>
      </w:r>
      <w:r>
        <w:rPr>
          <w:vertAlign w:val="subscript"/>
        </w:rPr>
        <w:t>iu</w:t>
      </w:r>
      <w:r>
        <w:t xml:space="preserve"> </w:t>
      </w:r>
      <w:r>
        <w:tab/>
        <w:t>=</w:t>
      </w:r>
      <w:r>
        <w:tab/>
      </w:r>
      <w:r>
        <w:t xml:space="preserve">Real-time </w:t>
      </w:r>
      <w:r w:rsidRPr="008919A3">
        <w:t>Availability</w:t>
      </w:r>
      <w:r>
        <w:t xml:space="preserve"> Bid for Regulation Service for Supplier </w:t>
      </w:r>
      <w:r>
        <w:rPr>
          <w:i/>
        </w:rPr>
        <w:t>u</w:t>
      </w:r>
      <w:r>
        <w:t xml:space="preserve"> in interval </w:t>
      </w:r>
      <w:r>
        <w:rPr>
          <w:i/>
        </w:rPr>
        <w:t>i</w:t>
      </w:r>
      <w:r>
        <w:t>.</w:t>
      </w:r>
    </w:p>
    <w:p w:rsidR="00817F89" w:rsidRPr="001204CB" w:rsidRDefault="00F34076" w:rsidP="001204CB">
      <w:pPr>
        <w:pStyle w:val="equationtext"/>
        <w:rPr>
          <w:iCs w:val="0"/>
        </w:rPr>
      </w:pPr>
      <w:r>
        <w:t>RTBen</w:t>
      </w:r>
      <w:r>
        <w:rPr>
          <w:vertAlign w:val="subscript"/>
        </w:rPr>
        <w:t>iu</w:t>
      </w:r>
      <w:r>
        <w:t xml:space="preserve"> </w:t>
      </w:r>
      <w:r>
        <w:tab/>
        <w:t>=</w:t>
      </w:r>
      <w:r>
        <w:tab/>
      </w:r>
      <w:r>
        <w:t xml:space="preserve">Real-time Energy </w:t>
      </w:r>
      <w:r w:rsidRPr="008919A3">
        <w:t>bid</w:t>
      </w:r>
      <w:r>
        <w:t xml:space="preserve"> curve for Supplier </w:t>
      </w:r>
      <w:r>
        <w:rPr>
          <w:i/>
        </w:rPr>
        <w:t>u</w:t>
      </w:r>
      <w:r>
        <w:t xml:space="preserve"> in interval </w:t>
      </w:r>
      <w:r>
        <w:rPr>
          <w:i/>
        </w:rPr>
        <w:t>i</w:t>
      </w:r>
      <w:r>
        <w:t>.</w:t>
      </w:r>
    </w:p>
    <w:p w:rsidR="00817F89" w:rsidRPr="001204CB" w:rsidRDefault="00F34076" w:rsidP="001204CB">
      <w:pPr>
        <w:pStyle w:val="equationtext"/>
        <w:rPr>
          <w:iCs w:val="0"/>
        </w:rPr>
      </w:pPr>
      <w:r>
        <w:t>AEI</w:t>
      </w:r>
      <w:r>
        <w:rPr>
          <w:vertAlign w:val="subscript"/>
        </w:rPr>
        <w:t>iu</w:t>
      </w:r>
      <w:r>
        <w:rPr>
          <w:i/>
        </w:rPr>
        <w:t xml:space="preserve"> </w:t>
      </w:r>
      <w:r>
        <w:tab/>
        <w:t>=</w:t>
      </w:r>
      <w:r>
        <w:tab/>
      </w:r>
      <w:r>
        <w:t xml:space="preserve">average Actual Energy Injection by Supplier u in interval </w:t>
      </w:r>
      <w:r>
        <w:rPr>
          <w:i/>
        </w:rPr>
        <w:t>i</w:t>
      </w:r>
      <w:r>
        <w:t xml:space="preserve"> but not more than RTSen</w:t>
      </w:r>
      <w:r>
        <w:rPr>
          <w:vertAlign w:val="subscript"/>
        </w:rPr>
        <w:t>iu</w:t>
      </w:r>
      <w:r>
        <w:t xml:space="preserve"> p</w:t>
      </w:r>
      <w:r>
        <w:t>lus Compensable Overgeneration;</w:t>
      </w:r>
    </w:p>
    <w:p w:rsidR="00817F89" w:rsidRPr="001204CB" w:rsidRDefault="00F34076" w:rsidP="001204CB">
      <w:pPr>
        <w:pStyle w:val="equationtext"/>
        <w:rPr>
          <w:iCs w:val="0"/>
        </w:rPr>
      </w:pPr>
      <w:r>
        <w:t>RTPen</w:t>
      </w:r>
      <w:r>
        <w:rPr>
          <w:vertAlign w:val="subscript"/>
        </w:rPr>
        <w:t>iu</w:t>
      </w:r>
      <w:r>
        <w:t xml:space="preserve"> </w:t>
      </w:r>
      <w:r>
        <w:tab/>
        <w:t>=</w:t>
      </w:r>
      <w:r>
        <w:tab/>
      </w:r>
      <w:r>
        <w:t xml:space="preserve">real-time price of Energy </w:t>
      </w:r>
      <w:r w:rsidRPr="008919A3">
        <w:t>at</w:t>
      </w:r>
      <w:r>
        <w:t xml:space="preserve"> the location of Supplier </w:t>
      </w:r>
      <w:r>
        <w:rPr>
          <w:i/>
        </w:rPr>
        <w:t>u</w:t>
      </w:r>
      <w:r>
        <w:t xml:space="preserve"> in interval </w:t>
      </w:r>
      <w:r>
        <w:rPr>
          <w:i/>
        </w:rPr>
        <w:t>i</w:t>
      </w:r>
      <w:r>
        <w:t>;</w:t>
      </w:r>
    </w:p>
    <w:p w:rsidR="00817F89" w:rsidRPr="001204CB" w:rsidRDefault="00F34076" w:rsidP="001204CB">
      <w:pPr>
        <w:pStyle w:val="equationtext"/>
        <w:rPr>
          <w:iCs w:val="0"/>
        </w:rPr>
      </w:pPr>
      <w:r>
        <w:t>RTPreg</w:t>
      </w:r>
      <w:r>
        <w:rPr>
          <w:vertAlign w:val="subscript"/>
        </w:rPr>
        <w:t>iu</w:t>
      </w:r>
      <w:r>
        <w:t xml:space="preserve"> </w:t>
      </w:r>
      <w:r>
        <w:tab/>
        <w:t>=</w:t>
      </w:r>
      <w:r>
        <w:tab/>
      </w:r>
      <w:r>
        <w:t xml:space="preserve">real-time price of Regulation Service at the location of Supplier </w:t>
      </w:r>
      <w:r>
        <w:rPr>
          <w:i/>
        </w:rPr>
        <w:t>u</w:t>
      </w:r>
      <w:r>
        <w:t xml:space="preserve"> in interval </w:t>
      </w:r>
      <w:r>
        <w:rPr>
          <w:i/>
        </w:rPr>
        <w:t>i</w:t>
      </w:r>
      <w:r>
        <w:t>;</w:t>
      </w:r>
    </w:p>
    <w:p w:rsidR="00817F89" w:rsidRDefault="00F34076" w:rsidP="008919A3">
      <w:pPr>
        <w:pStyle w:val="equationtext"/>
        <w:rPr>
          <w:iCs w:val="0"/>
        </w:rPr>
      </w:pPr>
      <w:r>
        <w:rPr>
          <w:iCs w:val="0"/>
        </w:rPr>
        <w:t>RTPres</w:t>
      </w:r>
      <w:r>
        <w:rPr>
          <w:iCs w:val="0"/>
          <w:vertAlign w:val="subscript"/>
        </w:rPr>
        <w:t>iup</w:t>
      </w:r>
      <w:r>
        <w:rPr>
          <w:iCs w:val="0"/>
        </w:rPr>
        <w:t xml:space="preserve"> </w:t>
      </w:r>
      <w:r>
        <w:rPr>
          <w:iCs w:val="0"/>
        </w:rPr>
        <w:tab/>
        <w:t>=</w:t>
      </w:r>
      <w:r>
        <w:rPr>
          <w:iCs w:val="0"/>
        </w:rPr>
        <w:tab/>
      </w:r>
      <w:r>
        <w:rPr>
          <w:iCs w:val="0"/>
        </w:rPr>
        <w:t xml:space="preserve">real-time price of </w:t>
      </w:r>
      <w:r w:rsidRPr="008919A3">
        <w:t>Operating</w:t>
      </w:r>
      <w:r>
        <w:rPr>
          <w:iCs w:val="0"/>
        </w:rPr>
        <w:t xml:space="preserve"> Reserve product p at the location of Supplier </w:t>
      </w:r>
      <w:r>
        <w:rPr>
          <w:i/>
        </w:rPr>
        <w:t>u</w:t>
      </w:r>
      <w:r>
        <w:rPr>
          <w:iCs w:val="0"/>
        </w:rPr>
        <w:t xml:space="preserve"> in interval </w:t>
      </w:r>
      <w:r>
        <w:rPr>
          <w:i/>
        </w:rPr>
        <w:t>i</w:t>
      </w:r>
      <w:r>
        <w:rPr>
          <w:iCs w:val="0"/>
        </w:rPr>
        <w:t>;</w:t>
      </w:r>
    </w:p>
    <w:p w:rsidR="00746105" w:rsidRPr="00C468B6" w:rsidRDefault="00F34076" w:rsidP="001204CB">
      <w:pPr>
        <w:pStyle w:val="equationtext"/>
      </w:pPr>
      <w:r w:rsidRPr="00C468B6">
        <w:t>LL</w:t>
      </w:r>
      <w:r w:rsidRPr="00C468B6">
        <w:rPr>
          <w:vertAlign w:val="subscript"/>
        </w:rPr>
        <w:t>iu</w:t>
      </w:r>
      <w:r w:rsidRPr="00C468B6">
        <w:t xml:space="preserve"> </w:t>
      </w:r>
      <w:r>
        <w:tab/>
        <w:t>=</w:t>
      </w:r>
      <w:r>
        <w:tab/>
      </w:r>
      <w:r w:rsidRPr="00C468B6">
        <w:t>max (RTSen</w:t>
      </w:r>
      <w:r w:rsidRPr="00C468B6">
        <w:rPr>
          <w:vertAlign w:val="subscript"/>
        </w:rPr>
        <w:t>iu</w:t>
      </w:r>
      <w:r w:rsidRPr="00C468B6">
        <w:t>, min(AEI</w:t>
      </w:r>
      <w:r w:rsidRPr="00C468B6">
        <w:rPr>
          <w:vertAlign w:val="subscript"/>
        </w:rPr>
        <w:t>iu</w:t>
      </w:r>
      <w:r w:rsidRPr="00C468B6">
        <w:t>,EOP</w:t>
      </w:r>
      <w:r w:rsidRPr="00C468B6">
        <w:rPr>
          <w:vertAlign w:val="subscript"/>
        </w:rPr>
        <w:t>iu</w:t>
      </w:r>
      <w:r w:rsidRPr="00C468B6">
        <w:t>)), but not more than DASen</w:t>
      </w:r>
      <w:r w:rsidRPr="00C468B6">
        <w:rPr>
          <w:vertAlign w:val="subscript"/>
        </w:rPr>
        <w:t>hu</w:t>
      </w:r>
      <w:r w:rsidRPr="00C468B6">
        <w:t xml:space="preserve"> i</w:t>
      </w:r>
      <w:r w:rsidRPr="00C468B6">
        <w:t>f RTSen</w:t>
      </w:r>
      <w:r w:rsidRPr="00C468B6">
        <w:rPr>
          <w:vertAlign w:val="subscript"/>
        </w:rPr>
        <w:t>iu</w:t>
      </w:r>
      <w:r w:rsidRPr="00C468B6">
        <w:t xml:space="preserve"> &lt; EOP</w:t>
      </w:r>
      <w:r w:rsidRPr="00C468B6">
        <w:rPr>
          <w:vertAlign w:val="subscript"/>
        </w:rPr>
        <w:t xml:space="preserve">iu </w:t>
      </w:r>
      <w:r w:rsidRPr="00C468B6">
        <w:t>and min (RTSen</w:t>
      </w:r>
      <w:r w:rsidRPr="00C468B6">
        <w:rPr>
          <w:vertAlign w:val="subscript"/>
        </w:rPr>
        <w:t>iu</w:t>
      </w:r>
      <w:r w:rsidRPr="00C468B6">
        <w:t>, max(AEI</w:t>
      </w:r>
      <w:r w:rsidRPr="00C468B6">
        <w:rPr>
          <w:vertAlign w:val="subscript"/>
        </w:rPr>
        <w:t>iu</w:t>
      </w:r>
      <w:r w:rsidRPr="00C468B6">
        <w:t>,EOP</w:t>
      </w:r>
      <w:r w:rsidRPr="00C468B6">
        <w:rPr>
          <w:vertAlign w:val="subscript"/>
        </w:rPr>
        <w:t>iu</w:t>
      </w:r>
      <w:r w:rsidRPr="00C468B6">
        <w:t>)), but not more than DASen</w:t>
      </w:r>
      <w:r w:rsidRPr="00C468B6">
        <w:rPr>
          <w:vertAlign w:val="subscript"/>
        </w:rPr>
        <w:t>hu</w:t>
      </w:r>
      <w:r>
        <w:t xml:space="preserve"> otherwise;</w:t>
      </w:r>
    </w:p>
    <w:p w:rsidR="00746105" w:rsidRPr="00C468B6" w:rsidRDefault="00F34076" w:rsidP="001204CB">
      <w:pPr>
        <w:pStyle w:val="equationtext"/>
      </w:pPr>
      <w:r w:rsidRPr="00C468B6">
        <w:t>UL</w:t>
      </w:r>
      <w:r w:rsidRPr="00C468B6">
        <w:rPr>
          <w:vertAlign w:val="subscript"/>
        </w:rPr>
        <w:t>iu</w:t>
      </w:r>
      <w:r w:rsidRPr="00C468B6">
        <w:t xml:space="preserve"> </w:t>
      </w:r>
      <w:r>
        <w:tab/>
        <w:t>=</w:t>
      </w:r>
      <w:r>
        <w:tab/>
      </w:r>
      <w:r w:rsidRPr="00C468B6">
        <w:t>min (RTSen</w:t>
      </w:r>
      <w:r w:rsidRPr="00C468B6">
        <w:rPr>
          <w:vertAlign w:val="subscript"/>
        </w:rPr>
        <w:t>iu</w:t>
      </w:r>
      <w:r w:rsidRPr="00C468B6">
        <w:t>, max(AEI</w:t>
      </w:r>
      <w:r w:rsidRPr="00C468B6">
        <w:rPr>
          <w:vertAlign w:val="subscript"/>
        </w:rPr>
        <w:t>iu</w:t>
      </w:r>
      <w:r w:rsidRPr="00C468B6">
        <w:t>,EOP</w:t>
      </w:r>
      <w:r w:rsidRPr="00C468B6">
        <w:rPr>
          <w:vertAlign w:val="subscript"/>
        </w:rPr>
        <w:t>iu</w:t>
      </w:r>
      <w:r w:rsidRPr="00C468B6">
        <w:t>)) but not less than DASen</w:t>
      </w:r>
      <w:r w:rsidRPr="00C468B6">
        <w:rPr>
          <w:vertAlign w:val="subscript"/>
        </w:rPr>
        <w:t>hu</w:t>
      </w:r>
      <w:r w:rsidRPr="00C468B6">
        <w:t>if RTSen</w:t>
      </w:r>
      <w:r w:rsidRPr="00C468B6">
        <w:rPr>
          <w:vertAlign w:val="subscript"/>
        </w:rPr>
        <w:t>iu</w:t>
      </w:r>
      <w:r w:rsidRPr="00C468B6">
        <w:t xml:space="preserve"> </w:t>
      </w:r>
      <w:r w:rsidRPr="00C468B6">
        <w:rPr>
          <w:rFonts w:ascii="Symbol" w:hAnsi="Symbol"/>
        </w:rPr>
        <w:sym w:font="Symbol" w:char="F0B3"/>
      </w:r>
      <w:r w:rsidRPr="00C468B6">
        <w:t xml:space="preserve"> EOP</w:t>
      </w:r>
      <w:r w:rsidRPr="00C468B6">
        <w:rPr>
          <w:vertAlign w:val="subscript"/>
        </w:rPr>
        <w:t xml:space="preserve">iu </w:t>
      </w:r>
      <w:r w:rsidRPr="00C468B6">
        <w:rPr>
          <w:rFonts w:ascii="Symbol" w:hAnsi="Symbol"/>
        </w:rPr>
        <w:sym w:font="Symbol" w:char="F0B3"/>
      </w:r>
      <w:r w:rsidRPr="00C468B6">
        <w:t xml:space="preserve"> DASen</w:t>
      </w:r>
      <w:r w:rsidRPr="00C468B6">
        <w:rPr>
          <w:vertAlign w:val="subscript"/>
        </w:rPr>
        <w:t>hu</w:t>
      </w:r>
      <w:r w:rsidRPr="00C468B6">
        <w:t xml:space="preserve"> and max (RTSen</w:t>
      </w:r>
      <w:r w:rsidRPr="00C468B6">
        <w:rPr>
          <w:vertAlign w:val="subscript"/>
        </w:rPr>
        <w:t>iu</w:t>
      </w:r>
      <w:r w:rsidRPr="00C468B6">
        <w:t>, min(AEI</w:t>
      </w:r>
      <w:r w:rsidRPr="00C468B6">
        <w:rPr>
          <w:vertAlign w:val="subscript"/>
        </w:rPr>
        <w:t>iu</w:t>
      </w:r>
      <w:r w:rsidRPr="00C468B6">
        <w:t>,EOP</w:t>
      </w:r>
      <w:r w:rsidRPr="00C468B6">
        <w:rPr>
          <w:vertAlign w:val="subscript"/>
        </w:rPr>
        <w:t>iu</w:t>
      </w:r>
      <w:r w:rsidRPr="00C468B6">
        <w:t>)) but not less than DASen</w:t>
      </w:r>
      <w:r w:rsidRPr="00C468B6">
        <w:rPr>
          <w:vertAlign w:val="subscript"/>
        </w:rPr>
        <w:t>hu</w:t>
      </w:r>
      <w:r>
        <w:t xml:space="preserve"> otherwise;</w:t>
      </w:r>
    </w:p>
    <w:p w:rsidR="00746105" w:rsidRPr="00C468B6" w:rsidRDefault="00F34076" w:rsidP="001204CB">
      <w:pPr>
        <w:pStyle w:val="equationtext"/>
      </w:pPr>
      <w:r w:rsidRPr="00C468B6">
        <w:t>EOP</w:t>
      </w:r>
      <w:r w:rsidRPr="00C468B6">
        <w:rPr>
          <w:vertAlign w:val="subscript"/>
        </w:rPr>
        <w:t>iu</w:t>
      </w:r>
      <w:r w:rsidRPr="00C468B6">
        <w:t xml:space="preserve"> </w:t>
      </w:r>
      <w:r>
        <w:tab/>
        <w:t>=</w:t>
      </w:r>
      <w:r>
        <w:tab/>
      </w:r>
      <w:r w:rsidRPr="00C468B6">
        <w:t xml:space="preserve">the Economic Operating Point of Supplier </w:t>
      </w:r>
      <w:r w:rsidRPr="00C468B6">
        <w:rPr>
          <w:i/>
        </w:rPr>
        <w:t>u</w:t>
      </w:r>
      <w:r w:rsidRPr="00C468B6">
        <w:t xml:space="preserve"> in interval </w:t>
      </w:r>
      <w:r w:rsidRPr="00C468B6">
        <w:rPr>
          <w:i/>
        </w:rPr>
        <w:t xml:space="preserve">i </w:t>
      </w:r>
      <w:r w:rsidRPr="00C468B6">
        <w:t>calculate</w:t>
      </w:r>
      <w:r>
        <w:t>d without regard to ramp rates;</w:t>
      </w:r>
    </w:p>
    <w:p w:rsidR="00746105" w:rsidRPr="001204CB" w:rsidRDefault="00F34076" w:rsidP="001204CB">
      <w:pPr>
        <w:pStyle w:val="equationtext"/>
        <w:rPr>
          <w:iCs w:val="0"/>
        </w:rPr>
      </w:pPr>
      <w:r w:rsidRPr="00C468B6">
        <w:t>Seconds</w:t>
      </w:r>
      <w:r w:rsidRPr="00C468B6">
        <w:rPr>
          <w:i/>
          <w:vertAlign w:val="subscript"/>
        </w:rPr>
        <w:t>i</w:t>
      </w:r>
      <w:r w:rsidRPr="00C468B6">
        <w:t xml:space="preserve"> </w:t>
      </w:r>
      <w:r>
        <w:tab/>
        <w:t>=</w:t>
      </w:r>
      <w:r>
        <w:tab/>
      </w:r>
      <w:r w:rsidRPr="00C468B6">
        <w:t xml:space="preserve">number of seconds in interval </w:t>
      </w:r>
      <w:r w:rsidRPr="00C468B6">
        <w:rPr>
          <w:i/>
        </w:rPr>
        <w:t>i</w:t>
      </w:r>
    </w:p>
    <w:p w:rsidR="00746105" w:rsidRDefault="00F34076" w:rsidP="003A0C9B">
      <w:pPr>
        <w:pStyle w:val="equationtext"/>
        <w:tabs>
          <w:tab w:val="clear" w:pos="1800"/>
          <w:tab w:val="left" w:pos="2160"/>
        </w:tabs>
      </w:pPr>
      <w:r w:rsidRPr="00C468B6">
        <w:t xml:space="preserve">RPIiu </w:t>
      </w:r>
      <w:r>
        <w:tab/>
        <w:t>=</w:t>
      </w:r>
      <w:r>
        <w:tab/>
      </w:r>
      <w:r w:rsidRPr="00C468B6">
        <w:t xml:space="preserve">the Reserves Performance Index in interval i for Demand Side Resource u. </w:t>
      </w:r>
      <w:r>
        <w:t xml:space="preserve"> </w:t>
      </w:r>
      <w:r w:rsidRPr="00C468B6">
        <w:t>The Reserv</w:t>
      </w:r>
      <w:r w:rsidRPr="00C468B6">
        <w:t>es Performance Index is</w:t>
      </w:r>
      <w:r>
        <w:t xml:space="preserve"> calculated pursuant to Section </w:t>
      </w:r>
      <w:r w:rsidRPr="00C57349">
        <w:t>15.4.3</w:t>
      </w:r>
      <w:r>
        <w:t>.6</w:t>
      </w:r>
      <w:r w:rsidRPr="00C468B6">
        <w:t xml:space="preserve"> of Rate Schedule 4 of this Services Tariff.</w:t>
      </w:r>
    </w:p>
    <w:p w:rsidR="00B71947" w:rsidRPr="006B098D" w:rsidRDefault="00F34076" w:rsidP="001204CB">
      <w:pPr>
        <w:pStyle w:val="equationtext"/>
      </w:pPr>
      <w:r w:rsidRPr="00A87B04">
        <w:t>K</w:t>
      </w:r>
      <w:r w:rsidRPr="00A87B04">
        <w:rPr>
          <w:vertAlign w:val="subscript"/>
        </w:rPr>
        <w:t>PI</w:t>
      </w:r>
      <w:r w:rsidRPr="00A87B04">
        <w:t xml:space="preserve"> </w:t>
      </w:r>
      <w:r>
        <w:tab/>
        <w:t>=</w:t>
      </w:r>
      <w:r>
        <w:tab/>
      </w:r>
      <w:r w:rsidRPr="00A87B04">
        <w:t>the factor derived from the Regulation Service Performance index for Resource u for interval i as defined in Rate Schedule 3 of this Services</w:t>
      </w:r>
      <w:r w:rsidRPr="00A87B04">
        <w:t xml:space="preserve"> Tariff which shall ini</w:t>
      </w:r>
      <w:r>
        <w:t>tially be set at 1.0 for LESRs.</w:t>
      </w:r>
    </w:p>
    <w:p w:rsidR="00B71947" w:rsidRPr="006B098D" w:rsidRDefault="00F34076" w:rsidP="001204CB">
      <w:pPr>
        <w:pStyle w:val="Heading3"/>
      </w:pPr>
      <w:bookmarkStart w:id="7" w:name="_Toc261252304"/>
      <w:r>
        <w:t>25.</w:t>
      </w:r>
      <w:r w:rsidRPr="001204CB">
        <w:t>3</w:t>
      </w:r>
      <w:r>
        <w:t>.</w:t>
      </w:r>
      <w:r w:rsidRPr="001204CB">
        <w:t>4</w:t>
      </w:r>
      <w:r w:rsidRPr="001204CB">
        <w:tab/>
        <w:t xml:space="preserve">  </w:t>
      </w:r>
      <w:r w:rsidRPr="006B098D">
        <w:t>Other Provisions</w:t>
      </w:r>
      <w:bookmarkEnd w:id="7"/>
    </w:p>
    <w:p w:rsidR="00B71947" w:rsidRPr="006B098D" w:rsidRDefault="00F34076" w:rsidP="001204CB">
      <w:pPr>
        <w:pStyle w:val="Bodypara"/>
        <w:rPr>
          <w:b/>
        </w:rPr>
      </w:pPr>
      <w:r w:rsidRPr="006B098D">
        <w:t xml:space="preserve">The AGC Base </w:t>
      </w:r>
      <w:r w:rsidRPr="008919A3">
        <w:t>Point</w:t>
      </w:r>
      <w:r w:rsidRPr="006B098D">
        <w:t xml:space="preserve"> Signal for a Supplier</w:t>
      </w:r>
      <w:r w:rsidRPr="006B098D">
        <w:rPr>
          <w:i/>
        </w:rPr>
        <w:t xml:space="preserve"> </w:t>
      </w:r>
      <w:r w:rsidRPr="006B098D">
        <w:t>that is not providing Regulation Service during a given RTD interval shall be initialized by either:  (i) the Supplier’s last AGC Base</w:t>
      </w:r>
      <w:r w:rsidRPr="006B098D">
        <w:t xml:space="preserve"> Point Signal from the prior RTD interval; or (ii) the Supplier’s actual metered generation or calculated Demand Reduction at the time new RTD</w:t>
      </w:r>
      <w:r w:rsidRPr="006B098D">
        <w:rPr>
          <w:i/>
        </w:rPr>
        <w:t xml:space="preserve"> </w:t>
      </w:r>
      <w:r w:rsidRPr="006B098D">
        <w:t>Base Point Signals are received by the ISO’s AGC software, whichever is closer to the Supplier’s new RTD Base Poi</w:t>
      </w:r>
      <w:r w:rsidRPr="006B098D">
        <w:t>nt Signal.  AGC Base Point Signals for a Supplier that is not providing Regulation Service will ramp evenly over the course of the RTD</w:t>
      </w:r>
      <w:r w:rsidRPr="006B098D">
        <w:rPr>
          <w:i/>
        </w:rPr>
        <w:t xml:space="preserve"> </w:t>
      </w:r>
      <w:r w:rsidRPr="006B098D">
        <w:t>interval starting at the initialized AGC Base Point Signal and ending at the level of its new RTD</w:t>
      </w:r>
      <w:r w:rsidRPr="006B098D">
        <w:rPr>
          <w:i/>
        </w:rPr>
        <w:t xml:space="preserve"> </w:t>
      </w:r>
      <w:r w:rsidRPr="006B098D">
        <w:t>Base Point Signal.  AGC</w:t>
      </w:r>
      <w:r w:rsidRPr="006B098D">
        <w:t xml:space="preserve"> Base Point Signals for Suppliers providing Regulation Service during a given</w:t>
      </w:r>
      <w:r>
        <w:t xml:space="preserve"> RTD</w:t>
      </w:r>
      <w:r>
        <w:rPr>
          <w:i/>
        </w:rPr>
        <w:t xml:space="preserve"> </w:t>
      </w:r>
      <w:r>
        <w:t>interval are determined based on the ISO’s need to minimize the NYCA area control error.</w:t>
      </w:r>
    </w:p>
    <w:p w:rsidR="00B71947" w:rsidRPr="006B098D" w:rsidRDefault="00F34076" w:rsidP="003B5A6C">
      <w:pPr>
        <w:pStyle w:val="subheadwH2formatting"/>
      </w:pPr>
      <w:bookmarkStart w:id="8" w:name="_Toc261252305"/>
      <w:r>
        <w:t>25.4</w:t>
      </w:r>
      <w:r w:rsidRPr="008919A3">
        <w:tab/>
        <w:t>Exception for Generators Lagging Behind RTD Base Point Signals</w:t>
      </w:r>
      <w:bookmarkEnd w:id="8"/>
    </w:p>
    <w:p w:rsidR="00B71947" w:rsidRDefault="00F34076" w:rsidP="008919A3">
      <w:pPr>
        <w:pStyle w:val="Bodypara"/>
      </w:pPr>
      <w:r w:rsidRPr="006B098D">
        <w:t xml:space="preserve">An otherwise eligible </w:t>
      </w:r>
      <w:r w:rsidRPr="006B098D">
        <w:rPr>
          <w:iCs/>
        </w:rPr>
        <w:t xml:space="preserve">Generator </w:t>
      </w:r>
      <w:r w:rsidRPr="006B098D">
        <w:t>that does not respond to, or that lags behind, the ISO’s RTD</w:t>
      </w:r>
      <w:r w:rsidRPr="006B098D">
        <w:rPr>
          <w:i/>
          <w:iCs/>
        </w:rPr>
        <w:t xml:space="preserve"> </w:t>
      </w:r>
      <w:r w:rsidRPr="006B098D">
        <w:t>Base Point Signals in a given interval, as determined below, shall not be eligible for Day-Ahead Margin Assurance Payments for that interval.  If such</w:t>
      </w:r>
      <w:r w:rsidRPr="006B098D">
        <w:rPr>
          <w:i/>
          <w:iCs/>
        </w:rPr>
        <w:t xml:space="preserve"> </w:t>
      </w:r>
      <w:r w:rsidRPr="006B098D">
        <w:t xml:space="preserve">a </w:t>
      </w:r>
      <w:r w:rsidRPr="006B098D">
        <w:rPr>
          <w:iCs/>
        </w:rPr>
        <w:t>Generator’</w:t>
      </w:r>
      <w:r w:rsidRPr="006B098D">
        <w:rPr>
          <w:iCs/>
        </w:rPr>
        <w:t xml:space="preserve">s </w:t>
      </w:r>
      <w:r w:rsidRPr="006B098D">
        <w:t>average Actual Energy Injection in an RTD interval (</w:t>
      </w:r>
      <w:r w:rsidRPr="006B098D">
        <w:rPr>
          <w:i/>
          <w:iCs/>
        </w:rPr>
        <w:t>i.e.</w:t>
      </w:r>
      <w:r w:rsidRPr="006B098D">
        <w:t>, its Actual Energy Injections averaged over the RTD interval) is less than or equal to its</w:t>
      </w:r>
      <w:r>
        <w:t xml:space="preserve"> penalty limit for under-generation value for that interval, as computed below, it shall not be eligible fo</w:t>
      </w:r>
      <w:r>
        <w:t>r Day-Ahead Margin Assurance Payments for that interval.</w:t>
      </w:r>
    </w:p>
    <w:p w:rsidR="00B71947" w:rsidRDefault="00F34076" w:rsidP="008919A3">
      <w:pPr>
        <w:pStyle w:val="Bodypara"/>
      </w:pPr>
      <w:r>
        <w:t>The penalty limit for under-generation value is the tolerance described in Section </w:t>
      </w:r>
      <w:r w:rsidRPr="00C57349">
        <w:t>15.3A.1</w:t>
      </w:r>
      <w:r>
        <w:t xml:space="preserve"> of Rate Schedule 3-A of this ISO Services</w:t>
      </w:r>
      <w:r>
        <w:rPr>
          <w:i/>
          <w:iCs/>
        </w:rPr>
        <w:t xml:space="preserve"> </w:t>
      </w:r>
      <w:r>
        <w:t xml:space="preserve">Tariff, which is used in the </w:t>
      </w:r>
      <w:r w:rsidRPr="006B098D">
        <w:t>calculation of the persistent under-g</w:t>
      </w:r>
      <w:r w:rsidRPr="006B098D">
        <w:t>eneration charge applicable to Generators that are not</w:t>
      </w:r>
      <w:r>
        <w:t xml:space="preserve"> providing Regulation Service.</w:t>
      </w:r>
    </w:p>
    <w:p w:rsidR="002C64B4" w:rsidRPr="008919A3" w:rsidRDefault="00F34076" w:rsidP="003B5A6C">
      <w:pPr>
        <w:pStyle w:val="subheadwH2formatting"/>
      </w:pPr>
      <w:bookmarkStart w:id="9" w:name="_Toc261252306"/>
      <w:r>
        <w:t>25.5</w:t>
      </w:r>
      <w:r w:rsidRPr="008919A3">
        <w:tab/>
        <w:t>Rules Applicable to Supplier Derates</w:t>
      </w:r>
      <w:bookmarkEnd w:id="9"/>
    </w:p>
    <w:p w:rsidR="00817F89" w:rsidRDefault="00F34076" w:rsidP="007F3156">
      <w:pPr>
        <w:pStyle w:val="Bodypara"/>
      </w:pPr>
      <w:r w:rsidRPr="002963A4">
        <w:t>Suppliers that request and are granted a derate of their real-time Operating Capacity, but that are</w:t>
      </w:r>
      <w:r w:rsidRPr="002963A4">
        <w:rPr>
          <w:i/>
          <w:iCs/>
        </w:rPr>
        <w:t xml:space="preserve"> </w:t>
      </w:r>
      <w:r w:rsidRPr="002963A4">
        <w:t>otherwise eligible to</w:t>
      </w:r>
      <w:r w:rsidRPr="002963A4">
        <w:rPr>
          <w:i/>
          <w:iCs/>
        </w:rPr>
        <w:t xml:space="preserve"> </w:t>
      </w:r>
      <w:r w:rsidRPr="002963A4">
        <w:t>receive</w:t>
      </w:r>
      <w:r w:rsidRPr="002963A4">
        <w:t xml:space="preserve"> Day-Ahead Margin Assurance Payments</w:t>
      </w:r>
      <w:r w:rsidRPr="002963A4">
        <w:rPr>
          <w:i/>
          <w:iCs/>
        </w:rPr>
        <w:t xml:space="preserve"> </w:t>
      </w:r>
      <w:r w:rsidRPr="002963A4">
        <w:t>may</w:t>
      </w:r>
      <w:r w:rsidRPr="002963A4">
        <w:rPr>
          <w:i/>
          <w:iCs/>
        </w:rPr>
        <w:t xml:space="preserve"> </w:t>
      </w:r>
      <w:r w:rsidRPr="002963A4">
        <w:t xml:space="preserve">receive a payment up to a Capacity level consistent with their revised </w:t>
      </w:r>
      <w:r w:rsidRPr="00F53EE9">
        <w:t>Emergency Upper Operating Limit or Normal Upper Operating Li</w:t>
      </w:r>
      <w:r>
        <w:t xml:space="preserve">mit, whichever is applicable.  </w:t>
      </w:r>
      <w:r w:rsidRPr="00F53EE9">
        <w:t>The foregoing rule shall also apply to a Generator, o</w:t>
      </w:r>
      <w:r w:rsidRPr="00F53EE9">
        <w:t xml:space="preserve">therwise eligible for a Day-Ahead Margin Assurance Payment, in hours in which the ISO has derated the Generator’s Operating Capacity </w:t>
      </w:r>
      <w:r w:rsidRPr="00F53EE9">
        <w:rPr>
          <w:color w:val="000000"/>
        </w:rPr>
        <w:t xml:space="preserve">in order to reconcile the ISO’s dispatch with the Generator’s actual output, or to address reliability concerns that arise </w:t>
      </w:r>
      <w:r w:rsidRPr="00F53EE9">
        <w:rPr>
          <w:color w:val="000000"/>
        </w:rPr>
        <w:t xml:space="preserve">because the Generator is not following Base Point Signals.  </w:t>
      </w:r>
      <w:r w:rsidRPr="00F53EE9">
        <w:t xml:space="preserve">If a Supplier’s </w:t>
      </w:r>
      <w:r>
        <w:t>derated real-time Operating Capacity is lower than the sum of</w:t>
      </w:r>
      <w:r>
        <w:rPr>
          <w:i/>
          <w:iCs/>
        </w:rPr>
        <w:t xml:space="preserve"> </w:t>
      </w:r>
      <w:r>
        <w:t>its</w:t>
      </w:r>
      <w:r>
        <w:rPr>
          <w:i/>
          <w:iCs/>
        </w:rPr>
        <w:t xml:space="preserve"> </w:t>
      </w:r>
      <w:r>
        <w:t>Day-Ahead Energy Regulation Services and</w:t>
      </w:r>
      <w:r>
        <w:rPr>
          <w:i/>
          <w:iCs/>
        </w:rPr>
        <w:t xml:space="preserve"> </w:t>
      </w:r>
      <w:r>
        <w:t>Operating Reserve schedules then when the ISO conducts the calculations d</w:t>
      </w:r>
      <w:r>
        <w:t>escribed</w:t>
      </w:r>
      <w:r>
        <w:rPr>
          <w:i/>
          <w:iCs/>
        </w:rPr>
        <w:t xml:space="preserve"> </w:t>
      </w:r>
      <w:r>
        <w:t xml:space="preserve">in Section </w:t>
      </w:r>
      <w:r w:rsidRPr="006305F8">
        <w:t>25.3</w:t>
      </w:r>
      <w:r>
        <w:t xml:space="preserve"> above, the DASen, DASeg and DASres</w:t>
      </w:r>
      <w:r>
        <w:rPr>
          <w:vertAlign w:val="subscript"/>
        </w:rPr>
        <w:t>p</w:t>
      </w:r>
      <w:r>
        <w:t xml:space="preserve"> variables will be reduced by REDen, REDreg and REDres</w:t>
      </w:r>
      <w:r>
        <w:rPr>
          <w:vertAlign w:val="subscript"/>
        </w:rPr>
        <w:t>p</w:t>
      </w:r>
      <w:r>
        <w:t xml:space="preserve"> respectively.  REDen, REDreg and REDres</w:t>
      </w:r>
      <w:r>
        <w:rPr>
          <w:vertAlign w:val="subscript"/>
        </w:rPr>
        <w:t>p</w:t>
      </w:r>
      <w:r>
        <w:t xml:space="preserve"> shall be calculated using the formulas below:</w:t>
      </w:r>
    </w:p>
    <w:p w:rsidR="00817F89" w:rsidRDefault="00F34076" w:rsidP="001204CB">
      <w:pPr>
        <w:pStyle w:val="equationtext"/>
      </w:pPr>
      <w:r>
        <w:t>REDtot</w:t>
      </w:r>
      <w:r>
        <w:rPr>
          <w:vertAlign w:val="subscript"/>
        </w:rPr>
        <w:t>iu</w:t>
      </w:r>
      <w:r>
        <w:t xml:space="preserve"> </w:t>
      </w:r>
      <w:r>
        <w:tab/>
        <w:t>=</w:t>
      </w:r>
      <w:r>
        <w:tab/>
      </w:r>
      <w:r>
        <w:t>max( DASen</w:t>
      </w:r>
      <w:r>
        <w:rPr>
          <w:vertAlign w:val="subscript"/>
        </w:rPr>
        <w:t>hu</w:t>
      </w:r>
      <w:r>
        <w:t xml:space="preserve"> + DASreg</w:t>
      </w:r>
      <w:r>
        <w:rPr>
          <w:vertAlign w:val="subscript"/>
        </w:rPr>
        <w:t>hu</w:t>
      </w:r>
      <w:r>
        <w:t xml:space="preserve"> + </w:t>
      </w:r>
      <w:r>
        <w:rPr>
          <w:rFonts w:ascii="Symbol" w:hAnsi="Symbol"/>
        </w:rPr>
        <w:sym w:font="Symbol" w:char="F053"/>
      </w:r>
      <w:r>
        <w:rPr>
          <w:vertAlign w:val="subscript"/>
        </w:rPr>
        <w:t>p</w:t>
      </w:r>
      <w:r>
        <w:t>DASres</w:t>
      </w:r>
      <w:r>
        <w:rPr>
          <w:vertAlign w:val="subscript"/>
        </w:rPr>
        <w:t>hup</w:t>
      </w:r>
      <w:r>
        <w:t xml:space="preserve"> -RTUOL</w:t>
      </w:r>
      <w:r>
        <w:rPr>
          <w:vertAlign w:val="subscript"/>
        </w:rPr>
        <w:t>iu</w:t>
      </w:r>
      <w:r>
        <w:t>,0)</w:t>
      </w:r>
    </w:p>
    <w:p w:rsidR="00817F89" w:rsidRDefault="00F34076" w:rsidP="001204CB">
      <w:pPr>
        <w:pStyle w:val="equationtext"/>
      </w:pPr>
      <w:r>
        <w:t>POTREDen</w:t>
      </w:r>
      <w:r>
        <w:rPr>
          <w:vertAlign w:val="subscript"/>
        </w:rPr>
        <w:t>iu</w:t>
      </w:r>
      <w:r>
        <w:t xml:space="preserve"> </w:t>
      </w:r>
      <w:r>
        <w:tab/>
        <w:t>=</w:t>
      </w:r>
      <w:r>
        <w:tab/>
      </w:r>
      <w:r>
        <w:t>max(DASen</w:t>
      </w:r>
      <w:r>
        <w:rPr>
          <w:vertAlign w:val="subscript"/>
        </w:rPr>
        <w:t>hu</w:t>
      </w:r>
      <w:r>
        <w:t xml:space="preserve"> – RTSen</w:t>
      </w:r>
      <w:r>
        <w:rPr>
          <w:vertAlign w:val="subscript"/>
        </w:rPr>
        <w:t>iu</w:t>
      </w:r>
      <w:r>
        <w:t>, 0)</w:t>
      </w:r>
    </w:p>
    <w:p w:rsidR="00817F89" w:rsidRDefault="00F34076" w:rsidP="001204CB">
      <w:pPr>
        <w:pStyle w:val="equationtext"/>
      </w:pPr>
      <w:r>
        <w:t>POTREDreg</w:t>
      </w:r>
      <w:r>
        <w:rPr>
          <w:vertAlign w:val="subscript"/>
        </w:rPr>
        <w:t>iu</w:t>
      </w:r>
      <w:r>
        <w:t xml:space="preserve"> </w:t>
      </w:r>
      <w:r>
        <w:tab/>
        <w:t>=</w:t>
      </w:r>
      <w:r>
        <w:tab/>
      </w:r>
      <w:r>
        <w:t>max(DASreg</w:t>
      </w:r>
      <w:r>
        <w:rPr>
          <w:vertAlign w:val="subscript"/>
        </w:rPr>
        <w:t>hu</w:t>
      </w:r>
      <w:r>
        <w:t xml:space="preserve"> – RTSreg</w:t>
      </w:r>
      <w:r>
        <w:rPr>
          <w:vertAlign w:val="subscript"/>
        </w:rPr>
        <w:t>iu</w:t>
      </w:r>
      <w:r>
        <w:t>, 0)</w:t>
      </w:r>
    </w:p>
    <w:p w:rsidR="00817F89" w:rsidRDefault="00F34076" w:rsidP="001204CB">
      <w:pPr>
        <w:pStyle w:val="equationtext"/>
      </w:pPr>
      <w:r>
        <w:t>POTREDres</w:t>
      </w:r>
      <w:r>
        <w:rPr>
          <w:vertAlign w:val="subscript"/>
        </w:rPr>
        <w:t>iup</w:t>
      </w:r>
      <w:r>
        <w:t xml:space="preserve"> </w:t>
      </w:r>
      <w:r>
        <w:t>=</w:t>
      </w:r>
      <w:r>
        <w:tab/>
      </w:r>
      <w:r>
        <w:t>max(DASres</w:t>
      </w:r>
      <w:r>
        <w:rPr>
          <w:vertAlign w:val="subscript"/>
        </w:rPr>
        <w:t>hup</w:t>
      </w:r>
      <w:r>
        <w:t xml:space="preserve"> – RTSres</w:t>
      </w:r>
      <w:r>
        <w:rPr>
          <w:vertAlign w:val="subscript"/>
        </w:rPr>
        <w:t>iup</w:t>
      </w:r>
      <w:r>
        <w:t>, 0)</w:t>
      </w:r>
    </w:p>
    <w:p w:rsidR="00817F89" w:rsidRDefault="00F34076" w:rsidP="001204CB">
      <w:pPr>
        <w:pStyle w:val="equationtext"/>
      </w:pPr>
      <w:r>
        <w:t>REDen</w:t>
      </w:r>
      <w:r>
        <w:rPr>
          <w:vertAlign w:val="subscript"/>
        </w:rPr>
        <w:t>iu</w:t>
      </w:r>
      <w:r>
        <w:t xml:space="preserve"> </w:t>
      </w:r>
      <w:r>
        <w:tab/>
        <w:t>=</w:t>
      </w:r>
      <w:r>
        <w:tab/>
      </w:r>
      <w:r>
        <w:t>((POTREDen</w:t>
      </w:r>
      <w:r>
        <w:rPr>
          <w:vertAlign w:val="subscript"/>
        </w:rPr>
        <w:t>iu</w:t>
      </w:r>
      <w:r>
        <w:t>/( POTREDen</w:t>
      </w:r>
      <w:r>
        <w:rPr>
          <w:vertAlign w:val="subscript"/>
        </w:rPr>
        <w:t>iu</w:t>
      </w:r>
      <w:r>
        <w:t>+ POTREDreg</w:t>
      </w:r>
      <w:r>
        <w:rPr>
          <w:vertAlign w:val="subscript"/>
        </w:rPr>
        <w:t>iu</w:t>
      </w:r>
      <w:r>
        <w:t xml:space="preserve">+ </w:t>
      </w:r>
      <w:r>
        <w:rPr>
          <w:rFonts w:ascii="Symbol" w:hAnsi="Symbol"/>
        </w:rPr>
        <w:sym w:font="Symbol" w:char="F053"/>
      </w:r>
      <w:r>
        <w:rPr>
          <w:vertAlign w:val="subscript"/>
        </w:rPr>
        <w:t>p</w:t>
      </w:r>
      <w:r>
        <w:t>POTREDres</w:t>
      </w:r>
      <w:r>
        <w:rPr>
          <w:vertAlign w:val="subscript"/>
        </w:rPr>
        <w:t>iup</w:t>
      </w:r>
      <w:r>
        <w:t>))*REDtot</w:t>
      </w:r>
      <w:r>
        <w:rPr>
          <w:vertAlign w:val="subscript"/>
        </w:rPr>
        <w:t>iu</w:t>
      </w:r>
    </w:p>
    <w:p w:rsidR="00817F89" w:rsidRDefault="00F34076" w:rsidP="001204CB">
      <w:pPr>
        <w:pStyle w:val="equationtext"/>
      </w:pPr>
      <w:r>
        <w:t>REDreg</w:t>
      </w:r>
      <w:r>
        <w:rPr>
          <w:vertAlign w:val="subscript"/>
        </w:rPr>
        <w:t>iu</w:t>
      </w:r>
      <w:r>
        <w:t xml:space="preserve"> </w:t>
      </w:r>
      <w:r>
        <w:tab/>
        <w:t>=</w:t>
      </w:r>
      <w:r>
        <w:tab/>
      </w:r>
      <w:r>
        <w:t>((POTREDreg</w:t>
      </w:r>
      <w:r>
        <w:rPr>
          <w:vertAlign w:val="subscript"/>
        </w:rPr>
        <w:t>iu</w:t>
      </w:r>
      <w:r>
        <w:t>/( POTREDen</w:t>
      </w:r>
      <w:r>
        <w:rPr>
          <w:vertAlign w:val="subscript"/>
        </w:rPr>
        <w:t>iu</w:t>
      </w:r>
      <w:r>
        <w:t>+ POTREDreg</w:t>
      </w:r>
      <w:r>
        <w:rPr>
          <w:vertAlign w:val="subscript"/>
        </w:rPr>
        <w:t>iu</w:t>
      </w:r>
      <w:r>
        <w:t xml:space="preserve">+ </w:t>
      </w:r>
      <w:r>
        <w:rPr>
          <w:rFonts w:ascii="Symbol" w:hAnsi="Symbol"/>
        </w:rPr>
        <w:sym w:font="Symbol" w:char="F053"/>
      </w:r>
      <w:r>
        <w:rPr>
          <w:vertAlign w:val="subscript"/>
        </w:rPr>
        <w:t>p</w:t>
      </w:r>
      <w:r>
        <w:t xml:space="preserve"> POTREDres</w:t>
      </w:r>
      <w:r>
        <w:rPr>
          <w:vertAlign w:val="subscript"/>
        </w:rPr>
        <w:t>iup</w:t>
      </w:r>
      <w:r>
        <w:t>))*REDtot</w:t>
      </w:r>
      <w:r>
        <w:rPr>
          <w:vertAlign w:val="subscript"/>
        </w:rPr>
        <w:t>iu</w:t>
      </w:r>
    </w:p>
    <w:p w:rsidR="00817F89" w:rsidRDefault="00F34076" w:rsidP="001204CB">
      <w:pPr>
        <w:pStyle w:val="equationtext"/>
      </w:pPr>
      <w:r>
        <w:t>REDres</w:t>
      </w:r>
      <w:r>
        <w:rPr>
          <w:vertAlign w:val="subscript"/>
        </w:rPr>
        <w:t>iup</w:t>
      </w:r>
      <w:r>
        <w:t xml:space="preserve"> </w:t>
      </w:r>
      <w:r>
        <w:tab/>
        <w:t>=</w:t>
      </w:r>
      <w:r>
        <w:tab/>
      </w:r>
      <w:r>
        <w:t>((POTREDres</w:t>
      </w:r>
      <w:r>
        <w:rPr>
          <w:vertAlign w:val="subscript"/>
        </w:rPr>
        <w:t>iup</w:t>
      </w:r>
      <w:r>
        <w:t>/( POTREDen</w:t>
      </w:r>
      <w:r>
        <w:rPr>
          <w:vertAlign w:val="subscript"/>
        </w:rPr>
        <w:t>iu</w:t>
      </w:r>
      <w:r>
        <w:t>+ POTREDreg</w:t>
      </w:r>
      <w:r>
        <w:rPr>
          <w:vertAlign w:val="subscript"/>
        </w:rPr>
        <w:t>iu</w:t>
      </w:r>
      <w:r>
        <w:t xml:space="preserve">+ </w:t>
      </w:r>
      <w:r>
        <w:rPr>
          <w:rFonts w:ascii="Symbol" w:hAnsi="Symbol"/>
        </w:rPr>
        <w:sym w:font="Symbol" w:char="F053"/>
      </w:r>
      <w:r>
        <w:rPr>
          <w:vertAlign w:val="subscript"/>
        </w:rPr>
        <w:t>p</w:t>
      </w:r>
      <w:r>
        <w:t xml:space="preserve"> POTREDres</w:t>
      </w:r>
      <w:r>
        <w:rPr>
          <w:vertAlign w:val="subscript"/>
        </w:rPr>
        <w:t>iup</w:t>
      </w:r>
      <w:r>
        <w:t>))*REDtot</w:t>
      </w:r>
      <w:r>
        <w:rPr>
          <w:vertAlign w:val="subscript"/>
        </w:rPr>
        <w:t>iu</w:t>
      </w:r>
    </w:p>
    <w:p w:rsidR="00817F89" w:rsidRDefault="00F34076" w:rsidP="001204CB">
      <w:pPr>
        <w:pStyle w:val="Bodypara"/>
      </w:pPr>
      <w:r>
        <w:t>where:</w:t>
      </w:r>
    </w:p>
    <w:p w:rsidR="00817F89" w:rsidRDefault="00F34076" w:rsidP="001204CB">
      <w:pPr>
        <w:pStyle w:val="equationtext"/>
      </w:pPr>
      <w:r>
        <w:t>RTUOL</w:t>
      </w:r>
      <w:r>
        <w:rPr>
          <w:vertAlign w:val="subscript"/>
        </w:rPr>
        <w:t>iu</w:t>
      </w:r>
      <w:r>
        <w:t xml:space="preserve"> </w:t>
      </w:r>
      <w:r>
        <w:tab/>
      </w:r>
      <w:r>
        <w:t>=</w:t>
      </w:r>
      <w:r>
        <w:tab/>
        <w:t xml:space="preserve">The real-time Emergency Upper Operating Limit or </w:t>
      </w:r>
      <w:smartTag w:uri="urn:schemas-microsoft-com:office:smarttags" w:element="place">
        <w:r>
          <w:t>Normal</w:t>
        </w:r>
      </w:smartTag>
      <w:r>
        <w:t xml:space="preserve"> Upper Operating Limit which</w:t>
      </w:r>
      <w:r>
        <w:t>ever is applicable of Supplier</w:t>
      </w:r>
      <w:r>
        <w:t xml:space="preserve"> u</w:t>
      </w:r>
      <w:r>
        <w:t xml:space="preserve"> in interval</w:t>
      </w:r>
      <w:r>
        <w:t xml:space="preserve"> i</w:t>
      </w:r>
      <w:r>
        <w:t xml:space="preserve"> </w:t>
      </w:r>
    </w:p>
    <w:p w:rsidR="00817F89" w:rsidRDefault="00F34076" w:rsidP="001204CB">
      <w:pPr>
        <w:pStyle w:val="equationtext"/>
      </w:pPr>
      <w:r>
        <w:t>REDtot</w:t>
      </w:r>
      <w:r>
        <w:rPr>
          <w:vertAlign w:val="subscript"/>
        </w:rPr>
        <w:t>iu</w:t>
      </w:r>
      <w:r>
        <w:t xml:space="preserve"> </w:t>
      </w:r>
      <w:r>
        <w:tab/>
      </w:r>
      <w:r>
        <w:t>=</w:t>
      </w:r>
      <w:r>
        <w:tab/>
        <w:t>The total amount in MW that Day-Ahead schedules need to be reduced to account for the derate of Supplier u in interval i;</w:t>
      </w:r>
    </w:p>
    <w:p w:rsidR="00817F89" w:rsidRDefault="00F34076" w:rsidP="001204CB">
      <w:pPr>
        <w:pStyle w:val="equationtext"/>
      </w:pPr>
      <w:r>
        <w:t>REDen</w:t>
      </w:r>
      <w:r>
        <w:rPr>
          <w:vertAlign w:val="subscript"/>
        </w:rPr>
        <w:t>iu</w:t>
      </w:r>
      <w:r>
        <w:t xml:space="preserve"> </w:t>
      </w:r>
      <w:r>
        <w:tab/>
      </w:r>
      <w:r>
        <w:t>=</w:t>
      </w:r>
      <w:r>
        <w:tab/>
        <w:t>The amount in MW that the Day-Ahead Energy schedule is reduced for the purposes of calculatin</w:t>
      </w:r>
      <w:r>
        <w:t>g the Day-Ahead Margin Assurance Payment for Supplier u in interval i;</w:t>
      </w:r>
    </w:p>
    <w:p w:rsidR="00817F89" w:rsidRDefault="00F34076" w:rsidP="001204CB">
      <w:pPr>
        <w:pStyle w:val="equationtext"/>
      </w:pPr>
      <w:r>
        <w:t>REDreg</w:t>
      </w:r>
      <w:r>
        <w:rPr>
          <w:vertAlign w:val="subscript"/>
        </w:rPr>
        <w:t>iu</w:t>
      </w:r>
      <w:r>
        <w:t xml:space="preserve"> </w:t>
      </w:r>
      <w:r>
        <w:tab/>
        <w:t>=</w:t>
      </w:r>
      <w:r>
        <w:tab/>
        <w:t>The amount in MW that Supplier u’s Day-Ahead Regulation Service schedule is reduced for the purposes of calculating the Day-Ahead Margin Assurance Payment in interval i;</w:t>
      </w:r>
    </w:p>
    <w:p w:rsidR="00817F89" w:rsidRDefault="00F34076" w:rsidP="001204CB">
      <w:pPr>
        <w:pStyle w:val="equationtext"/>
      </w:pPr>
      <w:r>
        <w:t>RED</w:t>
      </w:r>
      <w:r>
        <w:t>res</w:t>
      </w:r>
      <w:r>
        <w:rPr>
          <w:vertAlign w:val="subscript"/>
        </w:rPr>
        <w:t>iup</w:t>
      </w:r>
      <w:r>
        <w:t xml:space="preserve"> </w:t>
      </w:r>
      <w:r>
        <w:tab/>
      </w:r>
      <w:r>
        <w:t>=</w:t>
      </w:r>
      <w:r>
        <w:tab/>
        <w:t>The amount in MW that Supplier u’s Day-Ahead Operating Reserve schedule for Operating Reserves product p is reduced for the purposes of calculating the Day-Ahead Margin Assurance Payment in interval i;</w:t>
      </w:r>
    </w:p>
    <w:p w:rsidR="00817F89" w:rsidRDefault="00F34076" w:rsidP="001204CB">
      <w:pPr>
        <w:pStyle w:val="equationtext"/>
      </w:pPr>
      <w:r>
        <w:t>POTREDen</w:t>
      </w:r>
      <w:r>
        <w:rPr>
          <w:vertAlign w:val="subscript"/>
        </w:rPr>
        <w:t>iu</w:t>
      </w:r>
      <w:r>
        <w:t xml:space="preserve"> </w:t>
      </w:r>
      <w:r>
        <w:tab/>
        <w:t>=</w:t>
      </w:r>
      <w:r>
        <w:tab/>
      </w:r>
      <w:r>
        <w:t>The potential amount in MW tha</w:t>
      </w:r>
      <w:r>
        <w:t>t Supplier u’s Day-Ahead Energy schedule could be reduced for the purposes of calculating the Day-Ahead Margin Assurance Payment for Supplier u in interval i;</w:t>
      </w:r>
    </w:p>
    <w:p w:rsidR="00817F89" w:rsidRDefault="00F34076" w:rsidP="001204CB">
      <w:pPr>
        <w:pStyle w:val="equationtext"/>
      </w:pPr>
      <w:r>
        <w:t>POTREDreg</w:t>
      </w:r>
      <w:r>
        <w:rPr>
          <w:vertAlign w:val="subscript"/>
        </w:rPr>
        <w:t>iu</w:t>
      </w:r>
      <w:r>
        <w:t xml:space="preserve"> </w:t>
      </w:r>
      <w:r>
        <w:tab/>
        <w:t>=</w:t>
      </w:r>
      <w:r>
        <w:tab/>
      </w:r>
      <w:r>
        <w:t>The potential amount in MW that Supplier u’s Day-Ahead Regulation Service Schedule</w:t>
      </w:r>
      <w:r>
        <w:t xml:space="preserve"> could be reduced for the purposes of calculating the Day-Ah</w:t>
      </w:r>
      <w:r w:rsidRPr="001204CB">
        <w:rPr>
          <w:iCs w:val="0"/>
        </w:rPr>
        <w:t>e</w:t>
      </w:r>
      <w:r>
        <w:t>ad Margin Assurance Payment for Supplier u in interval i;</w:t>
      </w:r>
    </w:p>
    <w:p w:rsidR="00817F89" w:rsidRDefault="00F34076" w:rsidP="001204CB">
      <w:pPr>
        <w:pStyle w:val="equationtext"/>
      </w:pPr>
      <w:r>
        <w:t>POTREDres</w:t>
      </w:r>
      <w:r>
        <w:rPr>
          <w:vertAlign w:val="subscript"/>
        </w:rPr>
        <w:t>iup</w:t>
      </w:r>
      <w:r>
        <w:t xml:space="preserve"> </w:t>
      </w:r>
      <w:r>
        <w:t>=</w:t>
      </w:r>
      <w:r>
        <w:tab/>
      </w:r>
      <w:r>
        <w:t>The potential amount in MW that Supplier u’s Day-Ahead Operating Reserve Schedule for Operating Reserve product p could be</w:t>
      </w:r>
      <w:r>
        <w:t xml:space="preserve"> reduced for the</w:t>
      </w:r>
      <w:r w:rsidRPr="001204CB">
        <w:rPr>
          <w:iCs w:val="0"/>
        </w:rPr>
        <w:t xml:space="preserve"> </w:t>
      </w:r>
      <w:r>
        <w:t xml:space="preserve">purposes of calculating the Day-Ahead Margin </w:t>
      </w:r>
      <w:r>
        <w:t>Assurance Payment for Supplier in interval</w:t>
      </w:r>
      <w:r>
        <w:t>;</w:t>
      </w:r>
    </w:p>
    <w:p w:rsidR="00817F89" w:rsidRDefault="00F34076" w:rsidP="001204CB">
      <w:pPr>
        <w:pStyle w:val="Bodypara"/>
      </w:pPr>
      <w:r>
        <w:t>All other variables are as defined above.</w:t>
      </w:r>
    </w:p>
    <w:p w:rsidR="00746105" w:rsidRPr="00A87B04" w:rsidRDefault="00F34076" w:rsidP="003B5A6C">
      <w:pPr>
        <w:pStyle w:val="subheadwH2formatting"/>
      </w:pPr>
      <w:bookmarkStart w:id="10" w:name="_Toc261252307"/>
      <w:r>
        <w:t>25.6</w:t>
      </w:r>
      <w:r w:rsidRPr="00A87B04">
        <w:tab/>
        <w:t>Day-Ahead Margin Assurance Payments for Limited Energy Storage Resources</w:t>
      </w:r>
      <w:bookmarkEnd w:id="10"/>
    </w:p>
    <w:p w:rsidR="00746105" w:rsidRPr="00A87B04" w:rsidRDefault="00F34076" w:rsidP="001204CB">
      <w:pPr>
        <w:pStyle w:val="Bodypara"/>
      </w:pPr>
      <w:r w:rsidRPr="00A87B04">
        <w:t>A.</w:t>
      </w:r>
      <w:r w:rsidRPr="00A87B04">
        <w:tab/>
        <w:t xml:space="preserve">Day-Ahead Margin Assurance </w:t>
      </w:r>
      <w:r w:rsidRPr="00A87B04">
        <w:t>Payments for Limited Energy Storage Resources scheduled to provide Regulation Service shall be determined by applying</w:t>
      </w:r>
      <w:r w:rsidRPr="00A87B04">
        <w:rPr>
          <w:i/>
          <w:iCs/>
        </w:rPr>
        <w:t xml:space="preserve"> </w:t>
      </w:r>
      <w:r w:rsidRPr="00A87B04">
        <w:t xml:space="preserve">the following equations to each Resource using the terms as defined in subsection </w:t>
      </w:r>
      <w:r w:rsidRPr="006305F8">
        <w:t>25.3.3</w:t>
      </w:r>
      <w:r w:rsidRPr="00A87B04">
        <w:t>, provided however, DAMAP is payable only for inte</w:t>
      </w:r>
      <w:r w:rsidRPr="00A87B04">
        <w:t>rvals in which the NYISO has reduced the real-time Regulation Service offer (in MWs) of a Limited Energy Storage Resource to account for the Energy storage capacity of such Resource and the NYISO is not pursuing LESR Energy Management for such Resource for</w:t>
      </w:r>
      <w:r w:rsidRPr="00A87B04">
        <w:t xml:space="preserve"> such interval, pursuant to ISO Procedures:</w:t>
      </w:r>
    </w:p>
    <w:p w:rsidR="00746105" w:rsidRPr="00A87B04" w:rsidRDefault="00F34076" w:rsidP="008919A3">
      <w:pPr>
        <w:pStyle w:val="Bodypara"/>
      </w:pPr>
      <w:r w:rsidRPr="00A87B04">
        <w:t>If the Supplier’s real-time Regulation Service schedule is less than its Day-Ahead Regulation Service schedule then:</w:t>
      </w:r>
    </w:p>
    <w:p w:rsidR="00746105" w:rsidRPr="00A87B04" w:rsidRDefault="004D3E9F" w:rsidP="001204CB">
      <w:pPr>
        <w:spacing w:line="480" w:lineRule="auto"/>
      </w:pPr>
      <w:r>
        <w:rPr>
          <w:noProof/>
        </w:rPr>
        <w:pict>
          <v:group id="_x0000_s1039" editas="canvas" style="position:absolute;margin-left:0;margin-top:0;width:468pt;height:40.8pt;z-index:251658240;mso-position-horizontal-relative:char;mso-position-vertical-relative:line" coordorigin="-720" coordsize="9360,816">
            <o:lock v:ext="edit" aspectratio="t"/>
            <v:shape id="_x0000_s1040" type="#_x0000_t75" style="position:absolute;left:-720;width:9360;height:816" o:preferrelative="f">
              <v:fill o:detectmouseclick="t"/>
              <o:lock v:ext="edit" text="t"/>
            </v:shape>
            <v:rect id="_x0000_s1041" style="position:absolute;left:1080;top:63;width:107;height:392;mso-wrap-style:none" filled="f" stroked="f">
              <v:textbox style="mso-fit-shape-to-text:t" inset="0,0,0,0">
                <w:txbxContent>
                  <w:p w:rsidR="000765B0" w:rsidRDefault="00F34076" w:rsidP="00746105">
                    <w:r>
                      <w:rPr>
                        <w:rFonts w:ascii="Symbol" w:hAnsi="Symbol" w:cs="Symbol"/>
                        <w:color w:val="000000"/>
                        <w:sz w:val="32"/>
                        <w:szCs w:val="32"/>
                      </w:rPr>
                      <w:sym w:font="Symbol" w:char="F028"/>
                    </w:r>
                  </w:p>
                </w:txbxContent>
              </v:textbox>
            </v:rect>
            <v:rect id="_x0000_s1042" style="position:absolute;left:3240;top:63;width:107;height:392;mso-wrap-style:none" filled="f" stroked="f">
              <v:textbox style="mso-fit-shape-to-text:t" inset="0,0,0,0">
                <w:txbxContent>
                  <w:p w:rsidR="000765B0" w:rsidRDefault="00F34076" w:rsidP="00746105">
                    <w:r>
                      <w:rPr>
                        <w:rFonts w:ascii="Symbol" w:hAnsi="Symbol" w:cs="Symbol"/>
                        <w:color w:val="000000"/>
                        <w:sz w:val="32"/>
                        <w:szCs w:val="32"/>
                      </w:rPr>
                      <w:sym w:font="Symbol" w:char="F029"/>
                    </w:r>
                  </w:p>
                </w:txbxContent>
              </v:textbox>
            </v:rect>
            <v:rect id="_x0000_s1043" style="position:absolute;left:3673;top:63;width:107;height:392;mso-wrap-style:none" filled="f" stroked="f">
              <v:textbox style="mso-fit-shape-to-text:t" inset="0,0,0,0">
                <w:txbxContent>
                  <w:p w:rsidR="000765B0" w:rsidRDefault="00F34076" w:rsidP="00746105">
                    <w:r>
                      <w:rPr>
                        <w:rFonts w:ascii="Symbol" w:hAnsi="Symbol" w:cs="Symbol"/>
                        <w:color w:val="000000"/>
                        <w:sz w:val="32"/>
                        <w:szCs w:val="32"/>
                      </w:rPr>
                      <w:sym w:font="Symbol" w:char="F028"/>
                    </w:r>
                  </w:p>
                </w:txbxContent>
              </v:textbox>
            </v:rect>
            <v:rect id="_x0000_s1044" style="position:absolute;left:5760;top:63;width:107;height:392;mso-wrap-style:none" filled="f" stroked="f">
              <v:textbox style="mso-fit-shape-to-text:t" inset="0,0,0,0">
                <w:txbxContent>
                  <w:p w:rsidR="000765B0" w:rsidRDefault="00F34076" w:rsidP="00746105">
                    <w:r>
                      <w:rPr>
                        <w:rFonts w:ascii="Symbol" w:hAnsi="Symbol" w:cs="Symbol"/>
                        <w:color w:val="000000"/>
                        <w:sz w:val="32"/>
                        <w:szCs w:val="32"/>
                      </w:rPr>
                      <w:sym w:font="Symbol" w:char="F029"/>
                    </w:r>
                  </w:p>
                </w:txbxContent>
              </v:textbox>
            </v:rect>
            <v:rect id="_x0000_s1045" style="position:absolute;left:900;top:55;width:107;height:392;mso-wrap-style:none" filled="f" stroked="f">
              <v:textbox style="mso-fit-shape-to-text:t" inset="0,0,0,0">
                <w:txbxContent>
                  <w:p w:rsidR="000765B0" w:rsidRDefault="00F34076" w:rsidP="00746105">
                    <w:r>
                      <w:rPr>
                        <w:rFonts w:ascii="Symbol" w:hAnsi="Symbol" w:cs="Symbol"/>
                        <w:color w:val="000000"/>
                        <w:sz w:val="32"/>
                        <w:szCs w:val="32"/>
                      </w:rPr>
                      <w:sym w:font="Symbol" w:char="F05B"/>
                    </w:r>
                  </w:p>
                </w:txbxContent>
              </v:textbox>
            </v:rect>
            <v:rect id="_x0000_s1046" style="position:absolute;left:5833;top:55;width:107;height:392;mso-wrap-style:none" filled="f" stroked="f">
              <v:textbox style="mso-fit-shape-to-text:t" inset="0,0,0,0">
                <w:txbxContent>
                  <w:p w:rsidR="000765B0" w:rsidRDefault="00F34076" w:rsidP="00746105">
                    <w:r>
                      <w:rPr>
                        <w:rFonts w:ascii="Symbol" w:hAnsi="Symbol" w:cs="Symbol"/>
                        <w:color w:val="000000"/>
                        <w:sz w:val="32"/>
                        <w:szCs w:val="32"/>
                      </w:rPr>
                      <w:sym w:font="Symbol" w:char="F05D"/>
                    </w:r>
                  </w:p>
                </w:txbxContent>
              </v:textbox>
            </v:rect>
            <v:line id="_x0000_s1047" style="position:absolute" from="7380,322" to="8270,323" strokeweight=".5pt"/>
            <v:rect id="_x0000_s1048" style="position:absolute;left:7619;top:355;width:481;height:276;mso-wrap-style:none" filled="f" stroked="f">
              <v:textbox style="mso-fit-shape-to-text:t" inset="0,0,0,0">
                <w:txbxContent>
                  <w:p w:rsidR="000765B0" w:rsidRDefault="00F34076" w:rsidP="00746105">
                    <w:r>
                      <w:rPr>
                        <w:color w:val="000000"/>
                      </w:rPr>
                      <w:t>3600</w:t>
                    </w:r>
                  </w:p>
                </w:txbxContent>
              </v:textbox>
            </v:rect>
            <v:rect id="_x0000_s1049" style="position:absolute;left:7480;top:17;width:800;height:552" filled="f" stroked="f">
              <v:textbox style="mso-fit-shape-to-text:t" inset="0,0,0,0">
                <w:txbxContent>
                  <w:p w:rsidR="000765B0" w:rsidRPr="004A3D97" w:rsidRDefault="00F34076" w:rsidP="00746105">
                    <w:r w:rsidRPr="004A3D97">
                      <w:rPr>
                        <w:color w:val="000000"/>
                      </w:rPr>
                      <w:t>Seconds</w:t>
                    </w:r>
                  </w:p>
                </w:txbxContent>
              </v:textbox>
            </v:rect>
            <v:rect id="_x0000_s1050" style="position:absolute;left:6840;top:180;width:179;height:263" filled="f" stroked="f">
              <v:textbox inset="0,0,0,0">
                <w:txbxContent>
                  <w:p w:rsidR="000765B0" w:rsidRDefault="00F34076" w:rsidP="00746105">
                    <w:r>
                      <w:rPr>
                        <w:color w:val="000000"/>
                      </w:rPr>
                      <w:t xml:space="preserve">*   </w:t>
                    </w:r>
                  </w:p>
                </w:txbxContent>
              </v:textbox>
            </v:rect>
            <v:rect id="_x0000_s1051" style="position:absolute;left:4860;top:167;width:814;height:552;mso-wrap-style:none" filled="f" stroked="f">
              <v:textbox style="mso-fit-shape-to-text:t" inset="0,0,0,0">
                <w:txbxContent>
                  <w:p w:rsidR="000765B0" w:rsidRPr="004A3D97" w:rsidRDefault="00F34076" w:rsidP="00746105">
                    <w:r w:rsidRPr="004A3D97">
                      <w:rPr>
                        <w:color w:val="000000"/>
                      </w:rPr>
                      <w:t>DABreg</w:t>
                    </w:r>
                  </w:p>
                </w:txbxContent>
              </v:textbox>
            </v:rect>
            <v:rect id="_x0000_s1052" style="position:absolute;left:3780;top:167;width:747;height:552;mso-wrap-style:none" filled="f" stroked="f">
              <v:textbox style="mso-fit-shape-to-text:t" inset="0,0,0,0">
                <w:txbxContent>
                  <w:p w:rsidR="000765B0" w:rsidRPr="004A3D97" w:rsidRDefault="00F34076" w:rsidP="00746105">
                    <w:r w:rsidRPr="004A3D97">
                      <w:rPr>
                        <w:color w:val="000000"/>
                      </w:rPr>
                      <w:t>RTPreg</w:t>
                    </w:r>
                  </w:p>
                </w:txbxContent>
              </v:textbox>
            </v:rect>
            <v:rect id="_x0000_s1053" style="position:absolute;left:2340;top:167;width:747;height:552;mso-wrap-style:none" filled="f" stroked="f">
              <v:textbox style="mso-fit-shape-to-text:t" inset="0,0,0,0">
                <w:txbxContent>
                  <w:p w:rsidR="000765B0" w:rsidRPr="004A3D97" w:rsidRDefault="00F34076" w:rsidP="00746105">
                    <w:r w:rsidRPr="004A3D97">
                      <w:rPr>
                        <w:color w:val="000000"/>
                      </w:rPr>
                      <w:t>RTSreg</w:t>
                    </w:r>
                  </w:p>
                </w:txbxContent>
              </v:textbox>
            </v:rect>
            <v:rect id="_x0000_s1054" style="position:absolute;left:1260;top:167;width:787;height:552;mso-wrap-style:none" filled="f" stroked="f">
              <v:textbox style="mso-fit-shape-to-text:t" inset="0,0,0,0">
                <w:txbxContent>
                  <w:p w:rsidR="000765B0" w:rsidRPr="004168E4" w:rsidRDefault="00F34076" w:rsidP="00746105">
                    <w:r w:rsidRPr="004168E4">
                      <w:rPr>
                        <w:color w:val="000000"/>
                      </w:rPr>
                      <w:t>DASreg</w:t>
                    </w:r>
                  </w:p>
                </w:txbxContent>
              </v:textbox>
            </v:rect>
            <v:rect id="_x0000_s1055" style="position:absolute;left:-540;top:167;width:1161;height:552;mso-wrap-style:none" filled="f" stroked="f">
              <v:textbox style="mso-fit-shape-to-text:t" inset="0,0,0,0">
                <w:txbxContent>
                  <w:p w:rsidR="000765B0" w:rsidRPr="004168E4" w:rsidRDefault="00F34076" w:rsidP="00746105">
                    <w:r w:rsidRPr="004168E4">
                      <w:rPr>
                        <w:color w:val="000000"/>
                      </w:rPr>
                      <w:t>CDMAPreg</w:t>
                    </w:r>
                  </w:p>
                </w:txbxContent>
              </v:textbox>
            </v:rect>
            <v:rect id="_x0000_s1056" style="position:absolute;left:8280;top:180;width:45;height:184;mso-wrap-style:none" filled="f" stroked="f">
              <v:textbox style="mso-fit-shape-to-text:t" inset="0,0,0,0">
                <w:txbxContent>
                  <w:p w:rsidR="000765B0" w:rsidRPr="004A3D97" w:rsidRDefault="00F34076" w:rsidP="00746105">
                    <w:pPr>
                      <w:rPr>
                        <w:sz w:val="16"/>
                        <w:szCs w:val="16"/>
                      </w:rPr>
                    </w:pPr>
                    <w:r w:rsidRPr="004A3D97">
                      <w:rPr>
                        <w:color w:val="000000"/>
                        <w:sz w:val="16"/>
                        <w:szCs w:val="16"/>
                      </w:rPr>
                      <w:t>i</w:t>
                    </w:r>
                  </w:p>
                </w:txbxContent>
              </v:textbox>
            </v:rect>
            <v:rect id="_x0000_s1057" style="position:absolute;left:5619;top:317;width:161;height:184;mso-wrap-style:none" filled="f" stroked="f">
              <v:textbox style="mso-fit-shape-to-text:t" inset="0,0,0,0">
                <w:txbxContent>
                  <w:p w:rsidR="000765B0" w:rsidRPr="004A3D97" w:rsidRDefault="00F34076" w:rsidP="00746105">
                    <w:pPr>
                      <w:rPr>
                        <w:sz w:val="16"/>
                        <w:szCs w:val="16"/>
                      </w:rPr>
                    </w:pPr>
                    <w:r w:rsidRPr="004A3D97">
                      <w:rPr>
                        <w:color w:val="000000"/>
                        <w:sz w:val="16"/>
                        <w:szCs w:val="16"/>
                      </w:rPr>
                      <w:t>hu</w:t>
                    </w:r>
                  </w:p>
                </w:txbxContent>
              </v:textbox>
            </v:rect>
            <v:rect id="_x0000_s1058" style="position:absolute;left:4571;top:317;width:125;height:368;mso-wrap-style:none" filled="f" stroked="f">
              <v:textbox style="mso-fit-shape-to-text:t" inset="0,0,0,0">
                <w:txbxContent>
                  <w:p w:rsidR="000765B0" w:rsidRPr="004A3D97" w:rsidRDefault="00F34076" w:rsidP="00746105">
                    <w:pPr>
                      <w:rPr>
                        <w:sz w:val="16"/>
                        <w:szCs w:val="16"/>
                      </w:rPr>
                    </w:pPr>
                    <w:r w:rsidRPr="004A3D97">
                      <w:rPr>
                        <w:color w:val="000000"/>
                        <w:sz w:val="16"/>
                        <w:szCs w:val="16"/>
                      </w:rPr>
                      <w:t>iu</w:t>
                    </w:r>
                  </w:p>
                </w:txbxContent>
              </v:textbox>
            </v:rect>
            <v:rect id="_x0000_s1059" style="position:absolute;left:3131;top:317;width:125;height:368;mso-wrap-style:none" filled="f" stroked="f">
              <v:textbox style="mso-fit-shape-to-text:t" inset="0,0,0,0">
                <w:txbxContent>
                  <w:p w:rsidR="000765B0" w:rsidRPr="004A3D97" w:rsidRDefault="00F34076" w:rsidP="00746105">
                    <w:pPr>
                      <w:rPr>
                        <w:sz w:val="16"/>
                        <w:szCs w:val="16"/>
                      </w:rPr>
                    </w:pPr>
                    <w:r w:rsidRPr="004A3D97">
                      <w:rPr>
                        <w:color w:val="000000"/>
                        <w:sz w:val="16"/>
                        <w:szCs w:val="16"/>
                      </w:rPr>
                      <w:t>iu</w:t>
                    </w:r>
                  </w:p>
                </w:txbxContent>
              </v:textbox>
            </v:rect>
            <v:rect id="_x0000_s1060" style="position:absolute;left:2019;top:317;width:141;height:161;mso-wrap-style:none" filled="f" stroked="f">
              <v:textbox style="mso-fit-shape-to-text:t" inset="0,0,0,0">
                <w:txbxContent>
                  <w:p w:rsidR="000765B0" w:rsidRDefault="00F34076" w:rsidP="00746105">
                    <w:r>
                      <w:rPr>
                        <w:color w:val="000000"/>
                        <w:sz w:val="14"/>
                        <w:szCs w:val="14"/>
                      </w:rPr>
                      <w:t>hu</w:t>
                    </w:r>
                  </w:p>
                </w:txbxContent>
              </v:textbox>
            </v:rect>
            <v:rect id="_x0000_s1061" style="position:absolute;left:611;top:317;width:125;height:368;mso-wrap-style:none" filled="f" stroked="f">
              <v:textbox style="mso-fit-shape-to-text:t" inset="0,0,0,0">
                <w:txbxContent>
                  <w:p w:rsidR="000765B0" w:rsidRPr="004A3D97" w:rsidRDefault="00F34076" w:rsidP="00746105">
                    <w:pPr>
                      <w:rPr>
                        <w:sz w:val="16"/>
                        <w:szCs w:val="16"/>
                      </w:rPr>
                    </w:pPr>
                    <w:r w:rsidRPr="004A3D97">
                      <w:rPr>
                        <w:color w:val="000000"/>
                        <w:sz w:val="16"/>
                        <w:szCs w:val="16"/>
                      </w:rPr>
                      <w:t>iu</w:t>
                    </w:r>
                  </w:p>
                </w:txbxContent>
              </v:textbox>
            </v:rect>
            <v:rect id="_x0000_s1062" style="position:absolute;left:4728;top:139;width:132;height:294;mso-wrap-style:none" filled="f" stroked="f">
              <v:textbox style="mso-fit-shape-to-text:t" inset="0,0,0,0">
                <w:txbxContent>
                  <w:p w:rsidR="000765B0" w:rsidRDefault="00F34076" w:rsidP="00746105">
                    <w:r>
                      <w:rPr>
                        <w:rFonts w:ascii="Symbol" w:hAnsi="Symbol" w:cs="Symbol"/>
                        <w:color w:val="000000"/>
                      </w:rPr>
                      <w:sym w:font="Symbol" w:char="F02D"/>
                    </w:r>
                  </w:p>
                </w:txbxContent>
              </v:textbox>
            </v:rect>
            <v:rect id="_x0000_s1063" style="position:absolute;left:2160;top:139;width:132;height:294;mso-wrap-style:none" filled="f" stroked="f">
              <v:textbox style="mso-fit-shape-to-text:t" inset="0,0,0,0">
                <w:txbxContent>
                  <w:p w:rsidR="000765B0" w:rsidRDefault="00F34076" w:rsidP="00746105">
                    <w:r>
                      <w:rPr>
                        <w:rFonts w:ascii="Symbol" w:hAnsi="Symbol" w:cs="Symbol"/>
                        <w:color w:val="000000"/>
                      </w:rPr>
                      <w:sym w:font="Symbol" w:char="F02D"/>
                    </w:r>
                  </w:p>
                </w:txbxContent>
              </v:textbox>
            </v:rect>
            <v:rect id="_x0000_s1064" style="position:absolute;left:720;top:139;width:132;height:294;mso-wrap-style:none" filled="f" stroked="f">
              <v:textbox style="mso-fit-shape-to-text:t" inset="0,0,0,0">
                <w:txbxContent>
                  <w:p w:rsidR="000765B0" w:rsidRDefault="00F34076" w:rsidP="00746105">
                    <w:r>
                      <w:rPr>
                        <w:rFonts w:ascii="Symbol" w:hAnsi="Symbol" w:cs="Symbol"/>
                        <w:color w:val="000000"/>
                      </w:rPr>
                      <w:sym w:font="Symbol" w:char="F03D"/>
                    </w:r>
                  </w:p>
                </w:txbxContent>
              </v:textbox>
            </v:rect>
            <v:rect id="_x0000_s1065" style="position:absolute;left:5941;top:180;width:179;height:263" filled="f" stroked="f">
              <v:textbox inset="0,0,0,0">
                <w:txbxContent>
                  <w:p w:rsidR="000765B0" w:rsidRDefault="00F34076" w:rsidP="00746105">
                    <w:r>
                      <w:rPr>
                        <w:color w:val="000000"/>
                      </w:rPr>
                      <w:t xml:space="preserve">*   </w:t>
                    </w:r>
                  </w:p>
                </w:txbxContent>
              </v:textbox>
            </v:rect>
            <v:rect id="_x0000_s1066" style="position:absolute;left:6166;top:180;width:316;height:180;mso-wrap-style:none" filled="f" stroked="f">
              <v:textbox inset="0,0,0,0">
                <w:txbxContent>
                  <w:p w:rsidR="000765B0" w:rsidRPr="004A3D97" w:rsidRDefault="00F34076" w:rsidP="00746105">
                    <w:r w:rsidRPr="004A3D97">
                      <w:t>K</w:t>
                    </w:r>
                    <w:r w:rsidRPr="004A3D97">
                      <w:rPr>
                        <w:vertAlign w:val="subscript"/>
                      </w:rPr>
                      <w:t>PI</w:t>
                    </w:r>
                  </w:p>
                </w:txbxContent>
              </v:textbox>
            </v:rect>
            <v:rect id="_x0000_s1067" style="position:absolute;left:3420;top:180;width:121;height:294;mso-wrap-style:none" filled="f" stroked="f">
              <v:textbox style="mso-fit-shape-to-text:t" inset="0,0,0,0">
                <w:txbxContent>
                  <w:p w:rsidR="000765B0" w:rsidRDefault="00F34076" w:rsidP="00746105">
                    <w:r>
                      <w:rPr>
                        <w:rFonts w:ascii="Symbol" w:hAnsi="Symbol" w:cs="Symbol"/>
                        <w:color w:val="000000"/>
                      </w:rPr>
                      <w:sym w:font="Symbol" w:char="F02A"/>
                    </w:r>
                  </w:p>
                </w:txbxContent>
              </v:textbox>
            </v:rect>
          </v:group>
        </w:pict>
      </w:r>
      <w:r>
        <w:pict>
          <v:shape id="_x0000_i1039" type="#_x0000_t75" style="width:468pt;height:40.5pt"/>
        </w:pict>
      </w:r>
    </w:p>
    <w:p w:rsidR="00746105" w:rsidRPr="00A87B04" w:rsidRDefault="00F34076" w:rsidP="008919A3">
      <w:pPr>
        <w:pStyle w:val="Bodypara"/>
      </w:pPr>
      <w:r w:rsidRPr="00A87B04">
        <w:t>If the Supplier’s real-time Regulation Service schedule is greater than or equal to the Day-Ahead Regulation Service schedule then:</w:t>
      </w:r>
    </w:p>
    <w:p w:rsidR="00746105" w:rsidRPr="00A87B04" w:rsidRDefault="004D3E9F" w:rsidP="001204CB">
      <w:pPr>
        <w:spacing w:line="480" w:lineRule="auto"/>
      </w:pPr>
      <w:r w:rsidRPr="004D3E9F">
        <w:rPr>
          <w:position w:val="-24"/>
        </w:rPr>
        <w:pict>
          <v:shape id="_x0000_i1040" type="#_x0000_t75" style="width:417pt;height:30.75pt" fillcolor="window">
            <v:imagedata r:id="rId14" o:title=""/>
          </v:shape>
        </w:pict>
      </w:r>
    </w:p>
    <w:sectPr w:rsidR="00746105" w:rsidRPr="00A87B04" w:rsidSect="0049544F">
      <w:headerReference w:type="even" r:id="rId18"/>
      <w:headerReference w:type="default" r:id="rId19"/>
      <w:footerReference w:type="even" r:id="rId20"/>
      <w:footerReference w:type="default" r:id="rId21"/>
      <w:headerReference w:type="first" r:id="rId22"/>
      <w:footerReference w:type="first" r:id="rId23"/>
      <w:pgSz w:w="12240" w:h="15840" w:code="1"/>
      <w:pgMar w:top="1440"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E9F" w:rsidRDefault="004D3E9F" w:rsidP="004D3E9F">
      <w:pPr>
        <w:spacing w:after="0" w:line="240" w:lineRule="auto"/>
      </w:pPr>
      <w:r>
        <w:separator/>
      </w:r>
    </w:p>
  </w:endnote>
  <w:endnote w:type="continuationSeparator" w:id="0">
    <w:p w:rsidR="004D3E9F" w:rsidRDefault="004D3E9F" w:rsidP="004D3E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E9F" w:rsidRDefault="00F34076">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4D3E9F">
      <w:rPr>
        <w:rFonts w:ascii="Arial" w:eastAsia="Arial" w:hAnsi="Arial" w:cs="Arial"/>
        <w:color w:val="000000"/>
        <w:sz w:val="16"/>
      </w:rPr>
      <w:fldChar w:fldCharType="begin"/>
    </w:r>
    <w:r>
      <w:rPr>
        <w:rFonts w:ascii="Arial" w:eastAsia="Arial" w:hAnsi="Arial" w:cs="Arial"/>
        <w:color w:val="000000"/>
        <w:sz w:val="16"/>
      </w:rPr>
      <w:instrText>PAGE</w:instrText>
    </w:r>
    <w:r w:rsidR="004D3E9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E9F" w:rsidRDefault="00F34076">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4D3E9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D3E9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E9F" w:rsidRDefault="00F34076">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4D3E9F">
      <w:rPr>
        <w:rFonts w:ascii="Arial" w:eastAsia="Arial" w:hAnsi="Arial" w:cs="Arial"/>
        <w:color w:val="000000"/>
        <w:sz w:val="16"/>
      </w:rPr>
      <w:fldChar w:fldCharType="begin"/>
    </w:r>
    <w:r>
      <w:rPr>
        <w:rFonts w:ascii="Arial" w:eastAsia="Arial" w:hAnsi="Arial" w:cs="Arial"/>
        <w:color w:val="000000"/>
        <w:sz w:val="16"/>
      </w:rPr>
      <w:instrText>PAGE</w:instrText>
    </w:r>
    <w:r w:rsidR="004D3E9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E9F" w:rsidRDefault="004D3E9F" w:rsidP="004D3E9F">
      <w:pPr>
        <w:spacing w:after="0" w:line="240" w:lineRule="auto"/>
      </w:pPr>
      <w:r>
        <w:separator/>
      </w:r>
    </w:p>
  </w:footnote>
  <w:footnote w:type="continuationSeparator" w:id="0">
    <w:p w:rsidR="004D3E9F" w:rsidRDefault="004D3E9F" w:rsidP="004D3E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E9F" w:rsidRDefault="00F3407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25 MST Attachment J - Determination Of Day-Ahead Margin Assu</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E9F" w:rsidRDefault="00F34076">
    <w:pPr>
      <w:rPr>
        <w:rFonts w:ascii="Arial" w:eastAsia="Arial" w:hAnsi="Arial" w:cs="Arial"/>
        <w:color w:val="000000"/>
        <w:sz w:val="16"/>
      </w:rPr>
    </w:pPr>
    <w:r>
      <w:rPr>
        <w:rFonts w:ascii="Arial" w:eastAsia="Arial" w:hAnsi="Arial" w:cs="Arial"/>
        <w:color w:val="000000"/>
        <w:sz w:val="16"/>
      </w:rPr>
      <w:t>NYISO Tariffs --&gt; Market Administration and Co</w:t>
    </w:r>
    <w:r>
      <w:rPr>
        <w:rFonts w:ascii="Arial" w:eastAsia="Arial" w:hAnsi="Arial" w:cs="Arial"/>
        <w:color w:val="000000"/>
        <w:sz w:val="16"/>
      </w:rPr>
      <w:t>ntrol Area Services Tariff (MST) --&gt; 25 MST Attachment J - Determination Of Day-Ahead Margin Assu</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E9F" w:rsidRDefault="00F34076">
    <w:pPr>
      <w:rPr>
        <w:rFonts w:ascii="Arial" w:eastAsia="Arial" w:hAnsi="Arial" w:cs="Arial"/>
        <w:color w:val="000000"/>
        <w:sz w:val="16"/>
      </w:rPr>
    </w:pPr>
    <w:r>
      <w:rPr>
        <w:rFonts w:ascii="Arial" w:eastAsia="Arial" w:hAnsi="Arial" w:cs="Arial"/>
        <w:color w:val="000000"/>
        <w:sz w:val="16"/>
      </w:rPr>
      <w:t>NYISO Tariffs --&gt; Market A</w:t>
    </w:r>
    <w:r>
      <w:rPr>
        <w:rFonts w:ascii="Arial" w:eastAsia="Arial" w:hAnsi="Arial" w:cs="Arial"/>
        <w:color w:val="000000"/>
        <w:sz w:val="16"/>
      </w:rPr>
      <w:t>dministration and Control Area Services Tariff (MST) --&gt; 25 MST Attachment J - Determination Of Day-Ahead Margin Assu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B5C275AE">
      <w:start w:val="1"/>
      <w:numFmt w:val="bullet"/>
      <w:pStyle w:val="Bulletpara"/>
      <w:lvlText w:val=""/>
      <w:lvlJc w:val="left"/>
      <w:pPr>
        <w:tabs>
          <w:tab w:val="num" w:pos="720"/>
        </w:tabs>
        <w:ind w:left="720" w:hanging="360"/>
      </w:pPr>
      <w:rPr>
        <w:rFonts w:ascii="Symbol" w:hAnsi="Symbol" w:hint="default"/>
      </w:rPr>
    </w:lvl>
    <w:lvl w:ilvl="1" w:tplc="0DBE719E" w:tentative="1">
      <w:start w:val="1"/>
      <w:numFmt w:val="bullet"/>
      <w:lvlText w:val="o"/>
      <w:lvlJc w:val="left"/>
      <w:pPr>
        <w:tabs>
          <w:tab w:val="num" w:pos="1440"/>
        </w:tabs>
        <w:ind w:left="1440" w:hanging="360"/>
      </w:pPr>
      <w:rPr>
        <w:rFonts w:ascii="Courier New" w:hAnsi="Courier New" w:cs="Courier New" w:hint="default"/>
      </w:rPr>
    </w:lvl>
    <w:lvl w:ilvl="2" w:tplc="43A2233A" w:tentative="1">
      <w:start w:val="1"/>
      <w:numFmt w:val="bullet"/>
      <w:lvlText w:val=""/>
      <w:lvlJc w:val="left"/>
      <w:pPr>
        <w:tabs>
          <w:tab w:val="num" w:pos="2160"/>
        </w:tabs>
        <w:ind w:left="2160" w:hanging="360"/>
      </w:pPr>
      <w:rPr>
        <w:rFonts w:ascii="Wingdings" w:hAnsi="Wingdings" w:hint="default"/>
      </w:rPr>
    </w:lvl>
    <w:lvl w:ilvl="3" w:tplc="EBE8BE3C" w:tentative="1">
      <w:start w:val="1"/>
      <w:numFmt w:val="bullet"/>
      <w:lvlText w:val=""/>
      <w:lvlJc w:val="left"/>
      <w:pPr>
        <w:tabs>
          <w:tab w:val="num" w:pos="2880"/>
        </w:tabs>
        <w:ind w:left="2880" w:hanging="360"/>
      </w:pPr>
      <w:rPr>
        <w:rFonts w:ascii="Symbol" w:hAnsi="Symbol" w:hint="default"/>
      </w:rPr>
    </w:lvl>
    <w:lvl w:ilvl="4" w:tplc="821021EE" w:tentative="1">
      <w:start w:val="1"/>
      <w:numFmt w:val="bullet"/>
      <w:lvlText w:val="o"/>
      <w:lvlJc w:val="left"/>
      <w:pPr>
        <w:tabs>
          <w:tab w:val="num" w:pos="3600"/>
        </w:tabs>
        <w:ind w:left="3600" w:hanging="360"/>
      </w:pPr>
      <w:rPr>
        <w:rFonts w:ascii="Courier New" w:hAnsi="Courier New" w:cs="Courier New" w:hint="default"/>
      </w:rPr>
    </w:lvl>
    <w:lvl w:ilvl="5" w:tplc="21621E5E" w:tentative="1">
      <w:start w:val="1"/>
      <w:numFmt w:val="bullet"/>
      <w:lvlText w:val=""/>
      <w:lvlJc w:val="left"/>
      <w:pPr>
        <w:tabs>
          <w:tab w:val="num" w:pos="4320"/>
        </w:tabs>
        <w:ind w:left="4320" w:hanging="360"/>
      </w:pPr>
      <w:rPr>
        <w:rFonts w:ascii="Wingdings" w:hAnsi="Wingdings" w:hint="default"/>
      </w:rPr>
    </w:lvl>
    <w:lvl w:ilvl="6" w:tplc="6486BFD0" w:tentative="1">
      <w:start w:val="1"/>
      <w:numFmt w:val="bullet"/>
      <w:lvlText w:val=""/>
      <w:lvlJc w:val="left"/>
      <w:pPr>
        <w:tabs>
          <w:tab w:val="num" w:pos="5040"/>
        </w:tabs>
        <w:ind w:left="5040" w:hanging="360"/>
      </w:pPr>
      <w:rPr>
        <w:rFonts w:ascii="Symbol" w:hAnsi="Symbol" w:hint="default"/>
      </w:rPr>
    </w:lvl>
    <w:lvl w:ilvl="7" w:tplc="3EA2283A" w:tentative="1">
      <w:start w:val="1"/>
      <w:numFmt w:val="bullet"/>
      <w:lvlText w:val="o"/>
      <w:lvlJc w:val="left"/>
      <w:pPr>
        <w:tabs>
          <w:tab w:val="num" w:pos="5760"/>
        </w:tabs>
        <w:ind w:left="5760" w:hanging="360"/>
      </w:pPr>
      <w:rPr>
        <w:rFonts w:ascii="Courier New" w:hAnsi="Courier New" w:cs="Courier New" w:hint="default"/>
      </w:rPr>
    </w:lvl>
    <w:lvl w:ilvl="8" w:tplc="AB6CF068" w:tentative="1">
      <w:start w:val="1"/>
      <w:numFmt w:val="bullet"/>
      <w:lvlText w:val=""/>
      <w:lvlJc w:val="left"/>
      <w:pPr>
        <w:tabs>
          <w:tab w:val="num" w:pos="6480"/>
        </w:tabs>
        <w:ind w:left="6480" w:hanging="360"/>
      </w:pPr>
      <w:rPr>
        <w:rFonts w:ascii="Wingdings" w:hAnsi="Wingdings" w:hint="default"/>
      </w:rPr>
    </w:lvl>
  </w:abstractNum>
  <w:abstractNum w:abstractNumId="1">
    <w:nsid w:val="372A749B"/>
    <w:multiLevelType w:val="hybridMultilevel"/>
    <w:tmpl w:val="EBD879C0"/>
    <w:lvl w:ilvl="0" w:tplc="AB1019EC">
      <w:start w:val="1"/>
      <w:numFmt w:val="lowerRoman"/>
      <w:lvlText w:val="(%1)"/>
      <w:lvlJc w:val="left"/>
      <w:pPr>
        <w:tabs>
          <w:tab w:val="num" w:pos="2448"/>
        </w:tabs>
        <w:ind w:left="2448" w:hanging="648"/>
      </w:pPr>
      <w:rPr>
        <w:rFonts w:hint="default"/>
        <w:b w:val="0"/>
        <w:i w:val="0"/>
        <w:u w:val="none"/>
      </w:rPr>
    </w:lvl>
    <w:lvl w:ilvl="1" w:tplc="F6EE8D58" w:tentative="1">
      <w:start w:val="1"/>
      <w:numFmt w:val="lowerLetter"/>
      <w:lvlText w:val="%2."/>
      <w:lvlJc w:val="left"/>
      <w:pPr>
        <w:tabs>
          <w:tab w:val="num" w:pos="1440"/>
        </w:tabs>
        <w:ind w:left="1440" w:hanging="360"/>
      </w:pPr>
    </w:lvl>
    <w:lvl w:ilvl="2" w:tplc="0BBA6002" w:tentative="1">
      <w:start w:val="1"/>
      <w:numFmt w:val="lowerRoman"/>
      <w:lvlText w:val="%3."/>
      <w:lvlJc w:val="right"/>
      <w:pPr>
        <w:tabs>
          <w:tab w:val="num" w:pos="2160"/>
        </w:tabs>
        <w:ind w:left="2160" w:hanging="180"/>
      </w:pPr>
    </w:lvl>
    <w:lvl w:ilvl="3" w:tplc="B17A13FA" w:tentative="1">
      <w:start w:val="1"/>
      <w:numFmt w:val="decimal"/>
      <w:lvlText w:val="%4."/>
      <w:lvlJc w:val="left"/>
      <w:pPr>
        <w:tabs>
          <w:tab w:val="num" w:pos="2880"/>
        </w:tabs>
        <w:ind w:left="2880" w:hanging="360"/>
      </w:pPr>
    </w:lvl>
    <w:lvl w:ilvl="4" w:tplc="B184AB38" w:tentative="1">
      <w:start w:val="1"/>
      <w:numFmt w:val="lowerLetter"/>
      <w:lvlText w:val="%5."/>
      <w:lvlJc w:val="left"/>
      <w:pPr>
        <w:tabs>
          <w:tab w:val="num" w:pos="3600"/>
        </w:tabs>
        <w:ind w:left="3600" w:hanging="360"/>
      </w:pPr>
    </w:lvl>
    <w:lvl w:ilvl="5" w:tplc="10143FDE" w:tentative="1">
      <w:start w:val="1"/>
      <w:numFmt w:val="lowerRoman"/>
      <w:lvlText w:val="%6."/>
      <w:lvlJc w:val="right"/>
      <w:pPr>
        <w:tabs>
          <w:tab w:val="num" w:pos="4320"/>
        </w:tabs>
        <w:ind w:left="4320" w:hanging="180"/>
      </w:pPr>
    </w:lvl>
    <w:lvl w:ilvl="6" w:tplc="BC78E592" w:tentative="1">
      <w:start w:val="1"/>
      <w:numFmt w:val="decimal"/>
      <w:lvlText w:val="%7."/>
      <w:lvlJc w:val="left"/>
      <w:pPr>
        <w:tabs>
          <w:tab w:val="num" w:pos="5040"/>
        </w:tabs>
        <w:ind w:left="5040" w:hanging="360"/>
      </w:pPr>
    </w:lvl>
    <w:lvl w:ilvl="7" w:tplc="BFBAC29E" w:tentative="1">
      <w:start w:val="1"/>
      <w:numFmt w:val="lowerLetter"/>
      <w:lvlText w:val="%8."/>
      <w:lvlJc w:val="left"/>
      <w:pPr>
        <w:tabs>
          <w:tab w:val="num" w:pos="5760"/>
        </w:tabs>
        <w:ind w:left="5760" w:hanging="360"/>
      </w:pPr>
    </w:lvl>
    <w:lvl w:ilvl="8" w:tplc="B4E68C7A" w:tentative="1">
      <w:start w:val="1"/>
      <w:numFmt w:val="lowerRoman"/>
      <w:lvlText w:val="%9."/>
      <w:lvlJc w:val="right"/>
      <w:pPr>
        <w:tabs>
          <w:tab w:val="num" w:pos="6480"/>
        </w:tabs>
        <w:ind w:left="6480" w:hanging="180"/>
      </w:pPr>
    </w:lvl>
  </w:abstractNum>
  <w:abstractNum w:abstractNumId="2">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671739E9"/>
    <w:multiLevelType w:val="hybridMultilevel"/>
    <w:tmpl w:val="B29C98A0"/>
    <w:lvl w:ilvl="0" w:tplc="CD5CEDF8">
      <w:start w:val="1"/>
      <w:numFmt w:val="bullet"/>
      <w:lvlText w:val=""/>
      <w:lvlJc w:val="left"/>
      <w:pPr>
        <w:tabs>
          <w:tab w:val="num" w:pos="5760"/>
        </w:tabs>
        <w:ind w:left="5760" w:hanging="360"/>
      </w:pPr>
      <w:rPr>
        <w:rFonts w:ascii="Symbol" w:hAnsi="Symbol" w:hint="default"/>
        <w:color w:val="auto"/>
        <w:u w:val="none"/>
      </w:rPr>
    </w:lvl>
    <w:lvl w:ilvl="1" w:tplc="C5F00AEC" w:tentative="1">
      <w:start w:val="1"/>
      <w:numFmt w:val="bullet"/>
      <w:lvlText w:val="o"/>
      <w:lvlJc w:val="left"/>
      <w:pPr>
        <w:tabs>
          <w:tab w:val="num" w:pos="3600"/>
        </w:tabs>
        <w:ind w:left="3600" w:hanging="360"/>
      </w:pPr>
      <w:rPr>
        <w:rFonts w:ascii="Courier New" w:hAnsi="Courier New" w:hint="default"/>
      </w:rPr>
    </w:lvl>
    <w:lvl w:ilvl="2" w:tplc="3AA2C5F0" w:tentative="1">
      <w:start w:val="1"/>
      <w:numFmt w:val="bullet"/>
      <w:lvlText w:val=""/>
      <w:lvlJc w:val="left"/>
      <w:pPr>
        <w:tabs>
          <w:tab w:val="num" w:pos="4320"/>
        </w:tabs>
        <w:ind w:left="4320" w:hanging="360"/>
      </w:pPr>
      <w:rPr>
        <w:rFonts w:ascii="Wingdings" w:hAnsi="Wingdings" w:hint="default"/>
      </w:rPr>
    </w:lvl>
    <w:lvl w:ilvl="3" w:tplc="43C2B700">
      <w:start w:val="1"/>
      <w:numFmt w:val="bullet"/>
      <w:lvlText w:val=""/>
      <w:lvlJc w:val="left"/>
      <w:pPr>
        <w:tabs>
          <w:tab w:val="num" w:pos="5040"/>
        </w:tabs>
        <w:ind w:left="5040" w:hanging="360"/>
      </w:pPr>
      <w:rPr>
        <w:rFonts w:ascii="Symbol" w:hAnsi="Symbol" w:hint="default"/>
      </w:rPr>
    </w:lvl>
    <w:lvl w:ilvl="4" w:tplc="02303516" w:tentative="1">
      <w:start w:val="1"/>
      <w:numFmt w:val="bullet"/>
      <w:lvlText w:val="o"/>
      <w:lvlJc w:val="left"/>
      <w:pPr>
        <w:tabs>
          <w:tab w:val="num" w:pos="5760"/>
        </w:tabs>
        <w:ind w:left="5760" w:hanging="360"/>
      </w:pPr>
      <w:rPr>
        <w:rFonts w:ascii="Courier New" w:hAnsi="Courier New" w:hint="default"/>
      </w:rPr>
    </w:lvl>
    <w:lvl w:ilvl="5" w:tplc="F83A83AE" w:tentative="1">
      <w:start w:val="1"/>
      <w:numFmt w:val="bullet"/>
      <w:lvlText w:val=""/>
      <w:lvlJc w:val="left"/>
      <w:pPr>
        <w:tabs>
          <w:tab w:val="num" w:pos="6480"/>
        </w:tabs>
        <w:ind w:left="6480" w:hanging="360"/>
      </w:pPr>
      <w:rPr>
        <w:rFonts w:ascii="Wingdings" w:hAnsi="Wingdings" w:hint="default"/>
      </w:rPr>
    </w:lvl>
    <w:lvl w:ilvl="6" w:tplc="0B1A5C42" w:tentative="1">
      <w:start w:val="1"/>
      <w:numFmt w:val="bullet"/>
      <w:lvlText w:val=""/>
      <w:lvlJc w:val="left"/>
      <w:pPr>
        <w:tabs>
          <w:tab w:val="num" w:pos="7200"/>
        </w:tabs>
        <w:ind w:left="7200" w:hanging="360"/>
      </w:pPr>
      <w:rPr>
        <w:rFonts w:ascii="Symbol" w:hAnsi="Symbol" w:hint="default"/>
      </w:rPr>
    </w:lvl>
    <w:lvl w:ilvl="7" w:tplc="EE4679DE" w:tentative="1">
      <w:start w:val="1"/>
      <w:numFmt w:val="bullet"/>
      <w:lvlText w:val="o"/>
      <w:lvlJc w:val="left"/>
      <w:pPr>
        <w:tabs>
          <w:tab w:val="num" w:pos="7920"/>
        </w:tabs>
        <w:ind w:left="7920" w:hanging="360"/>
      </w:pPr>
      <w:rPr>
        <w:rFonts w:ascii="Courier New" w:hAnsi="Courier New" w:hint="default"/>
      </w:rPr>
    </w:lvl>
    <w:lvl w:ilvl="8" w:tplc="DF72C698" w:tentative="1">
      <w:start w:val="1"/>
      <w:numFmt w:val="bullet"/>
      <w:lvlText w:val=""/>
      <w:lvlJc w:val="left"/>
      <w:pPr>
        <w:tabs>
          <w:tab w:val="num" w:pos="8640"/>
        </w:tabs>
        <w:ind w:left="8640" w:hanging="360"/>
      </w:pPr>
      <w:rPr>
        <w:rFonts w:ascii="Wingdings" w:hAnsi="Wingdings" w:hint="default"/>
      </w:rPr>
    </w:lvl>
  </w:abstractNum>
  <w:abstractNum w:abstractNumId="9">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2">
    <w:nsid w:val="7EB953DE"/>
    <w:multiLevelType w:val="hybridMultilevel"/>
    <w:tmpl w:val="6D18CFDA"/>
    <w:lvl w:ilvl="0" w:tplc="F23EE110">
      <w:start w:val="1"/>
      <w:numFmt w:val="bullet"/>
      <w:lvlText w:val=""/>
      <w:lvlJc w:val="left"/>
      <w:pPr>
        <w:tabs>
          <w:tab w:val="num" w:pos="720"/>
        </w:tabs>
        <w:ind w:left="720" w:hanging="360"/>
      </w:pPr>
      <w:rPr>
        <w:rFonts w:ascii="Symbol" w:hAnsi="Symbol" w:hint="default"/>
      </w:rPr>
    </w:lvl>
    <w:lvl w:ilvl="1" w:tplc="C32E5264" w:tentative="1">
      <w:start w:val="1"/>
      <w:numFmt w:val="bullet"/>
      <w:lvlText w:val="o"/>
      <w:lvlJc w:val="left"/>
      <w:pPr>
        <w:tabs>
          <w:tab w:val="num" w:pos="1440"/>
        </w:tabs>
        <w:ind w:left="1440" w:hanging="360"/>
      </w:pPr>
      <w:rPr>
        <w:rFonts w:ascii="Courier New" w:hAnsi="Courier New" w:hint="default"/>
      </w:rPr>
    </w:lvl>
    <w:lvl w:ilvl="2" w:tplc="1F207116" w:tentative="1">
      <w:start w:val="1"/>
      <w:numFmt w:val="bullet"/>
      <w:lvlText w:val=""/>
      <w:lvlJc w:val="left"/>
      <w:pPr>
        <w:tabs>
          <w:tab w:val="num" w:pos="2160"/>
        </w:tabs>
        <w:ind w:left="2160" w:hanging="360"/>
      </w:pPr>
      <w:rPr>
        <w:rFonts w:ascii="Wingdings" w:hAnsi="Wingdings" w:hint="default"/>
      </w:rPr>
    </w:lvl>
    <w:lvl w:ilvl="3" w:tplc="BCB645AA" w:tentative="1">
      <w:start w:val="1"/>
      <w:numFmt w:val="bullet"/>
      <w:lvlText w:val=""/>
      <w:lvlJc w:val="left"/>
      <w:pPr>
        <w:tabs>
          <w:tab w:val="num" w:pos="2880"/>
        </w:tabs>
        <w:ind w:left="2880" w:hanging="360"/>
      </w:pPr>
      <w:rPr>
        <w:rFonts w:ascii="Symbol" w:hAnsi="Symbol" w:hint="default"/>
      </w:rPr>
    </w:lvl>
    <w:lvl w:ilvl="4" w:tplc="ED4ACA36" w:tentative="1">
      <w:start w:val="1"/>
      <w:numFmt w:val="bullet"/>
      <w:lvlText w:val="o"/>
      <w:lvlJc w:val="left"/>
      <w:pPr>
        <w:tabs>
          <w:tab w:val="num" w:pos="3600"/>
        </w:tabs>
        <w:ind w:left="3600" w:hanging="360"/>
      </w:pPr>
      <w:rPr>
        <w:rFonts w:ascii="Courier New" w:hAnsi="Courier New" w:hint="default"/>
      </w:rPr>
    </w:lvl>
    <w:lvl w:ilvl="5" w:tplc="0F72DE68" w:tentative="1">
      <w:start w:val="1"/>
      <w:numFmt w:val="bullet"/>
      <w:lvlText w:val=""/>
      <w:lvlJc w:val="left"/>
      <w:pPr>
        <w:tabs>
          <w:tab w:val="num" w:pos="4320"/>
        </w:tabs>
        <w:ind w:left="4320" w:hanging="360"/>
      </w:pPr>
      <w:rPr>
        <w:rFonts w:ascii="Wingdings" w:hAnsi="Wingdings" w:hint="default"/>
      </w:rPr>
    </w:lvl>
    <w:lvl w:ilvl="6" w:tplc="E6DAD65E" w:tentative="1">
      <w:start w:val="1"/>
      <w:numFmt w:val="bullet"/>
      <w:lvlText w:val=""/>
      <w:lvlJc w:val="left"/>
      <w:pPr>
        <w:tabs>
          <w:tab w:val="num" w:pos="5040"/>
        </w:tabs>
        <w:ind w:left="5040" w:hanging="360"/>
      </w:pPr>
      <w:rPr>
        <w:rFonts w:ascii="Symbol" w:hAnsi="Symbol" w:hint="default"/>
      </w:rPr>
    </w:lvl>
    <w:lvl w:ilvl="7" w:tplc="8C1801F8" w:tentative="1">
      <w:start w:val="1"/>
      <w:numFmt w:val="bullet"/>
      <w:lvlText w:val="o"/>
      <w:lvlJc w:val="left"/>
      <w:pPr>
        <w:tabs>
          <w:tab w:val="num" w:pos="5760"/>
        </w:tabs>
        <w:ind w:left="5760" w:hanging="360"/>
      </w:pPr>
      <w:rPr>
        <w:rFonts w:ascii="Courier New" w:hAnsi="Courier New" w:hint="default"/>
      </w:rPr>
    </w:lvl>
    <w:lvl w:ilvl="8" w:tplc="EC06519E"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1"/>
  </w:num>
  <w:num w:numId="3">
    <w:abstractNumId w:val="3"/>
  </w:num>
  <w:num w:numId="4">
    <w:abstractNumId w:val="4"/>
  </w:num>
  <w:num w:numId="5">
    <w:abstractNumId w:val="9"/>
  </w:num>
  <w:num w:numId="6">
    <w:abstractNumId w:val="2"/>
  </w:num>
  <w:num w:numId="7">
    <w:abstractNumId w:val="10"/>
  </w:num>
  <w:num w:numId="8">
    <w:abstractNumId w:val="7"/>
  </w:num>
  <w:num w:numId="9">
    <w:abstractNumId w:val="6"/>
  </w:num>
  <w:num w:numId="10">
    <w:abstractNumId w:val="5"/>
  </w:num>
  <w:num w:numId="11">
    <w:abstractNumId w:val="0"/>
  </w:num>
  <w:num w:numId="12">
    <w:abstractNumId w:val="1"/>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stylePaneFormatFilter w:val="3F0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ocation" w:val="0"/>
  </w:docVars>
  <w:rsids>
    <w:rsidRoot w:val="004D3E9F"/>
    <w:rsid w:val="004D3E9F"/>
    <w:rsid w:val="00F3407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776C"/>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9A244C"/>
    <w:pPr>
      <w:keepNext/>
      <w:spacing w:before="240" w:after="240"/>
      <w:ind w:left="720" w:hanging="720"/>
      <w:outlineLvl w:val="0"/>
    </w:pPr>
    <w:rPr>
      <w:b/>
    </w:rPr>
  </w:style>
  <w:style w:type="paragraph" w:styleId="Heading2">
    <w:name w:val="heading 2"/>
    <w:basedOn w:val="Normal"/>
    <w:next w:val="Normal"/>
    <w:qFormat/>
    <w:rsid w:val="009A244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9A244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9A244C"/>
    <w:pPr>
      <w:keepNext/>
      <w:tabs>
        <w:tab w:val="left" w:pos="1800"/>
      </w:tabs>
      <w:spacing w:before="240" w:after="240"/>
      <w:ind w:left="1800" w:hanging="1080"/>
      <w:outlineLvl w:val="3"/>
    </w:pPr>
    <w:rPr>
      <w:b/>
    </w:rPr>
  </w:style>
  <w:style w:type="paragraph" w:styleId="Heading5">
    <w:name w:val="heading 5"/>
    <w:basedOn w:val="Normal"/>
    <w:next w:val="Normal"/>
    <w:qFormat/>
    <w:rsid w:val="009A244C"/>
    <w:pPr>
      <w:keepNext/>
      <w:spacing w:line="480" w:lineRule="auto"/>
      <w:ind w:left="1440" w:right="-90" w:hanging="720"/>
      <w:outlineLvl w:val="4"/>
    </w:pPr>
    <w:rPr>
      <w:b/>
    </w:rPr>
  </w:style>
  <w:style w:type="paragraph" w:styleId="Heading6">
    <w:name w:val="heading 6"/>
    <w:basedOn w:val="Normal"/>
    <w:next w:val="Normal"/>
    <w:qFormat/>
    <w:rsid w:val="009A244C"/>
    <w:pPr>
      <w:keepNext/>
      <w:spacing w:line="480" w:lineRule="auto"/>
      <w:ind w:left="1080" w:right="-90" w:hanging="360"/>
      <w:outlineLvl w:val="5"/>
    </w:pPr>
    <w:rPr>
      <w:b/>
    </w:rPr>
  </w:style>
  <w:style w:type="paragraph" w:styleId="Heading7">
    <w:name w:val="heading 7"/>
    <w:basedOn w:val="Normal"/>
    <w:next w:val="Normal"/>
    <w:qFormat/>
    <w:rsid w:val="009A244C"/>
    <w:pPr>
      <w:keepNext/>
      <w:spacing w:line="480" w:lineRule="auto"/>
      <w:ind w:left="720" w:right="630"/>
      <w:outlineLvl w:val="6"/>
    </w:pPr>
    <w:rPr>
      <w:b/>
    </w:rPr>
  </w:style>
  <w:style w:type="paragraph" w:styleId="Heading8">
    <w:name w:val="heading 8"/>
    <w:basedOn w:val="Normal"/>
    <w:next w:val="Normal"/>
    <w:qFormat/>
    <w:rsid w:val="009A244C"/>
    <w:pPr>
      <w:keepNext/>
      <w:spacing w:line="480" w:lineRule="auto"/>
      <w:ind w:left="720" w:right="-90"/>
      <w:outlineLvl w:val="7"/>
    </w:pPr>
    <w:rPr>
      <w:b/>
    </w:rPr>
  </w:style>
  <w:style w:type="paragraph" w:styleId="Heading9">
    <w:name w:val="heading 9"/>
    <w:basedOn w:val="Normal"/>
    <w:next w:val="Normal"/>
    <w:qFormat/>
    <w:rsid w:val="009A244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rsid w:val="004D3E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equationtext">
    <w:name w:val="equation text"/>
    <w:basedOn w:val="Normal"/>
    <w:rsid w:val="001204CB"/>
    <w:pPr>
      <w:tabs>
        <w:tab w:val="left" w:pos="1800"/>
      </w:tabs>
      <w:spacing w:before="120" w:after="120"/>
      <w:ind w:left="2160" w:hanging="1800"/>
    </w:pPr>
    <w:rPr>
      <w:iCs/>
    </w:rPr>
  </w:style>
  <w:style w:type="paragraph" w:styleId="Title">
    <w:name w:val="Title"/>
    <w:basedOn w:val="Normal"/>
    <w:qFormat/>
    <w:rsid w:val="004D3E9F"/>
    <w:pPr>
      <w:jc w:val="center"/>
    </w:pPr>
    <w:rPr>
      <w:b/>
      <w:sz w:val="24"/>
    </w:rPr>
  </w:style>
  <w:style w:type="paragraph" w:styleId="DocumentMap">
    <w:name w:val="Document Map"/>
    <w:basedOn w:val="Normal"/>
    <w:semiHidden/>
    <w:rsid w:val="009A244C"/>
    <w:pPr>
      <w:shd w:val="clear" w:color="auto" w:fill="000080"/>
    </w:pPr>
    <w:rPr>
      <w:rFonts w:ascii="Tahoma" w:hAnsi="Tahoma" w:cs="Tahoma"/>
      <w:sz w:val="20"/>
    </w:rPr>
  </w:style>
  <w:style w:type="paragraph" w:styleId="Footer">
    <w:name w:val="footer"/>
    <w:basedOn w:val="Normal"/>
    <w:rsid w:val="004D3E9F"/>
    <w:pPr>
      <w:tabs>
        <w:tab w:val="center" w:pos="4320"/>
        <w:tab w:val="right" w:pos="8640"/>
      </w:tabs>
    </w:pPr>
  </w:style>
  <w:style w:type="paragraph" w:customStyle="1" w:styleId="Definition">
    <w:name w:val="Definition"/>
    <w:basedOn w:val="Normal"/>
    <w:rsid w:val="009A244C"/>
    <w:pPr>
      <w:spacing w:before="240" w:after="240"/>
    </w:pPr>
  </w:style>
  <w:style w:type="paragraph" w:customStyle="1" w:styleId="Definitionindent">
    <w:name w:val="Definition indent"/>
    <w:basedOn w:val="Definition"/>
    <w:rsid w:val="009A244C"/>
    <w:pPr>
      <w:spacing w:before="120" w:after="120"/>
      <w:ind w:left="720"/>
    </w:pPr>
  </w:style>
  <w:style w:type="paragraph" w:customStyle="1" w:styleId="Bodypara">
    <w:name w:val="Body para"/>
    <w:basedOn w:val="Normal"/>
    <w:rsid w:val="009A244C"/>
    <w:pPr>
      <w:spacing w:line="480" w:lineRule="auto"/>
      <w:ind w:firstLine="720"/>
    </w:pPr>
  </w:style>
  <w:style w:type="paragraph" w:customStyle="1" w:styleId="alphapara">
    <w:name w:val="alpha para"/>
    <w:basedOn w:val="Bodypara"/>
    <w:rsid w:val="009A244C"/>
    <w:pPr>
      <w:ind w:left="1440" w:hanging="720"/>
    </w:pPr>
  </w:style>
  <w:style w:type="paragraph" w:customStyle="1" w:styleId="TOCheading">
    <w:name w:val="TOC heading"/>
    <w:basedOn w:val="Normal"/>
    <w:rsid w:val="009A244C"/>
    <w:pPr>
      <w:spacing w:before="240" w:after="240"/>
    </w:pPr>
    <w:rPr>
      <w:b/>
    </w:rPr>
  </w:style>
  <w:style w:type="paragraph" w:styleId="BalloonText">
    <w:name w:val="Balloon Text"/>
    <w:basedOn w:val="Normal"/>
    <w:semiHidden/>
    <w:rsid w:val="009A244C"/>
    <w:rPr>
      <w:rFonts w:ascii="Tahoma" w:hAnsi="Tahoma" w:cs="Tahoma"/>
      <w:sz w:val="16"/>
      <w:szCs w:val="16"/>
    </w:rPr>
  </w:style>
  <w:style w:type="paragraph" w:customStyle="1" w:styleId="subhead">
    <w:name w:val="subhead"/>
    <w:basedOn w:val="Heading4"/>
    <w:rsid w:val="009A244C"/>
    <w:pPr>
      <w:tabs>
        <w:tab w:val="clear" w:pos="1800"/>
      </w:tabs>
      <w:ind w:left="720" w:firstLine="0"/>
    </w:pPr>
  </w:style>
  <w:style w:type="paragraph" w:customStyle="1" w:styleId="alphaheading">
    <w:name w:val="alpha heading"/>
    <w:basedOn w:val="Normal"/>
    <w:rsid w:val="009A244C"/>
    <w:pPr>
      <w:keepNext/>
      <w:tabs>
        <w:tab w:val="left" w:pos="1440"/>
      </w:tabs>
      <w:spacing w:before="240" w:after="240"/>
      <w:ind w:left="1440" w:hanging="720"/>
    </w:pPr>
    <w:rPr>
      <w:b/>
      <w:szCs w:val="24"/>
    </w:rPr>
  </w:style>
  <w:style w:type="paragraph" w:customStyle="1" w:styleId="romannumeralpara">
    <w:name w:val="roman numeral para"/>
    <w:basedOn w:val="Normal"/>
    <w:rsid w:val="009A244C"/>
    <w:pPr>
      <w:spacing w:line="480" w:lineRule="auto"/>
      <w:ind w:left="1440" w:hanging="720"/>
    </w:pPr>
  </w:style>
  <w:style w:type="paragraph" w:customStyle="1" w:styleId="Bulletpara">
    <w:name w:val="Bullet para"/>
    <w:basedOn w:val="Normal"/>
    <w:rsid w:val="009A244C"/>
    <w:pPr>
      <w:numPr>
        <w:numId w:val="11"/>
      </w:numPr>
      <w:tabs>
        <w:tab w:val="left" w:pos="900"/>
      </w:tabs>
      <w:spacing w:before="120" w:after="120"/>
    </w:pPr>
    <w:rPr>
      <w:szCs w:val="24"/>
    </w:rPr>
  </w:style>
  <w:style w:type="paragraph" w:styleId="TOC1">
    <w:name w:val="toc 1"/>
    <w:basedOn w:val="Normal"/>
    <w:next w:val="Normal"/>
    <w:semiHidden/>
    <w:rsid w:val="009A244C"/>
  </w:style>
  <w:style w:type="paragraph" w:customStyle="1" w:styleId="Tarifftitle">
    <w:name w:val="Tariff title"/>
    <w:basedOn w:val="Normal"/>
    <w:rsid w:val="009A244C"/>
    <w:rPr>
      <w:b/>
      <w:sz w:val="28"/>
      <w:szCs w:val="28"/>
    </w:rPr>
  </w:style>
  <w:style w:type="paragraph" w:styleId="TOC2">
    <w:name w:val="toc 2"/>
    <w:basedOn w:val="Normal"/>
    <w:next w:val="Normal"/>
    <w:semiHidden/>
    <w:rsid w:val="009A244C"/>
    <w:pPr>
      <w:ind w:left="240"/>
    </w:pPr>
  </w:style>
  <w:style w:type="character" w:styleId="Hyperlink">
    <w:name w:val="Hyperlink"/>
    <w:basedOn w:val="DefaultParagraphFont"/>
    <w:rsid w:val="009A244C"/>
    <w:rPr>
      <w:color w:val="0000FF"/>
      <w:u w:val="single"/>
    </w:rPr>
  </w:style>
  <w:style w:type="paragraph" w:styleId="TOC3">
    <w:name w:val="toc 3"/>
    <w:basedOn w:val="Normal"/>
    <w:next w:val="Normal"/>
    <w:semiHidden/>
    <w:rsid w:val="009A244C"/>
    <w:pPr>
      <w:ind w:left="480"/>
    </w:pPr>
  </w:style>
  <w:style w:type="paragraph" w:styleId="TOC4">
    <w:name w:val="toc 4"/>
    <w:basedOn w:val="Normal"/>
    <w:next w:val="Normal"/>
    <w:semiHidden/>
    <w:rsid w:val="009A244C"/>
    <w:pPr>
      <w:ind w:left="720"/>
    </w:pPr>
  </w:style>
  <w:style w:type="character" w:customStyle="1" w:styleId="Heading3Char">
    <w:name w:val="Heading 3 Char"/>
    <w:basedOn w:val="DefaultParagraphFont"/>
    <w:link w:val="Heading3"/>
    <w:rsid w:val="009A244C"/>
    <w:rPr>
      <w:b/>
      <w:snapToGrid w:val="0"/>
      <w:sz w:val="24"/>
      <w:lang w:val="en-US" w:eastAsia="en-US" w:bidi="ar-SA"/>
    </w:rPr>
  </w:style>
  <w:style w:type="character" w:styleId="FootnoteReference">
    <w:name w:val="footnote reference"/>
    <w:semiHidden/>
    <w:rsid w:val="009A244C"/>
  </w:style>
  <w:style w:type="paragraph" w:customStyle="1" w:styleId="Level1">
    <w:name w:val="Level 1"/>
    <w:basedOn w:val="Normal"/>
    <w:rsid w:val="009A244C"/>
    <w:pPr>
      <w:ind w:left="1890" w:hanging="720"/>
    </w:pPr>
  </w:style>
  <w:style w:type="paragraph" w:styleId="Header">
    <w:name w:val="header"/>
    <w:basedOn w:val="Normal"/>
    <w:rsid w:val="009A244C"/>
    <w:pPr>
      <w:tabs>
        <w:tab w:val="center" w:pos="4680"/>
        <w:tab w:val="right" w:pos="9360"/>
      </w:tabs>
    </w:pPr>
    <w:rPr>
      <w:szCs w:val="24"/>
    </w:rPr>
  </w:style>
  <w:style w:type="paragraph" w:styleId="Date">
    <w:name w:val="Date"/>
    <w:basedOn w:val="Normal"/>
    <w:next w:val="Normal"/>
    <w:rsid w:val="009A244C"/>
  </w:style>
  <w:style w:type="paragraph" w:customStyle="1" w:styleId="Footers">
    <w:name w:val="Footers"/>
    <w:basedOn w:val="Heading1"/>
    <w:rsid w:val="009A244C"/>
    <w:pPr>
      <w:tabs>
        <w:tab w:val="left" w:pos="1440"/>
        <w:tab w:val="left" w:pos="7020"/>
        <w:tab w:val="right" w:pos="9360"/>
      </w:tabs>
    </w:pPr>
    <w:rPr>
      <w:b w:val="0"/>
      <w:sz w:val="20"/>
    </w:rPr>
  </w:style>
  <w:style w:type="paragraph" w:customStyle="1" w:styleId="subheadwH2formatting">
    <w:name w:val="subhead w H2 formatting"/>
    <w:basedOn w:val="Heading2"/>
    <w:rsid w:val="003B5A6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footer" Target="footer3.xml"/><Relationship Id="rId10" Type="http://schemas.openxmlformats.org/officeDocument/2006/relationships/image" Target="media/image4.wmf"/><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1979</Words>
  <Characters>11286</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13239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cp:lastModifiedBy/>
  <cp:revision>1</cp:revision>
  <cp:lastPrinted>2009-06-11T21:02:00Z</cp:lastPrinted>
  <dcterms:created xsi:type="dcterms:W3CDTF">2017-12-13T19:36:00Z</dcterms:created>
  <dcterms:modified xsi:type="dcterms:W3CDTF">2017-12-13T19:36:00Z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