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73" w:rsidRPr="00AA4231" w:rsidRDefault="00DF14A1" w:rsidP="00CC3600">
      <w:pPr>
        <w:pStyle w:val="Heading1"/>
      </w:pPr>
      <w:bookmarkStart w:id="0" w:name="_Toc261187149"/>
      <w:r>
        <w:t>22</w:t>
      </w:r>
      <w:r>
        <w:tab/>
      </w:r>
      <w:r w:rsidRPr="00AA4231">
        <w:t>Attachment G</w:t>
      </w:r>
      <w:r>
        <w:t xml:space="preserve"> - </w:t>
      </w:r>
      <w:r w:rsidRPr="00AA4231">
        <w:t>Emergency Demand Response Program</w:t>
      </w:r>
      <w:bookmarkEnd w:id="0"/>
    </w:p>
    <w:p w:rsidR="00F87B73" w:rsidRPr="00AA4231" w:rsidRDefault="00DF14A1" w:rsidP="00904660">
      <w:pPr>
        <w:pStyle w:val="subheadwH2formatting"/>
      </w:pPr>
      <w:bookmarkStart w:id="1" w:name="_Toc261187150"/>
      <w:r>
        <w:lastRenderedPageBreak/>
        <w:t>22.1</w:t>
      </w:r>
      <w:r w:rsidRPr="00AA4231">
        <w:tab/>
        <w:t>Effective Date</w:t>
      </w:r>
      <w:bookmarkEnd w:id="1"/>
    </w:p>
    <w:p w:rsidR="00F87B73" w:rsidRDefault="00DF14A1" w:rsidP="00CC3600">
      <w:pPr>
        <w:pStyle w:val="Bodypara"/>
      </w:pPr>
      <w:r w:rsidRPr="00AA4231">
        <w:t>The Emergency Demand Response Program shall become effective on May 1, 2001.  At the end of each Capability Period, the ISO will</w:t>
      </w:r>
      <w:r>
        <w:t xml:space="preserve"> review the Emergency Demand Response Program’s performance and will propose appropriate changes as necessary. </w:t>
      </w:r>
    </w:p>
    <w:p w:rsidR="00F87B73" w:rsidRDefault="00DF14A1" w:rsidP="00904660">
      <w:pPr>
        <w:pStyle w:val="subheadwH2formatting"/>
      </w:pPr>
      <w:bookmarkStart w:id="2" w:name="_Toc261187151"/>
      <w:r>
        <w:lastRenderedPageBreak/>
        <w:t>22.2</w:t>
      </w:r>
      <w:r>
        <w:tab/>
        <w:t>Qualification Requirements For Curtailment Services Providers</w:t>
      </w:r>
      <w:bookmarkEnd w:id="2"/>
    </w:p>
    <w:p w:rsidR="00F87B73" w:rsidRDefault="00DF14A1" w:rsidP="00CC3600">
      <w:pPr>
        <w:pStyle w:val="Bodypara"/>
      </w:pPr>
      <w:r>
        <w:t xml:space="preserve">Curtailment Services Providers must be Customers or, in the case of entities </w:t>
      </w:r>
      <w:r>
        <w:t xml:space="preserve">that would become Customers solely for the purpose of participating in the Emergency Demand Response Program, must become Limited Customers.  The requirements for becoming a Limited Customer are set forth in the ISO Procedures. </w:t>
      </w:r>
    </w:p>
    <w:p w:rsidR="000F647D" w:rsidRPr="00D83681" w:rsidRDefault="00DF14A1" w:rsidP="00CC3600">
      <w:pPr>
        <w:pStyle w:val="Bodypara"/>
        <w:rPr>
          <w:strike/>
        </w:rPr>
      </w:pPr>
      <w:r>
        <w:t>Customers and Limited Custo</w:t>
      </w:r>
      <w:r>
        <w:t>mers seeking to become Curtailment Service Providers must: (i) comply with the registration requirements set forth in the ISO Procedures; and (ii) as discussed in ISO procedures, be capable of reducing at least 100 kW of NYCA Load in a single Load Zone wit</w:t>
      </w:r>
      <w:r>
        <w:t>hin two hours of receiving notice of the ISO’s activation of the Emergency Demand Response Program.  The required Load reduction may be accomplished by Curtailing Load and/or by serving Load</w:t>
      </w:r>
      <w:r>
        <w:t xml:space="preserve"> </w:t>
      </w:r>
      <w:r>
        <w:t xml:space="preserve">with a Local Generator. Curtailment Services Providers must also </w:t>
      </w:r>
      <w:r>
        <w:t xml:space="preserve">comply with the metering </w:t>
      </w:r>
      <w:r w:rsidRPr="00D83681">
        <w:t xml:space="preserve">requirements set forth below in Section </w:t>
      </w:r>
      <w:r>
        <w:t>22.8</w:t>
      </w:r>
      <w:r w:rsidRPr="00D83681">
        <w:t xml:space="preserve">, and in the ISO Procedures. </w:t>
      </w:r>
    </w:p>
    <w:p w:rsidR="000F647D" w:rsidRDefault="00DF14A1" w:rsidP="00904660">
      <w:pPr>
        <w:pStyle w:val="subheadwH2formatting"/>
      </w:pPr>
      <w:bookmarkStart w:id="3" w:name="_Toc261187152"/>
      <w:r>
        <w:t>22.3</w:t>
      </w:r>
      <w:r w:rsidRPr="00CC3600">
        <w:tab/>
        <w:t>Relationship Of The Emergency Demand Response Program To Other Demand Side Response Measures</w:t>
      </w:r>
      <w:bookmarkEnd w:id="3"/>
    </w:p>
    <w:p w:rsidR="000F647D" w:rsidRDefault="00DF14A1" w:rsidP="00CC3600">
      <w:pPr>
        <w:pStyle w:val="Bodypara"/>
      </w:pPr>
      <w:r>
        <w:t>The Emergency Demand Response Program is intended to comple</w:t>
      </w:r>
      <w:r>
        <w:t xml:space="preserve">ment other demand-side response programs developed by the ISO, the PSC and LSEs.  Curtailment Service Providers are free to participate in other demand response programs, to the extent that those programs allow, except as noted in Section </w:t>
      </w:r>
      <w:r>
        <w:t>22.5</w:t>
      </w:r>
      <w:r>
        <w:t xml:space="preserve"> below, provi</w:t>
      </w:r>
      <w:r>
        <w:t>ded, however that the NYISO will pay under only one program for each MWh of delivered load reduction. This restriction is not intended to limit payment for installed capacity otherwise available to Curtailment Service Providers.</w:t>
      </w:r>
    </w:p>
    <w:p w:rsidR="000F647D" w:rsidRDefault="00DF14A1" w:rsidP="00904660">
      <w:pPr>
        <w:pStyle w:val="subheadwH2formatting"/>
      </w:pPr>
      <w:bookmarkStart w:id="4" w:name="_Toc261187153"/>
      <w:r>
        <w:t>22.4</w:t>
      </w:r>
      <w:r>
        <w:tab/>
        <w:t>Prohibition On The Dou</w:t>
      </w:r>
      <w:r>
        <w:t>ble Subscription Of Load</w:t>
      </w:r>
      <w:bookmarkEnd w:id="4"/>
      <w:r>
        <w:t xml:space="preserve"> </w:t>
      </w:r>
    </w:p>
    <w:p w:rsidR="000F647D" w:rsidRDefault="00DF14A1" w:rsidP="00CC3600">
      <w:pPr>
        <w:pStyle w:val="Bodypara"/>
        <w:rPr>
          <w:b/>
        </w:rPr>
      </w:pPr>
      <w:r>
        <w:t xml:space="preserve">Curtailment Service Providers may not offer to reduce NYCA Load in the Emergency Demand Response Program that has already been subscribed by another Curtailment Service Provider. </w:t>
      </w:r>
    </w:p>
    <w:p w:rsidR="000F647D" w:rsidRDefault="00DF14A1" w:rsidP="00904660">
      <w:pPr>
        <w:pStyle w:val="subheadwH2formatting"/>
      </w:pPr>
      <w:bookmarkStart w:id="5" w:name="_Toc261187154"/>
      <w:r>
        <w:t>22.5</w:t>
      </w:r>
      <w:r w:rsidRPr="00CC3600">
        <w:tab/>
        <w:t xml:space="preserve">ISO </w:t>
      </w:r>
      <w:r w:rsidRPr="00CC3600">
        <w:t>Activation Of The Emergency Demand Respon</w:t>
      </w:r>
      <w:r w:rsidRPr="00CC3600">
        <w:t>se Program</w:t>
      </w:r>
      <w:bookmarkEnd w:id="5"/>
    </w:p>
    <w:p w:rsidR="000F647D" w:rsidRPr="00A4177B" w:rsidRDefault="00DF14A1" w:rsidP="00CC3600">
      <w:pPr>
        <w:pStyle w:val="Bodypara"/>
      </w:pPr>
      <w:r>
        <w:t>The ISO shall have discretion to activate the Emergency Demand Response Program in response to: (i) a Real-Time Locational or statewide Operating Reserve shortage or an ISO peak forecast of a locational or system-wide Operating Reserve shortage;</w:t>
      </w:r>
      <w:r>
        <w:t xml:space="preserve"> (ii) an ISO declared </w:t>
      </w:r>
      <w:r w:rsidRPr="00A4177B">
        <w:t>Major Emergency State; or (iii) in response to a request for assistance from a Transmission Owner for Load relief purposes or as a result of a Local Reliability Rule.  In the event that the NYISO instructs Special Case Resources to re</w:t>
      </w:r>
      <w:r w:rsidRPr="00A4177B">
        <w:t>duce their consumption of Energy, the ISO may activate the Emergency Demand Response Program.  The ISO may use its discretion to call on the Emergency Demand Response Program to relieve NYCA or Zonal Emergencies and may call on the performance of fewer tha</w:t>
      </w:r>
      <w:r w:rsidRPr="00A4177B">
        <w:t>n all participants in the Emergency Demand Response Program within Load Zone J in accordance with ISO Procedures when responding to the request for assistance from the Transmission Owner.</w:t>
      </w:r>
    </w:p>
    <w:p w:rsidR="000F647D" w:rsidRDefault="00DF14A1" w:rsidP="00904660">
      <w:pPr>
        <w:pStyle w:val="subheadwH2formatting"/>
      </w:pPr>
      <w:bookmarkStart w:id="6" w:name="_Toc261187155"/>
      <w:r>
        <w:t>22.6</w:t>
      </w:r>
      <w:r w:rsidRPr="00CC3600">
        <w:tab/>
        <w:t>Notification Of Curtailment Service Providers</w:t>
      </w:r>
      <w:bookmarkEnd w:id="6"/>
    </w:p>
    <w:p w:rsidR="000F647D" w:rsidRPr="00A4177B" w:rsidRDefault="00DF14A1" w:rsidP="00CC3600">
      <w:pPr>
        <w:pStyle w:val="Bodypara"/>
      </w:pPr>
      <w:r>
        <w:t>The ISO shall att</w:t>
      </w:r>
      <w:r>
        <w:t xml:space="preserve">empt, whenever possible, to provide Curtailment Service Providers with day-ahead notice that it may activate the Emergency Demand Response Program.  Providing day-ahead notice of possible activation does not commit the ISO to activate the Emergency Demand </w:t>
      </w:r>
      <w:r>
        <w:t xml:space="preserve">Response Program or to make payments.  The ISO shall provide Curtailment Service Providers with at least two hours’ notice of its activation of the Emergency Demand Response Program.  The notice shall specify the time at which the ISO requests that demand </w:t>
      </w:r>
      <w:r>
        <w:t xml:space="preserve">reductions begin and shall, whenever possible, specify when the need for demand reductions will end.  The ISO may call Curtailment Services Providers to provide Load reduction as soon as possible in the event of </w:t>
      </w:r>
      <w:r w:rsidRPr="00A4177B">
        <w:t>a Real-Time Locational or statewide Operatin</w:t>
      </w:r>
      <w:r w:rsidRPr="00A4177B">
        <w:t>g Reserve shortage, emergency, or in response to a Transmission Owner request for assistance for Load relief purposes or as a result of a Local Reliability Rule.</w:t>
      </w:r>
    </w:p>
    <w:p w:rsidR="000F647D" w:rsidRPr="00A4177B" w:rsidRDefault="00DF14A1" w:rsidP="00CC3600">
      <w:pPr>
        <w:pStyle w:val="Bodypara"/>
      </w:pPr>
      <w:r w:rsidRPr="00A4177B">
        <w:t>Curtailment Service Providers shall designate a contact person to receive the ISO’s notificati</w:t>
      </w:r>
      <w:r w:rsidRPr="00A4177B">
        <w:t>on</w:t>
      </w:r>
      <w:r w:rsidRPr="00D83681">
        <w:t>.</w:t>
      </w:r>
    </w:p>
    <w:p w:rsidR="000F647D" w:rsidRPr="00D83681" w:rsidRDefault="00DF14A1" w:rsidP="000F647D">
      <w:pPr>
        <w:rPr>
          <w:b/>
        </w:rPr>
      </w:pPr>
    </w:p>
    <w:p w:rsidR="000F647D" w:rsidRPr="00D83681" w:rsidRDefault="00DF14A1" w:rsidP="00904660">
      <w:pPr>
        <w:pStyle w:val="subheadwH2formatting"/>
      </w:pPr>
      <w:bookmarkStart w:id="7" w:name="_Toc261187156"/>
      <w:r>
        <w:t>22.7</w:t>
      </w:r>
      <w:r w:rsidRPr="00D83681">
        <w:t xml:space="preserve"> </w:t>
      </w:r>
      <w:r w:rsidRPr="00D83681">
        <w:tab/>
        <w:t>Voluntariness Of Emergency Demand Response Program</w:t>
      </w:r>
      <w:bookmarkEnd w:id="7"/>
    </w:p>
    <w:p w:rsidR="000F647D" w:rsidRPr="00D83681" w:rsidRDefault="00DF14A1" w:rsidP="00CC3600">
      <w:pPr>
        <w:pStyle w:val="Bodypara"/>
      </w:pPr>
      <w:r w:rsidRPr="00D83681">
        <w:t>Participation in the Emergency Demand Response Program shall be voluntary.  The ISO</w:t>
      </w:r>
      <w:r>
        <w:t xml:space="preserve"> shall not penalize Curtailment Service Providers that decline to take steps to reduce demand when the Emergenc</w:t>
      </w:r>
      <w:r>
        <w:t xml:space="preserve">y Demand Response Program is activated.  Participation in the Emergency Demand Response Program shall not expand or reduce a Local Generator’s rights and obligations </w:t>
      </w:r>
      <w:r w:rsidRPr="00D83681">
        <w:t xml:space="preserve">to buy or sell Energy into the wholesale Energy market.  </w:t>
      </w:r>
      <w:r w:rsidRPr="00D83681">
        <w:rPr>
          <w:rFonts w:cs="FKFHG F+ Times New Roman PSMT"/>
        </w:rPr>
        <w:t xml:space="preserve">Special Case Resources that have </w:t>
      </w:r>
      <w:r w:rsidRPr="00D83681">
        <w:rPr>
          <w:rFonts w:cs="FKFHG F+ Times New Roman PSMT"/>
        </w:rPr>
        <w:t>not sold their capacity for the month shall be temporarily transferred to the Emergency Demand Response Program for such month until such time as their capacity is sold.</w:t>
      </w:r>
    </w:p>
    <w:p w:rsidR="000F647D" w:rsidRPr="00D83681" w:rsidRDefault="00DF14A1" w:rsidP="00904660">
      <w:pPr>
        <w:pStyle w:val="subheadwH2formatting"/>
      </w:pPr>
      <w:bookmarkStart w:id="8" w:name="_Toc261187157"/>
      <w:r>
        <w:t>22.8</w:t>
      </w:r>
      <w:r w:rsidRPr="00D83681">
        <w:tab/>
        <w:t>Metering</w:t>
      </w:r>
      <w:bookmarkEnd w:id="8"/>
      <w:r w:rsidRPr="00D83681">
        <w:t xml:space="preserve">  </w:t>
      </w:r>
    </w:p>
    <w:p w:rsidR="000F647D" w:rsidRDefault="00DF14A1" w:rsidP="00CC3600">
      <w:pPr>
        <w:pStyle w:val="Bodypara"/>
        <w:rPr>
          <w:strike/>
        </w:rPr>
      </w:pPr>
      <w:r>
        <w:t>Curtailment Service Providers shall provide sufficient hourly interval</w:t>
      </w:r>
      <w:r>
        <w:t xml:space="preserve"> metering data, pursuant to ISO procedures, to allow verification of their demand reduction performance. </w:t>
      </w:r>
    </w:p>
    <w:p w:rsidR="000F647D" w:rsidRDefault="00DF14A1" w:rsidP="00904660">
      <w:pPr>
        <w:pStyle w:val="subheadwH2formatting"/>
      </w:pPr>
      <w:bookmarkStart w:id="9" w:name="_Toc261187158"/>
      <w:r>
        <w:t>22.9</w:t>
      </w:r>
      <w:r>
        <w:tab/>
        <w:t>Verification</w:t>
      </w:r>
      <w:bookmarkEnd w:id="9"/>
    </w:p>
    <w:p w:rsidR="000F647D" w:rsidRDefault="00DF14A1" w:rsidP="00CC3600">
      <w:pPr>
        <w:pStyle w:val="Bodypara"/>
      </w:pPr>
      <w:r>
        <w:t xml:space="preserve">Curtailment Service Providers shall verify their demand reduction performance by </w:t>
      </w:r>
      <w:r w:rsidRPr="00D83681">
        <w:t xml:space="preserve">providing interval metering data to the ISO within </w:t>
      </w:r>
      <w:r w:rsidRPr="00D83681">
        <w:t>75 days of their performance in the</w:t>
      </w:r>
      <w:r>
        <w:t xml:space="preserve"> Emergency Demand Response Program.  If a Curtailment Service Provider fails to provide the </w:t>
      </w:r>
      <w:r w:rsidRPr="00D83681">
        <w:t>data within the 75 day period the ISO shall refuse to pay for that Curtailment Service Provider’s</w:t>
      </w:r>
      <w:r>
        <w:t xml:space="preserve"> claimed demand reductions.  All</w:t>
      </w:r>
      <w:r>
        <w:t xml:space="preserve"> load reduction data are subject to audit by the NYISO.  If the ISO determines that it has made an erroneous payment to a Curtailment Service Provider it shall have the right to recover it either by reducing other payments to that Curtailment Service Provi</w:t>
      </w:r>
      <w:r>
        <w:t>der or by any other lawful means.</w:t>
      </w:r>
      <w:r w:rsidRPr="005A0CF6">
        <w:rPr>
          <w:strike/>
        </w:rPr>
        <w:t xml:space="preserve"> </w:t>
      </w:r>
      <w:r>
        <w:t xml:space="preserve"> </w:t>
      </w:r>
    </w:p>
    <w:p w:rsidR="000F647D" w:rsidRDefault="00DF14A1" w:rsidP="00904660">
      <w:pPr>
        <w:pStyle w:val="subheadwH2formatting"/>
      </w:pPr>
      <w:bookmarkStart w:id="10" w:name="_Toc261187159"/>
      <w:r>
        <w:t>22.10</w:t>
      </w:r>
      <w:r>
        <w:tab/>
        <w:t>Payment</w:t>
      </w:r>
      <w:bookmarkEnd w:id="10"/>
    </w:p>
    <w:p w:rsidR="000F647D" w:rsidRPr="00D83681" w:rsidRDefault="00DF14A1" w:rsidP="00CC3600">
      <w:pPr>
        <w:pStyle w:val="Bodypara"/>
      </w:pPr>
      <w:r w:rsidRPr="00D83681">
        <w:t>The ISO shall pay Curtailment Service Providers that cause a verified reduction in demand in response to the activation of the Emergency Demand Response Program provided the Curtailment Service Provider pro</w:t>
      </w:r>
      <w:r w:rsidRPr="00D83681">
        <w:t>vides evidence of such reductions within 75 days of the demand reduction performance.  If the ISO activates the Emergency Demand Response Program, each Curtailment Service Provider that caused a verified reduction in demand shall be paid for demand reduced</w:t>
      </w:r>
      <w:r w:rsidRPr="00D83681">
        <w:t xml:space="preserve"> for the duration of the ISO activation of the Demand Response Program or four hours, whichever is greater.</w:t>
      </w:r>
    </w:p>
    <w:p w:rsidR="000F647D" w:rsidRDefault="00DF14A1" w:rsidP="00CC3600">
      <w:pPr>
        <w:pStyle w:val="Bodypara"/>
      </w:pPr>
      <w:r>
        <w:t xml:space="preserve">If the </w:t>
      </w:r>
      <w:r>
        <w:rPr>
          <w:color w:val="000000"/>
        </w:rPr>
        <w:t>ISO activates the E</w:t>
      </w:r>
      <w:r>
        <w:t>mergency Demand Response Program for more than four hours, each Curtailment Service Provider shall be paid the higher of $</w:t>
      </w:r>
      <w:r>
        <w:t xml:space="preserve">500/MWh, or the zonal Real-Time LBMP per MWh, of demand reduced, starting with the hour specified by the ISO as the starting time of the activation, or, in the event that the ISO specified that the demand reduction begin as soon as possible, starting with </w:t>
      </w:r>
      <w:r>
        <w:t>the hour that the Curtailment Service Provider began its response.</w:t>
      </w:r>
    </w:p>
    <w:p w:rsidR="00F01AEB" w:rsidRDefault="00DF14A1" w:rsidP="00D56F1A">
      <w:pPr>
        <w:pStyle w:val="Bodypara"/>
      </w:pPr>
      <w:r>
        <w:t>If the ISO activates the Emergency Demand Reduction Program for four hours or less, each Curtailment Service Provider shall be paid as if the Emergency Demand Response Program had been acti</w:t>
      </w:r>
      <w:r>
        <w:t>vated for four hours.   Each Curtailment Service Provider that reduces demand shall be paid the higher of $500/MWh or the zonal Real-Time LBMP per MWh, of demand reduced, for the duration of the ISO activation of the Emergency Demand Response Program or tw</w:t>
      </w:r>
      <w:r>
        <w:t>o hours whichever is greater, starting with the hour specified by the ISO as the starting time of the activation, or, in the event that the ISO specified that the demand reduction begin as soon as possible, starting with the hour that the Curtailment Servi</w:t>
      </w:r>
      <w:r>
        <w:t xml:space="preserve">ce Provider began its response.  Each Curtailment Service Provider shall be paid the zonal Real-Time LBMP per MWh of demand reduced for the remainder of the four hour minimum payment period, provided that a verified demand reduction was effectuated by the </w:t>
      </w:r>
      <w:r>
        <w:t>time specified in the ISO’s notice.</w:t>
      </w:r>
    </w:p>
    <w:p w:rsidR="00F01AEB" w:rsidRDefault="00DF14A1" w:rsidP="00904660">
      <w:pPr>
        <w:pStyle w:val="subheadwH2formatting"/>
      </w:pPr>
      <w:bookmarkStart w:id="11" w:name="_Toc261187160"/>
      <w:r>
        <w:t>22.11</w:t>
      </w:r>
      <w:r w:rsidRPr="00CC3600">
        <w:tab/>
        <w:t>Cost Allocation</w:t>
      </w:r>
      <w:bookmarkEnd w:id="11"/>
    </w:p>
    <w:p w:rsidR="00AB62E8" w:rsidRPr="00A4177B" w:rsidRDefault="00DF14A1" w:rsidP="00CC3600">
      <w:pPr>
        <w:pStyle w:val="Bodypara"/>
      </w:pPr>
      <w:r>
        <w:t>In the event that the ISO activates the Emergency Demand Response Program in response to a statewide Emergency, a Real-Time statewide Operating Reserve Shortage or peak forecast of a statewide Operating Reserve shortage, payments made to Curtailment Servic</w:t>
      </w:r>
      <w:r>
        <w:t>e Providers shall be recovered from all Transmission Customers on a statewide basis. The ISO shall calculate, and the Transmission Customer shall pay, the monthly charge equal to the product of (A) payments made to Curtailment Service Providers and (B) the</w:t>
      </w:r>
      <w:r>
        <w:t xml:space="preserve"> ratio of (i) the customer’s billing units for the month to (ii) the sum of all billing units during that month.  Billing units shall be based on the Actual Energy Withdrawals for all Transmission Service to supply Load in the NYCA, and hourly Energy sched</w:t>
      </w:r>
      <w:r>
        <w:t xml:space="preserve">ules for all Wheel Throughs and Exports.  To the extent that the ISO </w:t>
      </w:r>
      <w:r w:rsidRPr="00A4177B">
        <w:t>activates the Emergency Demand Response Program in response to an Emergency or a Real-Time Locational Operating Reserve shortage or a peak forecast of an Operating Reserve shortage in a p</w:t>
      </w:r>
      <w:r w:rsidRPr="00A4177B">
        <w:t>articular zone or zones, including Load relief or to meet a Local Reliability Rule within a Zone as requested by a Transmission Owner, the billing units for such charges will be based on the Actual Energy Withdrawals the affected zone(s) during the hours i</w:t>
      </w:r>
      <w:r w:rsidRPr="00A4177B">
        <w:t xml:space="preserve">n which the Emergency Demand Response Program was activated.  </w:t>
      </w:r>
    </w:p>
    <w:p w:rsidR="00AB62E8" w:rsidRDefault="00DF14A1" w:rsidP="00CC3600">
      <w:pPr>
        <w:pStyle w:val="Bodypara"/>
      </w:pPr>
      <w:r w:rsidRPr="00A4177B">
        <w:t>LSEs shall also be required to pay the monthly charges calculated above for the Transmission Customers which the LSE ser</w:t>
      </w:r>
      <w:r>
        <w:t>ves as retail access customers.</w:t>
      </w:r>
    </w:p>
    <w:sectPr w:rsidR="00AB62E8" w:rsidSect="005A70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02A" w:rsidRDefault="005A702A" w:rsidP="005A702A">
      <w:pPr>
        <w:spacing w:after="0" w:line="240" w:lineRule="auto"/>
      </w:pPr>
      <w:r>
        <w:separator/>
      </w:r>
    </w:p>
  </w:endnote>
  <w:endnote w:type="continuationSeparator" w:id="0">
    <w:p w:rsidR="005A702A" w:rsidRDefault="005A702A" w:rsidP="005A7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KFHG F+ Times New Roman PSMT">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2A" w:rsidRDefault="00DF14A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A702A">
      <w:rPr>
        <w:rFonts w:ascii="Arial" w:eastAsia="Arial" w:hAnsi="Arial" w:cs="Arial"/>
        <w:color w:val="000000"/>
        <w:sz w:val="16"/>
      </w:rPr>
      <w:fldChar w:fldCharType="begin"/>
    </w:r>
    <w:r>
      <w:rPr>
        <w:rFonts w:ascii="Arial" w:eastAsia="Arial" w:hAnsi="Arial" w:cs="Arial"/>
        <w:color w:val="000000"/>
        <w:sz w:val="16"/>
      </w:rPr>
      <w:instrText>PAGE</w:instrText>
    </w:r>
    <w:r w:rsidR="005A702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2A" w:rsidRDefault="00DF14A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A702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A702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2A" w:rsidRDefault="00DF14A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A702A">
      <w:rPr>
        <w:rFonts w:ascii="Arial" w:eastAsia="Arial" w:hAnsi="Arial" w:cs="Arial"/>
        <w:color w:val="000000"/>
        <w:sz w:val="16"/>
      </w:rPr>
      <w:fldChar w:fldCharType="begin"/>
    </w:r>
    <w:r>
      <w:rPr>
        <w:rFonts w:ascii="Arial" w:eastAsia="Arial" w:hAnsi="Arial" w:cs="Arial"/>
        <w:color w:val="000000"/>
        <w:sz w:val="16"/>
      </w:rPr>
      <w:instrText>PAGE</w:instrText>
    </w:r>
    <w:r w:rsidR="005A702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02A" w:rsidRDefault="005A702A" w:rsidP="005A702A">
      <w:pPr>
        <w:spacing w:after="0" w:line="240" w:lineRule="auto"/>
      </w:pPr>
      <w:r>
        <w:separator/>
      </w:r>
    </w:p>
  </w:footnote>
  <w:footnote w:type="continuationSeparator" w:id="0">
    <w:p w:rsidR="005A702A" w:rsidRDefault="005A702A" w:rsidP="005A7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2A" w:rsidRDefault="00DF14A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22 MST Attachment G - Emergency Demand Response Program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2A" w:rsidRDefault="00DF14A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22 MST At</w:t>
    </w:r>
    <w:r>
      <w:rPr>
        <w:rFonts w:ascii="Arial" w:eastAsia="Arial" w:hAnsi="Arial" w:cs="Arial"/>
        <w:color w:val="000000"/>
        <w:sz w:val="16"/>
      </w:rPr>
      <w:t>tachment G - Emergency Demand Response Program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2A" w:rsidRDefault="00DF14A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22 MST Attachment G - Emergency Demand Response Program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91C9B88">
      <w:start w:val="1"/>
      <w:numFmt w:val="bullet"/>
      <w:pStyle w:val="Bulletpara"/>
      <w:lvlText w:val=""/>
      <w:lvlJc w:val="left"/>
      <w:pPr>
        <w:tabs>
          <w:tab w:val="num" w:pos="720"/>
        </w:tabs>
        <w:ind w:left="720" w:hanging="360"/>
      </w:pPr>
      <w:rPr>
        <w:rFonts w:ascii="Symbol" w:hAnsi="Symbol" w:hint="default"/>
      </w:rPr>
    </w:lvl>
    <w:lvl w:ilvl="1" w:tplc="371A3D44" w:tentative="1">
      <w:start w:val="1"/>
      <w:numFmt w:val="bullet"/>
      <w:lvlText w:val="o"/>
      <w:lvlJc w:val="left"/>
      <w:pPr>
        <w:tabs>
          <w:tab w:val="num" w:pos="1440"/>
        </w:tabs>
        <w:ind w:left="1440" w:hanging="360"/>
      </w:pPr>
      <w:rPr>
        <w:rFonts w:ascii="Courier New" w:hAnsi="Courier New" w:cs="Courier New" w:hint="default"/>
      </w:rPr>
    </w:lvl>
    <w:lvl w:ilvl="2" w:tplc="DC72B2B6" w:tentative="1">
      <w:start w:val="1"/>
      <w:numFmt w:val="bullet"/>
      <w:lvlText w:val=""/>
      <w:lvlJc w:val="left"/>
      <w:pPr>
        <w:tabs>
          <w:tab w:val="num" w:pos="2160"/>
        </w:tabs>
        <w:ind w:left="2160" w:hanging="360"/>
      </w:pPr>
      <w:rPr>
        <w:rFonts w:ascii="Wingdings" w:hAnsi="Wingdings" w:hint="default"/>
      </w:rPr>
    </w:lvl>
    <w:lvl w:ilvl="3" w:tplc="82765DB8" w:tentative="1">
      <w:start w:val="1"/>
      <w:numFmt w:val="bullet"/>
      <w:lvlText w:val=""/>
      <w:lvlJc w:val="left"/>
      <w:pPr>
        <w:tabs>
          <w:tab w:val="num" w:pos="2880"/>
        </w:tabs>
        <w:ind w:left="2880" w:hanging="360"/>
      </w:pPr>
      <w:rPr>
        <w:rFonts w:ascii="Symbol" w:hAnsi="Symbol" w:hint="default"/>
      </w:rPr>
    </w:lvl>
    <w:lvl w:ilvl="4" w:tplc="AEAC9DC4" w:tentative="1">
      <w:start w:val="1"/>
      <w:numFmt w:val="bullet"/>
      <w:lvlText w:val="o"/>
      <w:lvlJc w:val="left"/>
      <w:pPr>
        <w:tabs>
          <w:tab w:val="num" w:pos="3600"/>
        </w:tabs>
        <w:ind w:left="3600" w:hanging="360"/>
      </w:pPr>
      <w:rPr>
        <w:rFonts w:ascii="Courier New" w:hAnsi="Courier New" w:cs="Courier New" w:hint="default"/>
      </w:rPr>
    </w:lvl>
    <w:lvl w:ilvl="5" w:tplc="0ED8D2F4" w:tentative="1">
      <w:start w:val="1"/>
      <w:numFmt w:val="bullet"/>
      <w:lvlText w:val=""/>
      <w:lvlJc w:val="left"/>
      <w:pPr>
        <w:tabs>
          <w:tab w:val="num" w:pos="4320"/>
        </w:tabs>
        <w:ind w:left="4320" w:hanging="360"/>
      </w:pPr>
      <w:rPr>
        <w:rFonts w:ascii="Wingdings" w:hAnsi="Wingdings" w:hint="default"/>
      </w:rPr>
    </w:lvl>
    <w:lvl w:ilvl="6" w:tplc="700279CA" w:tentative="1">
      <w:start w:val="1"/>
      <w:numFmt w:val="bullet"/>
      <w:lvlText w:val=""/>
      <w:lvlJc w:val="left"/>
      <w:pPr>
        <w:tabs>
          <w:tab w:val="num" w:pos="5040"/>
        </w:tabs>
        <w:ind w:left="5040" w:hanging="360"/>
      </w:pPr>
      <w:rPr>
        <w:rFonts w:ascii="Symbol" w:hAnsi="Symbol" w:hint="default"/>
      </w:rPr>
    </w:lvl>
    <w:lvl w:ilvl="7" w:tplc="9546435E" w:tentative="1">
      <w:start w:val="1"/>
      <w:numFmt w:val="bullet"/>
      <w:lvlText w:val="o"/>
      <w:lvlJc w:val="left"/>
      <w:pPr>
        <w:tabs>
          <w:tab w:val="num" w:pos="5760"/>
        </w:tabs>
        <w:ind w:left="5760" w:hanging="360"/>
      </w:pPr>
      <w:rPr>
        <w:rFonts w:ascii="Courier New" w:hAnsi="Courier New" w:cs="Courier New" w:hint="default"/>
      </w:rPr>
    </w:lvl>
    <w:lvl w:ilvl="8" w:tplc="C284B868" w:tentative="1">
      <w:start w:val="1"/>
      <w:numFmt w:val="bullet"/>
      <w:lvlText w:val=""/>
      <w:lvlJc w:val="left"/>
      <w:pPr>
        <w:tabs>
          <w:tab w:val="num" w:pos="6480"/>
        </w:tabs>
        <w:ind w:left="6480" w:hanging="360"/>
      </w:pPr>
      <w:rPr>
        <w:rFonts w:ascii="Wingdings" w:hAnsi="Wingdings" w:hint="default"/>
      </w:rPr>
    </w:lvl>
  </w:abstractNum>
  <w:abstractNum w:abstractNumId="1">
    <w:nsid w:val="16AB4184"/>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2A320CE4"/>
    <w:multiLevelType w:val="singleLevel"/>
    <w:tmpl w:val="96026C9E"/>
    <w:lvl w:ilvl="0">
      <w:start w:val="3"/>
      <w:numFmt w:val="upperRoman"/>
      <w:lvlText w:val="%1. "/>
      <w:legacy w:legacy="1" w:legacySpace="0" w:legacyIndent="360"/>
      <w:lvlJc w:val="left"/>
      <w:pPr>
        <w:ind w:left="360" w:hanging="360"/>
      </w:pPr>
      <w:rPr>
        <w:b/>
        <w:i w:val="0"/>
        <w:sz w:val="24"/>
      </w:rPr>
    </w:lvl>
  </w:abstractNum>
  <w:abstractNum w:abstractNumId="3">
    <w:nsid w:val="372A749B"/>
    <w:multiLevelType w:val="hybridMultilevel"/>
    <w:tmpl w:val="EBD879C0"/>
    <w:lvl w:ilvl="0" w:tplc="8E9A2784">
      <w:start w:val="1"/>
      <w:numFmt w:val="lowerRoman"/>
      <w:lvlText w:val="(%1)"/>
      <w:lvlJc w:val="left"/>
      <w:pPr>
        <w:tabs>
          <w:tab w:val="num" w:pos="2448"/>
        </w:tabs>
        <w:ind w:left="2448" w:hanging="648"/>
      </w:pPr>
      <w:rPr>
        <w:rFonts w:hint="default"/>
        <w:b w:val="0"/>
        <w:i w:val="0"/>
        <w:u w:val="none"/>
      </w:rPr>
    </w:lvl>
    <w:lvl w:ilvl="1" w:tplc="3B7A3D74" w:tentative="1">
      <w:start w:val="1"/>
      <w:numFmt w:val="lowerLetter"/>
      <w:lvlText w:val="%2."/>
      <w:lvlJc w:val="left"/>
      <w:pPr>
        <w:tabs>
          <w:tab w:val="num" w:pos="1440"/>
        </w:tabs>
        <w:ind w:left="1440" w:hanging="360"/>
      </w:pPr>
    </w:lvl>
    <w:lvl w:ilvl="2" w:tplc="FDE255A0" w:tentative="1">
      <w:start w:val="1"/>
      <w:numFmt w:val="lowerRoman"/>
      <w:lvlText w:val="%3."/>
      <w:lvlJc w:val="right"/>
      <w:pPr>
        <w:tabs>
          <w:tab w:val="num" w:pos="2160"/>
        </w:tabs>
        <w:ind w:left="2160" w:hanging="180"/>
      </w:pPr>
    </w:lvl>
    <w:lvl w:ilvl="3" w:tplc="638C5D60" w:tentative="1">
      <w:start w:val="1"/>
      <w:numFmt w:val="decimal"/>
      <w:lvlText w:val="%4."/>
      <w:lvlJc w:val="left"/>
      <w:pPr>
        <w:tabs>
          <w:tab w:val="num" w:pos="2880"/>
        </w:tabs>
        <w:ind w:left="2880" w:hanging="360"/>
      </w:pPr>
    </w:lvl>
    <w:lvl w:ilvl="4" w:tplc="A3128A8A" w:tentative="1">
      <w:start w:val="1"/>
      <w:numFmt w:val="lowerLetter"/>
      <w:lvlText w:val="%5."/>
      <w:lvlJc w:val="left"/>
      <w:pPr>
        <w:tabs>
          <w:tab w:val="num" w:pos="3600"/>
        </w:tabs>
        <w:ind w:left="3600" w:hanging="360"/>
      </w:pPr>
    </w:lvl>
    <w:lvl w:ilvl="5" w:tplc="6372A9DA" w:tentative="1">
      <w:start w:val="1"/>
      <w:numFmt w:val="lowerRoman"/>
      <w:lvlText w:val="%6."/>
      <w:lvlJc w:val="right"/>
      <w:pPr>
        <w:tabs>
          <w:tab w:val="num" w:pos="4320"/>
        </w:tabs>
        <w:ind w:left="4320" w:hanging="180"/>
      </w:pPr>
    </w:lvl>
    <w:lvl w:ilvl="6" w:tplc="A170D7A6" w:tentative="1">
      <w:start w:val="1"/>
      <w:numFmt w:val="decimal"/>
      <w:lvlText w:val="%7."/>
      <w:lvlJc w:val="left"/>
      <w:pPr>
        <w:tabs>
          <w:tab w:val="num" w:pos="5040"/>
        </w:tabs>
        <w:ind w:left="5040" w:hanging="360"/>
      </w:pPr>
    </w:lvl>
    <w:lvl w:ilvl="7" w:tplc="AB008E9A" w:tentative="1">
      <w:start w:val="1"/>
      <w:numFmt w:val="lowerLetter"/>
      <w:lvlText w:val="%8."/>
      <w:lvlJc w:val="left"/>
      <w:pPr>
        <w:tabs>
          <w:tab w:val="num" w:pos="5760"/>
        </w:tabs>
        <w:ind w:left="5760" w:hanging="360"/>
      </w:pPr>
    </w:lvl>
    <w:lvl w:ilvl="8" w:tplc="3A74F73A"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386F0E"/>
    <w:multiLevelType w:val="singleLevel"/>
    <w:tmpl w:val="704A6A0C"/>
    <w:lvl w:ilvl="0">
      <w:start w:val="5"/>
      <w:numFmt w:val="upperRoman"/>
      <w:lvlText w:val="%1. "/>
      <w:legacy w:legacy="1" w:legacySpace="0" w:legacyIndent="360"/>
      <w:lvlJc w:val="left"/>
      <w:pPr>
        <w:ind w:left="360" w:hanging="360"/>
      </w:pPr>
      <w:rPr>
        <w:b/>
        <w:i w:val="0"/>
        <w:sz w:val="24"/>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71739E9"/>
    <w:multiLevelType w:val="hybridMultilevel"/>
    <w:tmpl w:val="B29C98A0"/>
    <w:lvl w:ilvl="0" w:tplc="238C245A">
      <w:start w:val="1"/>
      <w:numFmt w:val="bullet"/>
      <w:lvlText w:val=""/>
      <w:lvlJc w:val="left"/>
      <w:pPr>
        <w:tabs>
          <w:tab w:val="num" w:pos="5760"/>
        </w:tabs>
        <w:ind w:left="5760" w:hanging="360"/>
      </w:pPr>
      <w:rPr>
        <w:rFonts w:ascii="Symbol" w:hAnsi="Symbol" w:hint="default"/>
        <w:color w:val="auto"/>
        <w:u w:val="none"/>
      </w:rPr>
    </w:lvl>
    <w:lvl w:ilvl="1" w:tplc="E1F621A0" w:tentative="1">
      <w:start w:val="1"/>
      <w:numFmt w:val="bullet"/>
      <w:lvlText w:val="o"/>
      <w:lvlJc w:val="left"/>
      <w:pPr>
        <w:tabs>
          <w:tab w:val="num" w:pos="3600"/>
        </w:tabs>
        <w:ind w:left="3600" w:hanging="360"/>
      </w:pPr>
      <w:rPr>
        <w:rFonts w:ascii="Courier New" w:hAnsi="Courier New" w:hint="default"/>
      </w:rPr>
    </w:lvl>
    <w:lvl w:ilvl="2" w:tplc="83A49C80" w:tentative="1">
      <w:start w:val="1"/>
      <w:numFmt w:val="bullet"/>
      <w:lvlText w:val=""/>
      <w:lvlJc w:val="left"/>
      <w:pPr>
        <w:tabs>
          <w:tab w:val="num" w:pos="4320"/>
        </w:tabs>
        <w:ind w:left="4320" w:hanging="360"/>
      </w:pPr>
      <w:rPr>
        <w:rFonts w:ascii="Wingdings" w:hAnsi="Wingdings" w:hint="default"/>
      </w:rPr>
    </w:lvl>
    <w:lvl w:ilvl="3" w:tplc="7304FC68">
      <w:start w:val="1"/>
      <w:numFmt w:val="bullet"/>
      <w:lvlText w:val=""/>
      <w:lvlJc w:val="left"/>
      <w:pPr>
        <w:tabs>
          <w:tab w:val="num" w:pos="5040"/>
        </w:tabs>
        <w:ind w:left="5040" w:hanging="360"/>
      </w:pPr>
      <w:rPr>
        <w:rFonts w:ascii="Symbol" w:hAnsi="Symbol" w:hint="default"/>
      </w:rPr>
    </w:lvl>
    <w:lvl w:ilvl="4" w:tplc="EE22158A" w:tentative="1">
      <w:start w:val="1"/>
      <w:numFmt w:val="bullet"/>
      <w:lvlText w:val="o"/>
      <w:lvlJc w:val="left"/>
      <w:pPr>
        <w:tabs>
          <w:tab w:val="num" w:pos="5760"/>
        </w:tabs>
        <w:ind w:left="5760" w:hanging="360"/>
      </w:pPr>
      <w:rPr>
        <w:rFonts w:ascii="Courier New" w:hAnsi="Courier New" w:hint="default"/>
      </w:rPr>
    </w:lvl>
    <w:lvl w:ilvl="5" w:tplc="945AE38C" w:tentative="1">
      <w:start w:val="1"/>
      <w:numFmt w:val="bullet"/>
      <w:lvlText w:val=""/>
      <w:lvlJc w:val="left"/>
      <w:pPr>
        <w:tabs>
          <w:tab w:val="num" w:pos="6480"/>
        </w:tabs>
        <w:ind w:left="6480" w:hanging="360"/>
      </w:pPr>
      <w:rPr>
        <w:rFonts w:ascii="Wingdings" w:hAnsi="Wingdings" w:hint="default"/>
      </w:rPr>
    </w:lvl>
    <w:lvl w:ilvl="6" w:tplc="FD88DD2E" w:tentative="1">
      <w:start w:val="1"/>
      <w:numFmt w:val="bullet"/>
      <w:lvlText w:val=""/>
      <w:lvlJc w:val="left"/>
      <w:pPr>
        <w:tabs>
          <w:tab w:val="num" w:pos="7200"/>
        </w:tabs>
        <w:ind w:left="7200" w:hanging="360"/>
      </w:pPr>
      <w:rPr>
        <w:rFonts w:ascii="Symbol" w:hAnsi="Symbol" w:hint="default"/>
      </w:rPr>
    </w:lvl>
    <w:lvl w:ilvl="7" w:tplc="C0003228" w:tentative="1">
      <w:start w:val="1"/>
      <w:numFmt w:val="bullet"/>
      <w:lvlText w:val="o"/>
      <w:lvlJc w:val="left"/>
      <w:pPr>
        <w:tabs>
          <w:tab w:val="num" w:pos="7920"/>
        </w:tabs>
        <w:ind w:left="7920" w:hanging="360"/>
      </w:pPr>
      <w:rPr>
        <w:rFonts w:ascii="Courier New" w:hAnsi="Courier New" w:hint="default"/>
      </w:rPr>
    </w:lvl>
    <w:lvl w:ilvl="8" w:tplc="ACAE1C16" w:tentative="1">
      <w:start w:val="1"/>
      <w:numFmt w:val="bullet"/>
      <w:lvlText w:val=""/>
      <w:lvlJc w:val="left"/>
      <w:pPr>
        <w:tabs>
          <w:tab w:val="num" w:pos="8640"/>
        </w:tabs>
        <w:ind w:left="8640" w:hanging="360"/>
      </w:pPr>
      <w:rPr>
        <w:rFonts w:ascii="Wingdings" w:hAnsi="Wingdings" w:hint="default"/>
      </w:rPr>
    </w:lvl>
  </w:abstractNum>
  <w:abstractNum w:abstractNumId="1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num>
  <w:num w:numId="2">
    <w:abstractNumId w:val="5"/>
  </w:num>
  <w:num w:numId="3">
    <w:abstractNumId w:val="1"/>
  </w:num>
  <w:num w:numId="4">
    <w:abstractNumId w:val="14"/>
  </w:num>
  <w:num w:numId="5">
    <w:abstractNumId w:val="6"/>
  </w:num>
  <w:num w:numId="6">
    <w:abstractNumId w:val="7"/>
  </w:num>
  <w:num w:numId="7">
    <w:abstractNumId w:val="12"/>
  </w:num>
  <w:num w:numId="8">
    <w:abstractNumId w:val="4"/>
  </w:num>
  <w:num w:numId="9">
    <w:abstractNumId w:val="13"/>
  </w:num>
  <w:num w:numId="10">
    <w:abstractNumId w:val="10"/>
  </w:num>
  <w:num w:numId="11">
    <w:abstractNumId w:val="9"/>
  </w:num>
  <w:num w:numId="12">
    <w:abstractNumId w:val="8"/>
  </w:num>
  <w:num w:numId="13">
    <w:abstractNumId w:val="0"/>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202318"/>
  </w:docVars>
  <w:rsids>
    <w:rsidRoot w:val="005A702A"/>
    <w:rsid w:val="005A702A"/>
    <w:rsid w:val="00DF14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85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7E43EC"/>
    <w:pPr>
      <w:keepNext/>
      <w:pageBreakBefore/>
      <w:spacing w:before="240" w:after="240"/>
      <w:ind w:left="720" w:hanging="720"/>
      <w:outlineLvl w:val="0"/>
    </w:pPr>
    <w:rPr>
      <w:b/>
    </w:rPr>
  </w:style>
  <w:style w:type="paragraph" w:styleId="Heading2">
    <w:name w:val="heading 2"/>
    <w:basedOn w:val="Normal"/>
    <w:next w:val="Normal"/>
    <w:qFormat/>
    <w:rsid w:val="007E43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43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E43EC"/>
    <w:pPr>
      <w:keepNext/>
      <w:tabs>
        <w:tab w:val="left" w:pos="1800"/>
      </w:tabs>
      <w:spacing w:before="240" w:after="240"/>
      <w:ind w:left="1800" w:hanging="1080"/>
      <w:outlineLvl w:val="3"/>
    </w:pPr>
    <w:rPr>
      <w:b/>
    </w:rPr>
  </w:style>
  <w:style w:type="paragraph" w:styleId="Heading5">
    <w:name w:val="heading 5"/>
    <w:basedOn w:val="Normal"/>
    <w:next w:val="Normal"/>
    <w:qFormat/>
    <w:rsid w:val="007E43EC"/>
    <w:pPr>
      <w:keepNext/>
      <w:spacing w:line="480" w:lineRule="auto"/>
      <w:ind w:left="1440" w:right="-90" w:hanging="720"/>
      <w:outlineLvl w:val="4"/>
    </w:pPr>
    <w:rPr>
      <w:b/>
    </w:rPr>
  </w:style>
  <w:style w:type="paragraph" w:styleId="Heading6">
    <w:name w:val="heading 6"/>
    <w:basedOn w:val="Normal"/>
    <w:next w:val="Normal"/>
    <w:qFormat/>
    <w:rsid w:val="007E43EC"/>
    <w:pPr>
      <w:keepNext/>
      <w:spacing w:line="480" w:lineRule="auto"/>
      <w:ind w:left="1080" w:right="-90" w:hanging="360"/>
      <w:outlineLvl w:val="5"/>
    </w:pPr>
    <w:rPr>
      <w:b/>
    </w:rPr>
  </w:style>
  <w:style w:type="paragraph" w:styleId="Heading7">
    <w:name w:val="heading 7"/>
    <w:basedOn w:val="Normal"/>
    <w:next w:val="Normal"/>
    <w:qFormat/>
    <w:rsid w:val="007E43EC"/>
    <w:pPr>
      <w:keepNext/>
      <w:spacing w:line="480" w:lineRule="auto"/>
      <w:ind w:left="720" w:right="630"/>
      <w:outlineLvl w:val="6"/>
    </w:pPr>
    <w:rPr>
      <w:b/>
    </w:rPr>
  </w:style>
  <w:style w:type="paragraph" w:styleId="Heading8">
    <w:name w:val="heading 8"/>
    <w:basedOn w:val="Normal"/>
    <w:next w:val="Normal"/>
    <w:qFormat/>
    <w:rsid w:val="007E43EC"/>
    <w:pPr>
      <w:keepNext/>
      <w:spacing w:line="480" w:lineRule="auto"/>
      <w:ind w:left="720" w:right="-90"/>
      <w:outlineLvl w:val="7"/>
    </w:pPr>
    <w:rPr>
      <w:b/>
    </w:rPr>
  </w:style>
  <w:style w:type="paragraph" w:styleId="Heading9">
    <w:name w:val="heading 9"/>
    <w:basedOn w:val="Normal"/>
    <w:next w:val="Normal"/>
    <w:qFormat/>
    <w:rsid w:val="007E43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43EC"/>
    <w:rPr>
      <w:b/>
      <w:snapToGrid w:val="0"/>
      <w:sz w:val="24"/>
      <w:lang w:val="en-US" w:eastAsia="en-US" w:bidi="ar-SA"/>
    </w:rPr>
  </w:style>
  <w:style w:type="paragraph" w:styleId="Title">
    <w:name w:val="Title"/>
    <w:basedOn w:val="Normal"/>
    <w:qFormat/>
    <w:rsid w:val="005A702A"/>
    <w:pPr>
      <w:jc w:val="center"/>
    </w:pPr>
    <w:rPr>
      <w:b/>
      <w:sz w:val="24"/>
    </w:rPr>
  </w:style>
  <w:style w:type="paragraph" w:styleId="Subtitle">
    <w:name w:val="Subtitle"/>
    <w:basedOn w:val="Normal"/>
    <w:qFormat/>
    <w:rsid w:val="005A702A"/>
    <w:pPr>
      <w:jc w:val="center"/>
    </w:pPr>
    <w:rPr>
      <w:b/>
      <w:sz w:val="24"/>
    </w:rPr>
  </w:style>
  <w:style w:type="paragraph" w:styleId="Header">
    <w:name w:val="header"/>
    <w:basedOn w:val="Normal"/>
    <w:rsid w:val="007E43EC"/>
    <w:pPr>
      <w:tabs>
        <w:tab w:val="center" w:pos="4680"/>
        <w:tab w:val="right" w:pos="9360"/>
      </w:tabs>
    </w:pPr>
    <w:rPr>
      <w:szCs w:val="24"/>
    </w:rPr>
  </w:style>
  <w:style w:type="paragraph" w:styleId="Footer">
    <w:name w:val="footer"/>
    <w:basedOn w:val="Normal"/>
    <w:rsid w:val="005A702A"/>
    <w:pPr>
      <w:tabs>
        <w:tab w:val="center" w:pos="4320"/>
        <w:tab w:val="right" w:pos="8640"/>
      </w:tabs>
    </w:pPr>
  </w:style>
  <w:style w:type="paragraph" w:styleId="FootnoteText">
    <w:name w:val="footnote text"/>
    <w:basedOn w:val="Normal"/>
    <w:semiHidden/>
    <w:rsid w:val="005A702A"/>
  </w:style>
  <w:style w:type="character" w:styleId="FootnoteReference">
    <w:name w:val="footnote reference"/>
    <w:semiHidden/>
    <w:rsid w:val="007E43EC"/>
  </w:style>
  <w:style w:type="character" w:styleId="CommentReference">
    <w:name w:val="annotation reference"/>
    <w:basedOn w:val="DefaultParagraphFont"/>
    <w:semiHidden/>
    <w:rsid w:val="005A702A"/>
    <w:rPr>
      <w:sz w:val="16"/>
    </w:rPr>
  </w:style>
  <w:style w:type="paragraph" w:styleId="CommentText">
    <w:name w:val="annotation text"/>
    <w:basedOn w:val="Normal"/>
    <w:semiHidden/>
    <w:rsid w:val="005A702A"/>
  </w:style>
  <w:style w:type="paragraph" w:customStyle="1" w:styleId="Definition">
    <w:name w:val="Definition"/>
    <w:basedOn w:val="Normal"/>
    <w:rsid w:val="007E43EC"/>
    <w:pPr>
      <w:spacing w:before="240" w:after="240"/>
    </w:pPr>
  </w:style>
  <w:style w:type="paragraph" w:customStyle="1" w:styleId="Definitionindent">
    <w:name w:val="Definition indent"/>
    <w:basedOn w:val="Definition"/>
    <w:rsid w:val="007E43EC"/>
    <w:pPr>
      <w:spacing w:before="120" w:after="120"/>
      <w:ind w:left="720"/>
    </w:pPr>
  </w:style>
  <w:style w:type="paragraph" w:customStyle="1" w:styleId="Bodypara">
    <w:name w:val="Body para"/>
    <w:basedOn w:val="Normal"/>
    <w:rsid w:val="007E43EC"/>
    <w:pPr>
      <w:spacing w:line="480" w:lineRule="auto"/>
      <w:ind w:firstLine="720"/>
    </w:pPr>
  </w:style>
  <w:style w:type="paragraph" w:customStyle="1" w:styleId="alphapara">
    <w:name w:val="alpha para"/>
    <w:basedOn w:val="Bodypara"/>
    <w:rsid w:val="007E43EC"/>
    <w:pPr>
      <w:ind w:left="1440" w:hanging="720"/>
    </w:pPr>
  </w:style>
  <w:style w:type="paragraph" w:customStyle="1" w:styleId="TOCheading">
    <w:name w:val="TOC heading"/>
    <w:basedOn w:val="Normal"/>
    <w:rsid w:val="007E43EC"/>
    <w:pPr>
      <w:spacing w:before="240" w:after="240"/>
    </w:pPr>
    <w:rPr>
      <w:b/>
    </w:rPr>
  </w:style>
  <w:style w:type="paragraph" w:styleId="DocumentMap">
    <w:name w:val="Document Map"/>
    <w:basedOn w:val="Normal"/>
    <w:semiHidden/>
    <w:rsid w:val="007E43EC"/>
    <w:pPr>
      <w:shd w:val="clear" w:color="auto" w:fill="000080"/>
    </w:pPr>
    <w:rPr>
      <w:rFonts w:ascii="Tahoma" w:hAnsi="Tahoma" w:cs="Tahoma"/>
      <w:sz w:val="20"/>
    </w:rPr>
  </w:style>
  <w:style w:type="paragraph" w:styleId="BalloonText">
    <w:name w:val="Balloon Text"/>
    <w:basedOn w:val="Normal"/>
    <w:semiHidden/>
    <w:rsid w:val="007E43EC"/>
    <w:rPr>
      <w:rFonts w:ascii="Tahoma" w:hAnsi="Tahoma" w:cs="Tahoma"/>
      <w:sz w:val="16"/>
      <w:szCs w:val="16"/>
    </w:rPr>
  </w:style>
  <w:style w:type="paragraph" w:customStyle="1" w:styleId="subhead">
    <w:name w:val="subhead"/>
    <w:basedOn w:val="Heading4"/>
    <w:rsid w:val="007E43EC"/>
    <w:pPr>
      <w:tabs>
        <w:tab w:val="clear" w:pos="1800"/>
      </w:tabs>
      <w:ind w:left="720" w:firstLine="0"/>
    </w:pPr>
  </w:style>
  <w:style w:type="paragraph" w:customStyle="1" w:styleId="alphaheading">
    <w:name w:val="alpha heading"/>
    <w:basedOn w:val="Normal"/>
    <w:rsid w:val="007E43EC"/>
    <w:pPr>
      <w:keepNext/>
      <w:tabs>
        <w:tab w:val="left" w:pos="1440"/>
      </w:tabs>
      <w:spacing w:before="240" w:after="240"/>
      <w:ind w:left="1440" w:hanging="720"/>
    </w:pPr>
    <w:rPr>
      <w:b/>
      <w:szCs w:val="24"/>
    </w:rPr>
  </w:style>
  <w:style w:type="paragraph" w:customStyle="1" w:styleId="romannumeralpara">
    <w:name w:val="roman numeral para"/>
    <w:basedOn w:val="Normal"/>
    <w:rsid w:val="007E43EC"/>
    <w:pPr>
      <w:spacing w:line="480" w:lineRule="auto"/>
      <w:ind w:left="1440" w:hanging="720"/>
    </w:pPr>
  </w:style>
  <w:style w:type="paragraph" w:customStyle="1" w:styleId="Bulletpara">
    <w:name w:val="Bullet para"/>
    <w:basedOn w:val="Normal"/>
    <w:rsid w:val="007E43EC"/>
    <w:pPr>
      <w:numPr>
        <w:numId w:val="13"/>
      </w:numPr>
      <w:tabs>
        <w:tab w:val="left" w:pos="900"/>
      </w:tabs>
      <w:spacing w:before="120" w:after="120"/>
    </w:pPr>
    <w:rPr>
      <w:szCs w:val="24"/>
    </w:rPr>
  </w:style>
  <w:style w:type="paragraph" w:styleId="TOC1">
    <w:name w:val="toc 1"/>
    <w:basedOn w:val="Normal"/>
    <w:next w:val="Normal"/>
    <w:semiHidden/>
    <w:rsid w:val="007E43EC"/>
  </w:style>
  <w:style w:type="paragraph" w:customStyle="1" w:styleId="Tarifftitle">
    <w:name w:val="Tariff title"/>
    <w:basedOn w:val="Normal"/>
    <w:rsid w:val="007E43EC"/>
    <w:rPr>
      <w:b/>
      <w:sz w:val="28"/>
      <w:szCs w:val="28"/>
    </w:rPr>
  </w:style>
  <w:style w:type="paragraph" w:styleId="TOC2">
    <w:name w:val="toc 2"/>
    <w:basedOn w:val="Normal"/>
    <w:next w:val="Normal"/>
    <w:semiHidden/>
    <w:rsid w:val="007E43EC"/>
    <w:pPr>
      <w:ind w:left="240"/>
    </w:pPr>
  </w:style>
  <w:style w:type="character" w:styleId="Hyperlink">
    <w:name w:val="Hyperlink"/>
    <w:basedOn w:val="DefaultParagraphFont"/>
    <w:rsid w:val="007E43EC"/>
    <w:rPr>
      <w:color w:val="0000FF"/>
      <w:u w:val="single"/>
    </w:rPr>
  </w:style>
  <w:style w:type="paragraph" w:styleId="TOC3">
    <w:name w:val="toc 3"/>
    <w:basedOn w:val="Normal"/>
    <w:next w:val="Normal"/>
    <w:semiHidden/>
    <w:rsid w:val="007E43EC"/>
    <w:pPr>
      <w:ind w:left="480"/>
    </w:pPr>
  </w:style>
  <w:style w:type="paragraph" w:styleId="TOC4">
    <w:name w:val="toc 4"/>
    <w:basedOn w:val="Normal"/>
    <w:next w:val="Normal"/>
    <w:semiHidden/>
    <w:rsid w:val="007E43EC"/>
    <w:pPr>
      <w:ind w:left="720"/>
    </w:pPr>
  </w:style>
  <w:style w:type="paragraph" w:customStyle="1" w:styleId="Level1">
    <w:name w:val="Level 1"/>
    <w:basedOn w:val="Normal"/>
    <w:rsid w:val="007E43EC"/>
    <w:pPr>
      <w:ind w:left="1890" w:hanging="720"/>
    </w:pPr>
  </w:style>
  <w:style w:type="paragraph" w:styleId="Date">
    <w:name w:val="Date"/>
    <w:basedOn w:val="Normal"/>
    <w:next w:val="Normal"/>
    <w:rsid w:val="007E43EC"/>
  </w:style>
  <w:style w:type="paragraph" w:customStyle="1" w:styleId="Footers">
    <w:name w:val="Footers"/>
    <w:basedOn w:val="Heading1"/>
    <w:rsid w:val="007E43EC"/>
    <w:pPr>
      <w:tabs>
        <w:tab w:val="left" w:pos="1440"/>
        <w:tab w:val="left" w:pos="7020"/>
        <w:tab w:val="right" w:pos="9360"/>
      </w:tabs>
    </w:pPr>
    <w:rPr>
      <w:b w:val="0"/>
      <w:sz w:val="20"/>
    </w:rPr>
  </w:style>
  <w:style w:type="paragraph" w:customStyle="1" w:styleId="subheadwH2formatting">
    <w:name w:val="subhead w H2 formatting"/>
    <w:basedOn w:val="Heading2"/>
    <w:rsid w:val="009046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1407</Words>
  <Characters>8026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22</vt:lpstr>
    </vt:vector>
  </TitlesOfParts>
  <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cp:lastModifiedBy/>
  <cp:revision>1</cp:revision>
  <cp:lastPrinted>2009-06-25T15:02:00Z</cp:lastPrinted>
  <dcterms:created xsi:type="dcterms:W3CDTF">2017-12-13T19:36:00Z</dcterms:created>
  <dcterms:modified xsi:type="dcterms:W3CDTF">2017-12-13T19:36:00Z</dcterms:modified>
</cp:coreProperties>
</file>