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5D" w:rsidRPr="00CB1DC0" w:rsidRDefault="00121CFF" w:rsidP="00A0245D">
      <w:pPr>
        <w:pStyle w:val="Heading1"/>
      </w:pPr>
      <w:bookmarkStart w:id="0" w:name="_Toc261183725"/>
      <w:r>
        <w:t>18</w:t>
      </w:r>
      <w:r>
        <w:tab/>
      </w:r>
      <w:r w:rsidRPr="00CB1DC0">
        <w:t>Attachment C</w:t>
      </w:r>
      <w:r>
        <w:t xml:space="preserve"> -</w:t>
      </w:r>
      <w:r w:rsidRPr="00CB1DC0">
        <w:t>Formulas For Determining Bid Production</w:t>
      </w:r>
      <w:r>
        <w:t xml:space="preserve"> </w:t>
      </w:r>
      <w:r w:rsidRPr="00CB1DC0">
        <w:t>Cost Guarantee</w:t>
      </w:r>
      <w:r w:rsidRPr="00CB1DC0">
        <w:rPr>
          <w:i/>
          <w:iCs/>
        </w:rPr>
        <w:t xml:space="preserve"> </w:t>
      </w:r>
      <w:r w:rsidRPr="00CB1DC0">
        <w:t>Payments</w:t>
      </w:r>
      <w:bookmarkEnd w:id="0"/>
    </w:p>
    <w:p w:rsidR="00A0245D" w:rsidRPr="00CB1DC0" w:rsidRDefault="00121CFF" w:rsidP="00A0245D"/>
    <w:p w:rsidR="00A0245D" w:rsidRPr="00CB1DC0" w:rsidRDefault="00121CFF" w:rsidP="007653B1">
      <w:pPr>
        <w:pStyle w:val="subheadwH2Formatting"/>
      </w:pPr>
      <w:bookmarkStart w:id="1" w:name="_Toc261183726"/>
      <w:r>
        <w:lastRenderedPageBreak/>
        <w:t>18.1</w:t>
      </w:r>
      <w:r w:rsidRPr="00CB1DC0">
        <w:tab/>
        <w:t>Supplemental Payments to Generators and Demand Resources</w:t>
      </w:r>
      <w:bookmarkEnd w:id="1"/>
    </w:p>
    <w:p w:rsidR="00A0245D" w:rsidRDefault="00121CFF" w:rsidP="005346BB">
      <w:pPr>
        <w:pStyle w:val="Bodypara"/>
      </w:pPr>
      <w:r w:rsidRPr="00CB1DC0">
        <w:t>Three supplemental payments for Generators are described in this attachment:  (i) Day-</w:t>
      </w:r>
      <w:r>
        <w:t xml:space="preserve">Ahead Bid Production Cost guarantees; (ii) Real-time Bid Production guarantees for all intervals except maximum generation pickups and large event reserve pickups; and (iii) Real-time Bid Production Cost guarantees for maximum generation pickups and large </w:t>
      </w:r>
      <w:r>
        <w:t xml:space="preserve">event reserve pickups.  Generators shall be eligible for these payments under the circumstances described in Article 4 and Rate Schedule </w:t>
      </w:r>
      <w:r>
        <w:t>15.</w:t>
      </w:r>
      <w:r>
        <w:t>4 of this ISO Services Tariff.</w:t>
      </w:r>
    </w:p>
    <w:p w:rsidR="00A0245D" w:rsidRPr="00CB1DC0" w:rsidRDefault="00121CFF" w:rsidP="005346BB">
      <w:pPr>
        <w:pStyle w:val="Bodypara"/>
      </w:pPr>
      <w:r w:rsidRPr="00CB1DC0">
        <w:t>Demand Side Resources that are committed to provide non-synchronized Operating Reserv</w:t>
      </w:r>
      <w:r w:rsidRPr="00CB1DC0">
        <w:t xml:space="preserve">es shall be treated the same as Generators with respect to the determination of supplemental payments.  Demand Reduction Providers that provide Demand Reductions in the Day-Ahead Market shall be eligible for supplemental payments under Section </w:t>
      </w:r>
      <w:r>
        <w:t>18.2</w:t>
      </w:r>
      <w:r w:rsidRPr="00CB1DC0">
        <w:t>, but no</w:t>
      </w:r>
      <w:r w:rsidRPr="00CB1DC0">
        <w:t xml:space="preserve">t this Section </w:t>
      </w:r>
      <w:r>
        <w:t>18.1</w:t>
      </w:r>
      <w:r w:rsidRPr="00CB1DC0">
        <w:t xml:space="preserve">.  Demand Side Resources committed in the Day-Ahead market to provide synchronized Operating Reserves shall be eligible for supplemental payments under Section </w:t>
      </w:r>
      <w:r>
        <w:t>18.4.1</w:t>
      </w:r>
      <w:r w:rsidRPr="00CB1DC0">
        <w:t>.  Demand Side Resources committed in the real-time market to provide s</w:t>
      </w:r>
      <w:r w:rsidRPr="00CB1DC0">
        <w:t xml:space="preserve">ynchronized Operating Reserves or Regulation Service shall be eligible for supplemental payments under Section </w:t>
      </w:r>
      <w:r>
        <w:t>18.4.2</w:t>
      </w:r>
      <w:r w:rsidRPr="00CB1DC0">
        <w:t>.</w:t>
      </w:r>
    </w:p>
    <w:p w:rsidR="00A0245D" w:rsidRDefault="00121CFF" w:rsidP="005346BB">
      <w:pPr>
        <w:pStyle w:val="Heading3"/>
      </w:pPr>
      <w:bookmarkStart w:id="2" w:name="_Toc261183727"/>
      <w:r>
        <w:t>18.1</w:t>
      </w:r>
      <w:r>
        <w:rPr>
          <w:i/>
          <w:iCs/>
        </w:rPr>
        <w:t>.</w:t>
      </w:r>
      <w:r w:rsidRPr="00D8452D">
        <w:rPr>
          <w:iCs/>
        </w:rPr>
        <w:t>1</w:t>
      </w:r>
      <w:r>
        <w:tab/>
        <w:t>Day-Ahead Bid Production Cost Guarantee Formulas</w:t>
      </w:r>
      <w:bookmarkEnd w:id="2"/>
    </w:p>
    <w:p w:rsidR="00A0245D" w:rsidRDefault="00121CFF" w:rsidP="005346BB">
      <w:pPr>
        <w:pStyle w:val="Bodypara"/>
        <w:rPr>
          <w:i/>
          <w:iCs/>
        </w:rPr>
      </w:pPr>
      <w:r>
        <w:t>Day-Ahead Bid Production Cost Guarantee</w:t>
      </w:r>
      <w:r>
        <w:rPr>
          <w:i/>
          <w:iCs/>
        </w:rPr>
        <w:t xml:space="preserve"> =</w:t>
      </w:r>
    </w:p>
    <w:p w:rsidR="00A0245D" w:rsidRDefault="00121CFF" w:rsidP="00A0245D">
      <w:pPr>
        <w:pStyle w:val="WPDefaults"/>
        <w:tabs>
          <w:tab w:val="right" w:pos="9360"/>
        </w:tabs>
      </w:pPr>
    </w:p>
    <w:p w:rsidR="00A0245D" w:rsidRDefault="009E0E9F"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
          <w:iCs/>
          <w:color w:val="000000"/>
        </w:rPr>
      </w:pPr>
      <w:r w:rsidRPr="009E0E9F">
        <w:rPr>
          <w:color w:val="000000"/>
          <w:position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78pt">
            <v:imagedata r:id="rId7" o:title=""/>
          </v:shape>
        </w:pict>
      </w:r>
      <w:r w:rsidRPr="009E0E9F">
        <w:rPr>
          <w:color w:val="000000"/>
          <w:position w:val="-10"/>
        </w:rPr>
        <w:pict>
          <v:shape id="_x0000_i1026" type="#_x0000_t75" style="width:9pt;height:17.25pt">
            <v:imagedata r:id="rId8" o:title=""/>
          </v:shape>
        </w:pict>
      </w:r>
    </w:p>
    <w:p w:rsidR="00A0245D" w:rsidRDefault="00121CFF" w:rsidP="00A0245D">
      <w:pPr>
        <w:pStyle w:val="WPDefaults"/>
        <w:tabs>
          <w:tab w:val="right" w:pos="9360"/>
        </w:tabs>
      </w:pPr>
    </w:p>
    <w:p w:rsidR="00A0245D" w:rsidRDefault="00121CFF" w:rsidP="005346BB">
      <w:pPr>
        <w:pStyle w:val="Bodypara"/>
      </w:pPr>
      <w:r>
        <w:t>Where:</w:t>
      </w:r>
    </w:p>
    <w:p w:rsidR="00A0245D" w:rsidRDefault="00121CFF" w:rsidP="00A0245D">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lastRenderedPageBreak/>
        <w:t>G</w:t>
      </w:r>
      <w:r>
        <w:tab/>
      </w:r>
      <w:r>
        <w:tab/>
        <w:t>=</w:t>
      </w:r>
      <w:r>
        <w:tab/>
        <w:t>set of Generators;</w:t>
      </w:r>
    </w:p>
    <w:p w:rsidR="00A0245D" w:rsidRDefault="00121CFF" w:rsidP="00A0245D">
      <w:pPr>
        <w:spacing w:line="240" w:lineRule="atLeast"/>
        <w:rPr>
          <w:color w:val="000000"/>
        </w:rPr>
      </w:pPr>
    </w:p>
    <w:p w:rsidR="00A0245D" w:rsidRDefault="00121CFF" w:rsidP="00A0245D">
      <w:pPr>
        <w:tabs>
          <w:tab w:val="left" w:pos="720"/>
          <w:tab w:val="left" w:pos="1440"/>
        </w:tabs>
        <w:spacing w:line="240" w:lineRule="atLeast"/>
        <w:ind w:left="2160" w:hanging="2160"/>
        <w:rPr>
          <w:color w:val="000000"/>
        </w:rPr>
      </w:pPr>
      <w:r>
        <w:rPr>
          <w:color w:val="000000"/>
        </w:rPr>
        <w:t>EH</w:t>
      </w:r>
      <w:r>
        <w:rPr>
          <w:color w:val="000000"/>
          <w:vertAlign w:val="subscript"/>
        </w:rPr>
        <w:t>gh</w:t>
      </w:r>
      <w:r>
        <w:rPr>
          <w:color w:val="000000"/>
          <w:vertAlign w:val="superscript"/>
        </w:rPr>
        <w:t>DA</w:t>
      </w:r>
      <w:r>
        <w:rPr>
          <w:color w:val="000000"/>
        </w:rPr>
        <w:tab/>
      </w:r>
      <w:r>
        <w:rPr>
          <w:color w:val="000000"/>
        </w:rPr>
        <w:tab/>
        <w:t>=</w:t>
      </w:r>
      <w:r>
        <w:rPr>
          <w:color w:val="000000"/>
        </w:rPr>
        <w:tab/>
        <w:t>Energy scheduled Day-Ahead to be produced by Generator g in hour h expressed in terms of MW;</w:t>
      </w:r>
    </w:p>
    <w:p w:rsidR="00A0245D" w:rsidRDefault="00121CFF" w:rsidP="00A0245D">
      <w:pPr>
        <w:tabs>
          <w:tab w:val="left" w:pos="720"/>
          <w:tab w:val="left" w:pos="1440"/>
        </w:tabs>
        <w:spacing w:line="240" w:lineRule="atLeast"/>
        <w:ind w:left="2160" w:hanging="2160"/>
        <w:rPr>
          <w:color w:val="000000"/>
        </w:rPr>
      </w:pPr>
    </w:p>
    <w:p w:rsidR="00A0245D" w:rsidRDefault="00121CFF" w:rsidP="00A0245D">
      <w:pPr>
        <w:tabs>
          <w:tab w:val="left" w:pos="1440"/>
        </w:tabs>
        <w:spacing w:line="240" w:lineRule="atLeast"/>
        <w:ind w:left="2160" w:hanging="2160"/>
        <w:rPr>
          <w:color w:val="000000"/>
        </w:rPr>
      </w:pPr>
      <w:r>
        <w:rPr>
          <w:color w:val="000000"/>
        </w:rPr>
        <w:t>MGH</w:t>
      </w:r>
      <w:r>
        <w:rPr>
          <w:color w:val="000000"/>
          <w:vertAlign w:val="subscript"/>
        </w:rPr>
        <w:t>gh</w:t>
      </w:r>
      <w:r>
        <w:rPr>
          <w:color w:val="000000"/>
          <w:vertAlign w:val="superscript"/>
        </w:rPr>
        <w:t>DA</w:t>
      </w:r>
      <w:r>
        <w:rPr>
          <w:color w:val="000000"/>
        </w:rPr>
        <w:tab/>
        <w:t>=</w:t>
      </w:r>
      <w:r>
        <w:rPr>
          <w:color w:val="000000"/>
        </w:rPr>
        <w:tab/>
        <w:t>Energy scheduled Day-Ahead to be produced by the</w:t>
      </w:r>
      <w:r>
        <w:rPr>
          <w:i/>
          <w:iCs/>
          <w:color w:val="000000"/>
        </w:rPr>
        <w:t xml:space="preserve"> </w:t>
      </w:r>
      <w:r>
        <w:rPr>
          <w:color w:val="000000"/>
        </w:rPr>
        <w:t>minimum generation segment of Generator g in hour h expressed in terms of MW;</w:t>
      </w:r>
    </w:p>
    <w:p w:rsidR="00A0245D" w:rsidRDefault="00121CFF" w:rsidP="00A0245D">
      <w:pPr>
        <w:tabs>
          <w:tab w:val="left" w:pos="1440"/>
        </w:tabs>
        <w:spacing w:line="240" w:lineRule="atLeast"/>
        <w:ind w:left="2160" w:hanging="2160"/>
        <w:rPr>
          <w:color w:val="000000"/>
        </w:rPr>
      </w:pPr>
    </w:p>
    <w:p w:rsidR="00A0245D" w:rsidRDefault="00121CFF"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r>
        <w:rPr>
          <w:color w:val="000000"/>
        </w:rPr>
        <w:t>C</w:t>
      </w:r>
      <w:r>
        <w:rPr>
          <w:color w:val="000000"/>
          <w:vertAlign w:val="subscript"/>
        </w:rPr>
        <w:t>gh</w:t>
      </w:r>
      <w:r>
        <w:rPr>
          <w:color w:val="000000"/>
          <w:vertAlign w:val="superscript"/>
        </w:rPr>
        <w:t>DA</w:t>
      </w:r>
      <w:r>
        <w:rPr>
          <w:color w:val="000000"/>
        </w:rPr>
        <w:tab/>
      </w:r>
      <w:r>
        <w:rPr>
          <w:color w:val="000000"/>
        </w:rPr>
        <w:tab/>
        <w:t>=</w:t>
      </w:r>
      <w:r>
        <w:rPr>
          <w:color w:val="000000"/>
        </w:rPr>
        <w:tab/>
        <w:t>Bid cos</w:t>
      </w:r>
      <w:r>
        <w:rPr>
          <w:color w:val="000000"/>
        </w:rPr>
        <w:t>t submitted by Generator g, or when applicable the mitigated</w:t>
      </w:r>
      <w:r>
        <w:rPr>
          <w:i/>
          <w:iCs/>
          <w:color w:val="000000"/>
        </w:rPr>
        <w:t xml:space="preserve"> </w:t>
      </w:r>
      <w:r>
        <w:rPr>
          <w:color w:val="000000"/>
        </w:rPr>
        <w:t>Bid cost curve for</w:t>
      </w:r>
      <w:r>
        <w:rPr>
          <w:i/>
          <w:iCs/>
          <w:color w:val="000000"/>
        </w:rPr>
        <w:t xml:space="preserve"> </w:t>
      </w:r>
      <w:r>
        <w:rPr>
          <w:color w:val="000000"/>
        </w:rPr>
        <w:t>Generator g</w:t>
      </w:r>
      <w:r>
        <w:rPr>
          <w:i/>
          <w:iCs/>
          <w:color w:val="000000"/>
        </w:rPr>
        <w:t>,</w:t>
      </w:r>
      <w:r>
        <w:rPr>
          <w:color w:val="000000"/>
        </w:rPr>
        <w:t xml:space="preserve"> in the Day-Ahead Market for hour h expressed in terms of $/MWh;</w:t>
      </w:r>
    </w:p>
    <w:p w:rsidR="00A0245D" w:rsidRDefault="00121CFF"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p>
    <w:p w:rsidR="00A0245D" w:rsidRDefault="00121CFF" w:rsidP="00A0245D">
      <w:pPr>
        <w:tabs>
          <w:tab w:val="left" w:pos="1440"/>
        </w:tabs>
        <w:spacing w:line="240" w:lineRule="atLeast"/>
        <w:ind w:left="2160" w:hanging="2160"/>
        <w:rPr>
          <w:color w:val="000000"/>
        </w:rPr>
      </w:pPr>
      <w:r>
        <w:rPr>
          <w:color w:val="000000"/>
        </w:rPr>
        <w:t>MGC</w:t>
      </w:r>
      <w:r>
        <w:rPr>
          <w:color w:val="000000"/>
          <w:vertAlign w:val="subscript"/>
        </w:rPr>
        <w:t>gh</w:t>
      </w:r>
      <w:r>
        <w:rPr>
          <w:color w:val="000000"/>
          <w:vertAlign w:val="superscript"/>
        </w:rPr>
        <w:t>DA</w:t>
      </w:r>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g</w:t>
      </w:r>
      <w:r>
        <w:rPr>
          <w:i/>
          <w:iCs/>
          <w:color w:val="000000"/>
        </w:rPr>
        <w:t xml:space="preserve">, </w:t>
      </w:r>
      <w:r>
        <w:rPr>
          <w:color w:val="000000"/>
        </w:rPr>
        <w:t>for hour h in the Day-Ahead Market, expressed in terms of $/MW;</w:t>
      </w:r>
    </w:p>
    <w:p w:rsidR="00A0245D" w:rsidRDefault="00121CFF" w:rsidP="00A0245D">
      <w:pPr>
        <w:tabs>
          <w:tab w:val="left" w:pos="1440"/>
        </w:tabs>
        <w:spacing w:line="240" w:lineRule="atLeast"/>
        <w:ind w:left="2160" w:hanging="2160"/>
        <w:rPr>
          <w:color w:val="000000"/>
        </w:rPr>
      </w:pPr>
    </w:p>
    <w:p w:rsidR="00A0245D" w:rsidRDefault="00121CFF" w:rsidP="00A0245D">
      <w:pPr>
        <w:tabs>
          <w:tab w:val="left" w:pos="720"/>
          <w:tab w:val="left" w:pos="1440"/>
          <w:tab w:val="left" w:pos="2160"/>
          <w:tab w:val="left" w:pos="2880"/>
        </w:tabs>
        <w:spacing w:line="240" w:lineRule="atLeast"/>
        <w:ind w:left="2160" w:hanging="2160"/>
        <w:rPr>
          <w:color w:val="000000"/>
        </w:rPr>
      </w:pPr>
      <w:r>
        <w:rPr>
          <w:color w:val="000000"/>
        </w:rPr>
        <w:t>SUC</w:t>
      </w:r>
      <w:r>
        <w:rPr>
          <w:color w:val="000000"/>
          <w:vertAlign w:val="subscript"/>
        </w:rPr>
        <w:t>gh</w:t>
      </w:r>
      <w:r>
        <w:rPr>
          <w:color w:val="000000"/>
          <w:vertAlign w:val="superscript"/>
        </w:rPr>
        <w:t>DA</w:t>
      </w:r>
      <w:r>
        <w:rPr>
          <w:color w:val="000000"/>
        </w:rPr>
        <w:tab/>
        <w:t>=</w:t>
      </w:r>
      <w:r>
        <w:rPr>
          <w:color w:val="000000"/>
        </w:rPr>
        <w:tab/>
        <w:t>Start-Up Bid by Generator g</w:t>
      </w:r>
      <w:r>
        <w:rPr>
          <w:i/>
          <w:iCs/>
          <w:color w:val="000000"/>
        </w:rPr>
        <w:t xml:space="preserve">, </w:t>
      </w:r>
      <w:r>
        <w:rPr>
          <w:color w:val="000000"/>
        </w:rPr>
        <w:t>or when applicable the mitigated Start-Up Bid for Generator g</w:t>
      </w:r>
      <w:r>
        <w:rPr>
          <w:i/>
          <w:iCs/>
          <w:color w:val="000000"/>
        </w:rPr>
        <w:t>,</w:t>
      </w:r>
      <w:r>
        <w:rPr>
          <w:color w:val="000000"/>
        </w:rPr>
        <w:t xml:space="preserve"> in hour h into </w:t>
      </w:r>
      <w:r>
        <w:rPr>
          <w:color w:val="000000"/>
        </w:rPr>
        <w:t>the</w:t>
      </w:r>
      <w:r>
        <w:rPr>
          <w:i/>
          <w:iCs/>
          <w:color w:val="000000"/>
        </w:rPr>
        <w:t xml:space="preserve"> </w:t>
      </w:r>
      <w:r>
        <w:rPr>
          <w:color w:val="000000"/>
        </w:rPr>
        <w:t>Day-Ahead Market</w:t>
      </w:r>
      <w:r>
        <w:rPr>
          <w:i/>
          <w:iCs/>
          <w:color w:val="000000"/>
        </w:rPr>
        <w:t xml:space="preserve"> </w:t>
      </w:r>
      <w:r>
        <w:rPr>
          <w:color w:val="000000"/>
        </w:rPr>
        <w:t>expressed in terms of $/start;</w:t>
      </w:r>
    </w:p>
    <w:p w:rsidR="00A0245D" w:rsidRDefault="00121CFF" w:rsidP="00A0245D">
      <w:pPr>
        <w:tabs>
          <w:tab w:val="left" w:pos="720"/>
          <w:tab w:val="left" w:pos="1440"/>
          <w:tab w:val="left" w:pos="2160"/>
          <w:tab w:val="left" w:pos="2880"/>
        </w:tabs>
        <w:spacing w:line="240" w:lineRule="atLeast"/>
        <w:ind w:left="2160" w:hanging="2160"/>
        <w:rPr>
          <w:color w:val="000000"/>
        </w:rPr>
      </w:pPr>
    </w:p>
    <w:p w:rsidR="00A0245D" w:rsidRDefault="00121CFF" w:rsidP="00A0245D">
      <w:pPr>
        <w:spacing w:line="240" w:lineRule="atLeast"/>
        <w:rPr>
          <w:color w:val="000000"/>
        </w:rPr>
      </w:pPr>
      <w:r>
        <w:rPr>
          <w:color w:val="000000"/>
        </w:rPr>
        <w:t>NSUH</w:t>
      </w:r>
      <w:r>
        <w:rPr>
          <w:color w:val="000000"/>
          <w:vertAlign w:val="subscript"/>
        </w:rPr>
        <w:t>gh</w:t>
      </w:r>
      <w:r>
        <w:rPr>
          <w:color w:val="000000"/>
          <w:vertAlign w:val="superscript"/>
        </w:rPr>
        <w:t>DA</w:t>
      </w:r>
      <w:r>
        <w:rPr>
          <w:color w:val="000000"/>
        </w:rPr>
        <w:tab/>
        <w:t>=</w:t>
      </w:r>
      <w:r>
        <w:rPr>
          <w:color w:val="000000"/>
        </w:rPr>
        <w:tab/>
        <w:t>number of times Generator g is scheduled Day-Ahead to start up in hour h;</w:t>
      </w:r>
    </w:p>
    <w:p w:rsidR="00A0245D" w:rsidRDefault="00121CFF" w:rsidP="00A0245D">
      <w:pPr>
        <w:spacing w:line="240" w:lineRule="atLeast"/>
        <w:rPr>
          <w:color w:val="000000"/>
        </w:rPr>
      </w:pPr>
    </w:p>
    <w:p w:rsidR="00A0245D" w:rsidRDefault="00121CFF" w:rsidP="00A0245D">
      <w:pPr>
        <w:spacing w:line="240" w:lineRule="atLeast"/>
        <w:rPr>
          <w:color w:val="000000"/>
        </w:rPr>
      </w:pPr>
      <w:r>
        <w:rPr>
          <w:color w:val="000000"/>
        </w:rPr>
        <w:t>LBMP</w:t>
      </w:r>
      <w:r>
        <w:rPr>
          <w:color w:val="000000"/>
          <w:vertAlign w:val="subscript"/>
        </w:rPr>
        <w:t>gh</w:t>
      </w:r>
      <w:r>
        <w:rPr>
          <w:color w:val="000000"/>
          <w:vertAlign w:val="superscript"/>
        </w:rPr>
        <w:t>DA</w:t>
      </w:r>
      <w:r>
        <w:rPr>
          <w:color w:val="000000"/>
        </w:rPr>
        <w:tab/>
        <w:t>=</w:t>
      </w:r>
      <w:r>
        <w:rPr>
          <w:color w:val="000000"/>
        </w:rPr>
        <w:tab/>
        <w:t>Day-Ahead LBMP at Generator g’s bus in hour h expressed in $/MWh;</w:t>
      </w:r>
    </w:p>
    <w:p w:rsidR="00A0245D" w:rsidRDefault="00121CFF" w:rsidP="00A0245D">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p>
    <w:p w:rsidR="00330245" w:rsidRPr="00463644" w:rsidRDefault="00121CFF" w:rsidP="00330245">
      <w:pPr>
        <w:tabs>
          <w:tab w:val="left" w:pos="1440"/>
        </w:tabs>
        <w:spacing w:line="240" w:lineRule="atLeast"/>
        <w:ind w:left="2160" w:hanging="2160"/>
      </w:pPr>
      <w:r w:rsidRPr="00463644">
        <w:t>NASR</w:t>
      </w:r>
      <w:r w:rsidRPr="00463644">
        <w:rPr>
          <w:vertAlign w:val="subscript"/>
        </w:rPr>
        <w:t>gh</w:t>
      </w:r>
      <w:r w:rsidRPr="00463644">
        <w:rPr>
          <w:vertAlign w:val="superscript"/>
        </w:rPr>
        <w:t>DA</w:t>
      </w:r>
      <w:r w:rsidRPr="00463644">
        <w:tab/>
        <w:t>=</w:t>
      </w:r>
      <w:r w:rsidRPr="00463644">
        <w:tab/>
        <w:t xml:space="preserve">Net Ancillary Services </w:t>
      </w:r>
      <w:r w:rsidRPr="00463644">
        <w:t>revenue</w:t>
      </w:r>
      <w:r w:rsidRPr="00463644">
        <w:rPr>
          <w:i/>
          <w:iCs/>
        </w:rPr>
        <w:t xml:space="preserve">, </w:t>
      </w:r>
      <w:r w:rsidRPr="00463644">
        <w:t>expressed in terms of $</w:t>
      </w:r>
      <w:r w:rsidRPr="00463644">
        <w:rPr>
          <w:i/>
          <w:iCs/>
        </w:rPr>
        <w:t>,</w:t>
      </w:r>
      <w:r w:rsidRPr="00463644">
        <w:t xml:space="preserve"> paid to Generator g as a result of having been committed to produce Energy for the LBMP Market and/or Ancillary Services Day- Ahead to operate in hour h is computed by summing the following:  (1) Voltage Support Service pa</w:t>
      </w:r>
      <w:r w:rsidRPr="00463644">
        <w:t>yments received by that Generator for that hour, if it is not a Supplier of Installed Capacity and has been scheduled to operate in that hour; (2) Regulation Service payments made to that Generator for all Regulation Service</w:t>
      </w:r>
      <w:r w:rsidRPr="00463644">
        <w:rPr>
          <w:i/>
          <w:iCs/>
        </w:rPr>
        <w:t xml:space="preserve"> </w:t>
      </w:r>
      <w:r w:rsidRPr="00463644">
        <w:t>it is scheduled Day-Ahead to pr</w:t>
      </w:r>
      <w:r w:rsidRPr="00463644">
        <w:t>ovide in that hour, less that Generator’s Day-Ahead Bid to provide that amount of Regulation Service in that hour (unless the Bid exceeds the payments that Generator receives for providing Regulation Service that was committed to produce Energy for the LBM</w:t>
      </w:r>
      <w:r w:rsidRPr="00463644">
        <w:t>P Market and/or Ancillary Services Day-Ahead, in which case this component shall be zero); and (3) payments made to that Generator for providing Spinning Reserve and synchronized 30-Minute Reserve</w:t>
      </w:r>
      <w:r w:rsidRPr="00463644">
        <w:rPr>
          <w:i/>
          <w:iCs/>
        </w:rPr>
        <w:t xml:space="preserve"> </w:t>
      </w:r>
      <w:r w:rsidRPr="00463644">
        <w:t>in that hour if it is committed Day-Ahead to provide such r</w:t>
      </w:r>
      <w:r w:rsidRPr="00463644">
        <w:t>eserves in that hour, less that Generator’s Day-Ahead Bid to provide Spinning Reserve and synchronized 30-Minute Reserve</w:t>
      </w:r>
      <w:r w:rsidRPr="00463644">
        <w:rPr>
          <w:i/>
          <w:iCs/>
        </w:rPr>
        <w:t xml:space="preserve"> </w:t>
      </w:r>
      <w:r w:rsidRPr="00463644">
        <w:t>in that hour.</w:t>
      </w:r>
    </w:p>
    <w:p w:rsidR="00330245" w:rsidRDefault="00121CFF" w:rsidP="005346BB">
      <w:pPr>
        <w:pStyle w:val="Heading3"/>
        <w:rPr>
          <w:i/>
          <w:iCs/>
          <w:color w:val="000000"/>
        </w:rPr>
      </w:pPr>
      <w:bookmarkStart w:id="3" w:name="_Toc261183728"/>
      <w:r>
        <w:t>18.1.2</w:t>
      </w:r>
      <w:r w:rsidRPr="00463644">
        <w:rPr>
          <w:color w:val="000000"/>
        </w:rPr>
        <w:tab/>
        <w:t>Real-Time Bid Production Guarantee Formulas for All Imports and Real-Time Bid Production Guarantee Formulas for Al</w:t>
      </w:r>
      <w:r w:rsidRPr="00463644">
        <w:rPr>
          <w:color w:val="000000"/>
        </w:rPr>
        <w:t>l Intervals With No Maximum Generation Pickups or Large Event Reserve Pickups for All Other Generators</w:t>
      </w:r>
      <w:bookmarkEnd w:id="3"/>
    </w:p>
    <w:p w:rsidR="00330245" w:rsidRDefault="00121CFF" w:rsidP="005346BB">
      <w:pPr>
        <w:pStyle w:val="Bodypara"/>
        <w:rPr>
          <w:i/>
          <w:iCs/>
        </w:rPr>
      </w:pPr>
      <w:r>
        <w:t>Real-Time Bid Production Cost Guarantee</w:t>
      </w:r>
      <w:r>
        <w:rPr>
          <w:i/>
          <w:iCs/>
        </w:rPr>
        <w:t xml:space="preserve"> =</w:t>
      </w:r>
    </w:p>
    <w:p w:rsidR="00330245" w:rsidRDefault="00121CFF" w:rsidP="00330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330245" w:rsidRDefault="009E0E9F" w:rsidP="00330245">
      <w:r w:rsidRPr="009E0E9F">
        <w:rPr>
          <w:position w:val="-154"/>
        </w:rPr>
        <w:object w:dxaOrig="12060" w:dyaOrig="3200">
          <v:shape id="_x0000_i1027" type="#_x0000_t75" style="width:468pt;height:124.5pt" o:ole="">
            <v:imagedata r:id="rId9" o:title=""/>
          </v:shape>
          <o:OLEObject Type="Embed" ProgID="Equation.3" ShapeID="_x0000_i1027" DrawAspect="Content" ObjectID="_1574673710" r:id="rId10"/>
        </w:object>
      </w:r>
    </w:p>
    <w:p w:rsidR="00921211" w:rsidRDefault="00121CFF" w:rsidP="00921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color w:val="000000"/>
        </w:rPr>
      </w:pPr>
    </w:p>
    <w:p w:rsidR="00B06977" w:rsidRDefault="00121CFF" w:rsidP="005346BB">
      <w:pPr>
        <w:pStyle w:val="Bodypara"/>
      </w:pPr>
      <w:r>
        <w:t>where:</w:t>
      </w:r>
    </w:p>
    <w:p w:rsidR="00B06977" w:rsidRDefault="00121CFF" w:rsidP="00B06977">
      <w:pPr>
        <w:tabs>
          <w:tab w:val="left" w:pos="1440"/>
        </w:tabs>
        <w:spacing w:line="216" w:lineRule="atLeast"/>
        <w:ind w:left="2160" w:hanging="2160"/>
        <w:rPr>
          <w:color w:val="000000"/>
        </w:rPr>
      </w:pPr>
      <w:r>
        <w:rPr>
          <w:color w:val="000000"/>
        </w:rPr>
        <w:t>s</w:t>
      </w:r>
      <w:r>
        <w:rPr>
          <w:color w:val="000000"/>
          <w:vertAlign w:val="subscript"/>
        </w:rPr>
        <w:t>i</w:t>
      </w:r>
      <w:r>
        <w:rPr>
          <w:color w:val="000000"/>
        </w:rPr>
        <w:tab/>
        <w:t>=</w:t>
      </w:r>
      <w:r>
        <w:rPr>
          <w:color w:val="000000"/>
        </w:rPr>
        <w:tab/>
        <w:t>number of seconds in RTD interval i;</w:t>
      </w:r>
    </w:p>
    <w:p w:rsidR="00B06977" w:rsidRPr="00CC0655" w:rsidRDefault="00121CFF" w:rsidP="00B06977">
      <w:pPr>
        <w:tabs>
          <w:tab w:val="left" w:pos="720"/>
          <w:tab w:val="left" w:pos="1440"/>
        </w:tabs>
        <w:spacing w:line="216" w:lineRule="atLeast"/>
        <w:ind w:left="2160" w:hanging="2160"/>
        <w:rPr>
          <w:i/>
          <w:iCs/>
          <w:color w:val="000000"/>
          <w:sz w:val="20"/>
        </w:rPr>
      </w:pPr>
    </w:p>
    <w:p w:rsidR="00B06977" w:rsidRPr="000E3DA4" w:rsidRDefault="00121CFF" w:rsidP="00B06977">
      <w:pPr>
        <w:tabs>
          <w:tab w:val="left" w:pos="1440"/>
        </w:tabs>
        <w:spacing w:line="216" w:lineRule="atLeast"/>
        <w:ind w:left="2160" w:hanging="2160"/>
        <w:rPr>
          <w:color w:val="000000"/>
        </w:rPr>
      </w:pPr>
      <w:r w:rsidRPr="000E3DA4">
        <w:rPr>
          <w:color w:val="000000"/>
        </w:rPr>
        <w:t>C</w:t>
      </w:r>
      <w:r w:rsidRPr="000E3DA4">
        <w:rPr>
          <w:color w:val="000000"/>
          <w:vertAlign w:val="subscript"/>
        </w:rPr>
        <w:t>gi</w:t>
      </w:r>
      <w:r w:rsidRPr="000E3DA4">
        <w:rPr>
          <w:color w:val="000000"/>
          <w:vertAlign w:val="superscript"/>
        </w:rPr>
        <w:t>RT</w:t>
      </w:r>
      <w:r w:rsidRPr="000E3DA4">
        <w:rPr>
          <w:color w:val="000000"/>
        </w:rPr>
        <w:tab/>
        <w:t>=</w:t>
      </w:r>
      <w:r w:rsidRPr="000E3DA4">
        <w:rPr>
          <w:color w:val="000000"/>
        </w:rPr>
        <w:tab/>
        <w:t>Bid cost submitted</w:t>
      </w:r>
      <w:r w:rsidRPr="000E3DA4">
        <w:rPr>
          <w:i/>
          <w:iCs/>
          <w:color w:val="000000"/>
        </w:rPr>
        <w:t xml:space="preserve"> </w:t>
      </w:r>
      <w:r w:rsidRPr="000E3DA4">
        <w:rPr>
          <w:color w:val="000000"/>
        </w:rPr>
        <w:t xml:space="preserve">by </w:t>
      </w:r>
      <w:r w:rsidRPr="000E3DA4">
        <w:rPr>
          <w:color w:val="000000"/>
        </w:rPr>
        <w:t>Generator g</w:t>
      </w:r>
      <w:r w:rsidRPr="000E3DA4">
        <w:rPr>
          <w:i/>
          <w:iCs/>
          <w:color w:val="000000"/>
        </w:rPr>
        <w:t xml:space="preserve">, </w:t>
      </w:r>
      <w:r w:rsidRPr="000E3DA4">
        <w:rPr>
          <w:color w:val="000000"/>
        </w:rPr>
        <w:t>or when applicable the mitigated Bid cost for Generator g, in the RTD</w:t>
      </w:r>
      <w:r w:rsidRPr="000E3DA4">
        <w:rPr>
          <w:i/>
          <w:iCs/>
          <w:color w:val="000000"/>
        </w:rPr>
        <w:t xml:space="preserve"> </w:t>
      </w:r>
      <w:r w:rsidRPr="000E3DA4">
        <w:rPr>
          <w:color w:val="000000"/>
        </w:rPr>
        <w:t>for the hour that includes RTD interval i</w:t>
      </w:r>
      <w:r w:rsidRPr="000E3DA4">
        <w:rPr>
          <w:i/>
          <w:iCs/>
          <w:color w:val="000000"/>
        </w:rPr>
        <w:t xml:space="preserve"> </w:t>
      </w:r>
      <w:r w:rsidRPr="000E3DA4">
        <w:rPr>
          <w:color w:val="000000"/>
        </w:rPr>
        <w:t xml:space="preserve">expressed in terms of $/MWh, except in hours in which the NYISO has increased Generator g’s minimum operating level, either (i) at </w:t>
      </w:r>
      <w:r w:rsidRPr="000E3DA4">
        <w:rPr>
          <w:color w:val="000000"/>
        </w:rPr>
        <w:t>the Generator’s request, or (ii) in order to reconcile the ISO’s dispatch with the Generator’s actual output or to address reliability concerns that arise because the Generator is not following Base Point Signals, in which case C</w:t>
      </w:r>
      <w:r w:rsidRPr="000E3DA4">
        <w:rPr>
          <w:color w:val="000000"/>
          <w:vertAlign w:val="subscript"/>
        </w:rPr>
        <w:t>gi</w:t>
      </w:r>
      <w:r w:rsidRPr="000E3DA4">
        <w:rPr>
          <w:color w:val="000000"/>
          <w:vertAlign w:val="superscript"/>
        </w:rPr>
        <w:t>RT</w:t>
      </w:r>
      <w:r w:rsidRPr="000E3DA4">
        <w:rPr>
          <w:color w:val="000000"/>
        </w:rPr>
        <w:t xml:space="preserve"> shall be deemed to be </w:t>
      </w:r>
      <w:r w:rsidRPr="000E3DA4">
        <w:rPr>
          <w:color w:val="000000"/>
        </w:rPr>
        <w:t>zero;</w:t>
      </w:r>
    </w:p>
    <w:p w:rsidR="00B06977" w:rsidRPr="00CC0655" w:rsidRDefault="00121CFF" w:rsidP="00B06977">
      <w:pPr>
        <w:tabs>
          <w:tab w:val="left" w:pos="720"/>
          <w:tab w:val="left" w:pos="1440"/>
        </w:tabs>
        <w:spacing w:line="216" w:lineRule="atLeast"/>
        <w:ind w:left="2160" w:hanging="2160"/>
        <w:rPr>
          <w:i/>
          <w:iCs/>
          <w:color w:val="000000"/>
          <w:sz w:val="20"/>
        </w:rPr>
      </w:pPr>
    </w:p>
    <w:p w:rsidR="00B06977" w:rsidRPr="001A5BBB" w:rsidRDefault="00121CFF" w:rsidP="00B06977">
      <w:pPr>
        <w:tabs>
          <w:tab w:val="left" w:pos="1440"/>
        </w:tabs>
        <w:spacing w:line="216" w:lineRule="atLeast"/>
        <w:ind w:left="2160" w:hanging="2160"/>
        <w:rPr>
          <w:color w:val="000000"/>
        </w:rPr>
      </w:pPr>
      <w:r w:rsidRPr="001A5BBB">
        <w:rPr>
          <w:color w:val="000000"/>
        </w:rPr>
        <w:t>MGI</w:t>
      </w:r>
      <w:r w:rsidRPr="001A5BBB">
        <w:rPr>
          <w:color w:val="000000"/>
          <w:vertAlign w:val="subscript"/>
        </w:rPr>
        <w:t>gi</w:t>
      </w:r>
      <w:r w:rsidRPr="001A5BBB">
        <w:rPr>
          <w:color w:val="000000"/>
          <w:vertAlign w:val="superscript"/>
        </w:rPr>
        <w:t>RT</w:t>
      </w:r>
      <w:r w:rsidRPr="001A5BBB">
        <w:rPr>
          <w:color w:val="000000"/>
        </w:rPr>
        <w:tab/>
        <w:t>=</w:t>
      </w:r>
      <w:r w:rsidRPr="001A5BBB">
        <w:rPr>
          <w:color w:val="000000"/>
        </w:rPr>
        <w:tab/>
        <w:t>metered Energy produced by minimum generation segment of Generator g in RTD interval i</w:t>
      </w:r>
      <w:r w:rsidRPr="001A5BBB">
        <w:rPr>
          <w:i/>
          <w:iCs/>
          <w:color w:val="000000"/>
        </w:rPr>
        <w:t xml:space="preserve"> </w:t>
      </w:r>
      <w:r w:rsidRPr="001A5BBB">
        <w:rPr>
          <w:color w:val="000000"/>
        </w:rPr>
        <w:t>expressed in terms of MW;</w:t>
      </w:r>
    </w:p>
    <w:p w:rsidR="00B06977" w:rsidRPr="001A5BBB" w:rsidRDefault="00121CFF" w:rsidP="00B06977">
      <w:pPr>
        <w:tabs>
          <w:tab w:val="left" w:pos="720"/>
          <w:tab w:val="left" w:pos="1440"/>
        </w:tabs>
        <w:spacing w:line="216" w:lineRule="atLeast"/>
        <w:ind w:left="2160" w:hanging="2160"/>
        <w:rPr>
          <w:i/>
          <w:iCs/>
          <w:color w:val="000000"/>
          <w:sz w:val="20"/>
        </w:rPr>
      </w:pPr>
    </w:p>
    <w:p w:rsidR="00B06977" w:rsidRPr="001A5BBB" w:rsidRDefault="00121CFF" w:rsidP="00B06977">
      <w:pPr>
        <w:tabs>
          <w:tab w:val="left" w:pos="1440"/>
        </w:tabs>
        <w:spacing w:line="216" w:lineRule="atLeast"/>
        <w:ind w:left="2160" w:hanging="2160"/>
        <w:rPr>
          <w:color w:val="000000"/>
        </w:rPr>
      </w:pPr>
      <w:r w:rsidRPr="001A5BBB">
        <w:rPr>
          <w:color w:val="000000"/>
        </w:rPr>
        <w:t>MGI</w:t>
      </w:r>
      <w:r w:rsidRPr="001A5BBB">
        <w:rPr>
          <w:color w:val="000000"/>
          <w:vertAlign w:val="subscript"/>
        </w:rPr>
        <w:t>gi</w:t>
      </w:r>
      <w:r w:rsidRPr="001A5BBB">
        <w:rPr>
          <w:color w:val="000000"/>
          <w:vertAlign w:val="superscript"/>
        </w:rPr>
        <w:t>DA</w:t>
      </w:r>
      <w:r w:rsidRPr="001A5BBB">
        <w:rPr>
          <w:color w:val="000000"/>
        </w:rPr>
        <w:tab/>
        <w:t>=</w:t>
      </w:r>
      <w:r w:rsidRPr="001A5BBB">
        <w:rPr>
          <w:color w:val="000000"/>
        </w:rPr>
        <w:tab/>
        <w:t xml:space="preserve">Energy scheduled Day-Ahead to be produced by minimum generation segment of Generator g in RTD interval i expressed </w:t>
      </w:r>
      <w:r w:rsidRPr="001A5BBB">
        <w:rPr>
          <w:color w:val="000000"/>
        </w:rPr>
        <w:t>in terms of MW;</w:t>
      </w:r>
    </w:p>
    <w:p w:rsidR="00B06977" w:rsidRPr="001A5BBB" w:rsidRDefault="00121CFF" w:rsidP="00B06977">
      <w:pPr>
        <w:tabs>
          <w:tab w:val="left" w:pos="720"/>
          <w:tab w:val="left" w:pos="1440"/>
        </w:tabs>
        <w:spacing w:line="216" w:lineRule="atLeast"/>
        <w:ind w:left="2160" w:hanging="2160"/>
        <w:rPr>
          <w:i/>
          <w:iCs/>
          <w:color w:val="000000"/>
          <w:sz w:val="20"/>
        </w:rPr>
      </w:pPr>
    </w:p>
    <w:p w:rsidR="00B06977" w:rsidRPr="001A5BBB" w:rsidRDefault="00121CFF" w:rsidP="00B06977">
      <w:pPr>
        <w:tabs>
          <w:tab w:val="left" w:pos="1440"/>
        </w:tabs>
        <w:spacing w:line="216" w:lineRule="atLeast"/>
        <w:ind w:left="2160" w:hanging="2160"/>
        <w:rPr>
          <w:color w:val="000000"/>
        </w:rPr>
      </w:pPr>
      <w:r w:rsidRPr="001A5BBB">
        <w:rPr>
          <w:color w:val="000000"/>
        </w:rPr>
        <w:t>MGC</w:t>
      </w:r>
      <w:r w:rsidRPr="001A5BBB">
        <w:rPr>
          <w:color w:val="000000"/>
          <w:vertAlign w:val="subscript"/>
        </w:rPr>
        <w:t>gi</w:t>
      </w:r>
      <w:r w:rsidRPr="001A5BBB">
        <w:rPr>
          <w:color w:val="000000"/>
          <w:vertAlign w:val="superscript"/>
        </w:rPr>
        <w:t>RT</w:t>
      </w:r>
      <w:r w:rsidRPr="001A5BBB">
        <w:rPr>
          <w:color w:val="000000"/>
        </w:rPr>
        <w:tab/>
        <w:t>=</w:t>
      </w:r>
      <w:r w:rsidRPr="001A5BBB">
        <w:rPr>
          <w:color w:val="000000"/>
        </w:rPr>
        <w:tab/>
        <w:t>Minimum Generation Bid by Generator g</w:t>
      </w:r>
      <w:r w:rsidRPr="001A5BBB">
        <w:rPr>
          <w:i/>
          <w:iCs/>
          <w:color w:val="000000"/>
        </w:rPr>
        <w:t xml:space="preserve">, </w:t>
      </w:r>
      <w:r w:rsidRPr="001A5BBB">
        <w:rPr>
          <w:color w:val="000000"/>
        </w:rPr>
        <w:t>or when applicable the mitigated Minimum Generation Bid for Generator g, in the Real-Time Market for the hour that includes RTD interval i</w:t>
      </w:r>
      <w:r w:rsidRPr="001A5BBB">
        <w:rPr>
          <w:i/>
          <w:iCs/>
          <w:color w:val="000000"/>
        </w:rPr>
        <w:t xml:space="preserve">, </w:t>
      </w:r>
      <w:r w:rsidRPr="001A5BBB">
        <w:rPr>
          <w:color w:val="000000"/>
        </w:rPr>
        <w:t>expressed in terms of $/MW;</w:t>
      </w:r>
    </w:p>
    <w:p w:rsidR="00B06977" w:rsidRPr="001A5BBB" w:rsidRDefault="00121CFF" w:rsidP="00B06977">
      <w:pPr>
        <w:tabs>
          <w:tab w:val="left" w:pos="720"/>
          <w:tab w:val="left" w:pos="1440"/>
        </w:tabs>
        <w:spacing w:line="216" w:lineRule="atLeast"/>
        <w:ind w:left="2160" w:hanging="2160"/>
        <w:rPr>
          <w:i/>
          <w:iCs/>
          <w:color w:val="000000"/>
          <w:sz w:val="20"/>
        </w:rPr>
      </w:pPr>
    </w:p>
    <w:p w:rsidR="00B06977" w:rsidRPr="006F7997" w:rsidRDefault="00121CFF" w:rsidP="00B06977">
      <w:pPr>
        <w:tabs>
          <w:tab w:val="left" w:pos="1440"/>
        </w:tabs>
        <w:spacing w:line="216" w:lineRule="atLeast"/>
        <w:ind w:left="2160" w:hanging="2160"/>
        <w:rPr>
          <w:color w:val="000000"/>
        </w:rPr>
      </w:pPr>
      <w:r w:rsidRPr="001A5BBB">
        <w:rPr>
          <w:color w:val="000000"/>
        </w:rPr>
        <w:t>SUC</w:t>
      </w:r>
      <w:r w:rsidRPr="001A5BBB">
        <w:rPr>
          <w:color w:val="000000"/>
          <w:vertAlign w:val="subscript"/>
        </w:rPr>
        <w:t>gj</w:t>
      </w:r>
      <w:r w:rsidRPr="001A5BBB">
        <w:rPr>
          <w:color w:val="000000"/>
          <w:vertAlign w:val="superscript"/>
        </w:rPr>
        <w:t>RT</w:t>
      </w:r>
      <w:r w:rsidRPr="001A5BBB">
        <w:rPr>
          <w:color w:val="000000"/>
        </w:rPr>
        <w:tab/>
        <w:t>=</w:t>
      </w:r>
      <w:r w:rsidRPr="001A5BBB">
        <w:rPr>
          <w:color w:val="000000"/>
        </w:rPr>
        <w:tab/>
        <w:t>Start-Up Bi</w:t>
      </w:r>
      <w:r w:rsidRPr="001A5BBB">
        <w:rPr>
          <w:color w:val="000000"/>
        </w:rPr>
        <w:t>d by Generator g, or when applicable the mitigated Start-Up Bid for Generator g, for the</w:t>
      </w:r>
      <w:r w:rsidRPr="001A5BBB">
        <w:rPr>
          <w:i/>
          <w:iCs/>
          <w:color w:val="000000"/>
        </w:rPr>
        <w:t xml:space="preserve"> </w:t>
      </w:r>
      <w:r w:rsidRPr="001A5BBB">
        <w:rPr>
          <w:color w:val="000000"/>
        </w:rPr>
        <w:t>hour that includes interval</w:t>
      </w:r>
      <w:r w:rsidRPr="001A5BBB">
        <w:rPr>
          <w:i/>
          <w:iCs/>
          <w:color w:val="000000"/>
        </w:rPr>
        <w:t xml:space="preserve"> </w:t>
      </w:r>
      <w:r w:rsidRPr="001A5BBB">
        <w:rPr>
          <w:color w:val="000000"/>
        </w:rPr>
        <w:t xml:space="preserve">j into RTD </w:t>
      </w:r>
      <w:r w:rsidRPr="000E3DA4">
        <w:rPr>
          <w:color w:val="000000"/>
        </w:rPr>
        <w:t>expressed in terms of $/start, except that SUC</w:t>
      </w:r>
      <w:r w:rsidRPr="000E3DA4">
        <w:rPr>
          <w:color w:val="000000"/>
          <w:vertAlign w:val="subscript"/>
        </w:rPr>
        <w:t>gj</w:t>
      </w:r>
      <w:r w:rsidRPr="000E3DA4">
        <w:rPr>
          <w:color w:val="000000"/>
          <w:vertAlign w:val="superscript"/>
        </w:rPr>
        <w:t>RT</w:t>
      </w:r>
      <w:r w:rsidRPr="000E3DA4">
        <w:rPr>
          <w:color w:val="000000"/>
        </w:rPr>
        <w:t xml:space="preserve"> shall be deemed to be zero in the cases of (i) Self-Committed Fixed and Self-</w:t>
      </w:r>
      <w:r w:rsidRPr="000E3DA4">
        <w:rPr>
          <w:color w:val="000000"/>
        </w:rPr>
        <w:t>Committed Flexible Generators, (ii) Generators that are economically committed by RTC or RTD that have 10-minute start-up times that are not synchronized and producing Energy within 20 minutes after their scheduled start time, and (iii) Generators that are</w:t>
      </w:r>
      <w:r w:rsidRPr="000E3DA4">
        <w:rPr>
          <w:color w:val="000000"/>
        </w:rPr>
        <w:t xml:space="preserve"> economically committed by RTC that have greater than 10-minute start-up times that are not synchronized and producing Energy within 45 minutes after their scheduled start time.  Rules</w:t>
      </w:r>
      <w:r w:rsidRPr="006F7997">
        <w:rPr>
          <w:color w:val="000000"/>
        </w:rPr>
        <w:t xml:space="preserve"> addressing the handling of Start-Up Bids submitted by Generators that a</w:t>
      </w:r>
      <w:r w:rsidRPr="006F7997">
        <w:rPr>
          <w:color w:val="000000"/>
        </w:rPr>
        <w:t>re committed via SRE under particular factual circumstances are set forth below;</w:t>
      </w:r>
    </w:p>
    <w:p w:rsidR="00B06977" w:rsidRPr="001A5BBB" w:rsidRDefault="00121CFF" w:rsidP="00B06977">
      <w:pPr>
        <w:tabs>
          <w:tab w:val="left" w:pos="720"/>
          <w:tab w:val="left" w:pos="1440"/>
        </w:tabs>
        <w:spacing w:line="216" w:lineRule="atLeast"/>
        <w:ind w:left="2160" w:hanging="2160"/>
        <w:rPr>
          <w:i/>
          <w:iCs/>
          <w:color w:val="000000"/>
          <w:sz w:val="20"/>
        </w:rPr>
      </w:pPr>
    </w:p>
    <w:p w:rsidR="00B06977" w:rsidRPr="001A5BBB" w:rsidRDefault="00121CFF" w:rsidP="00B06977">
      <w:pPr>
        <w:tabs>
          <w:tab w:val="left" w:pos="1440"/>
        </w:tabs>
        <w:spacing w:line="216" w:lineRule="atLeast"/>
        <w:ind w:left="2160" w:hanging="2160"/>
        <w:rPr>
          <w:color w:val="000000"/>
        </w:rPr>
      </w:pPr>
      <w:r w:rsidRPr="001A5BBB">
        <w:rPr>
          <w:color w:val="000000"/>
        </w:rPr>
        <w:t>NSUI</w:t>
      </w:r>
      <w:r w:rsidRPr="001A5BBB">
        <w:rPr>
          <w:color w:val="000000"/>
          <w:vertAlign w:val="subscript"/>
        </w:rPr>
        <w:t>gj</w:t>
      </w:r>
      <w:r w:rsidRPr="001A5BBB">
        <w:rPr>
          <w:color w:val="000000"/>
          <w:vertAlign w:val="superscript"/>
        </w:rPr>
        <w:t>RT</w:t>
      </w:r>
      <w:r w:rsidRPr="001A5BBB">
        <w:rPr>
          <w:color w:val="000000"/>
        </w:rPr>
        <w:tab/>
        <w:t>=</w:t>
      </w:r>
      <w:r w:rsidRPr="001A5BBB">
        <w:rPr>
          <w:color w:val="000000"/>
        </w:rPr>
        <w:tab/>
        <w:t>number of times Generator g started up in the hour that includes RTD</w:t>
      </w:r>
      <w:r w:rsidRPr="001A5BBB">
        <w:rPr>
          <w:i/>
          <w:iCs/>
          <w:color w:val="000000"/>
        </w:rPr>
        <w:t xml:space="preserve"> </w:t>
      </w:r>
      <w:r w:rsidRPr="001A5BBB">
        <w:rPr>
          <w:color w:val="000000"/>
        </w:rPr>
        <w:t>interval j;</w:t>
      </w:r>
    </w:p>
    <w:p w:rsidR="00B06977" w:rsidRPr="001A5BBB" w:rsidRDefault="00121CFF" w:rsidP="00B06977">
      <w:pPr>
        <w:tabs>
          <w:tab w:val="left" w:pos="720"/>
          <w:tab w:val="left" w:pos="1440"/>
        </w:tabs>
        <w:spacing w:line="216" w:lineRule="atLeast"/>
        <w:ind w:left="2160" w:hanging="2160"/>
        <w:rPr>
          <w:i/>
          <w:iCs/>
          <w:color w:val="000000"/>
          <w:sz w:val="20"/>
        </w:rPr>
      </w:pPr>
    </w:p>
    <w:p w:rsidR="00B06977" w:rsidRPr="001A5BBB" w:rsidRDefault="00121CFF" w:rsidP="00B06977">
      <w:pPr>
        <w:tabs>
          <w:tab w:val="left" w:pos="1440"/>
        </w:tabs>
        <w:spacing w:line="216" w:lineRule="atLeast"/>
        <w:ind w:left="2160" w:hanging="2160"/>
        <w:rPr>
          <w:color w:val="000000"/>
        </w:rPr>
      </w:pPr>
      <w:r w:rsidRPr="001A5BBB">
        <w:rPr>
          <w:color w:val="000000"/>
        </w:rPr>
        <w:t>NSUI</w:t>
      </w:r>
      <w:r w:rsidRPr="001A5BBB">
        <w:rPr>
          <w:color w:val="000000"/>
          <w:vertAlign w:val="subscript"/>
        </w:rPr>
        <w:t>gj</w:t>
      </w:r>
      <w:r w:rsidRPr="001A5BBB">
        <w:rPr>
          <w:color w:val="000000"/>
          <w:vertAlign w:val="superscript"/>
        </w:rPr>
        <w:t>DA</w:t>
      </w:r>
      <w:r w:rsidRPr="001A5BBB">
        <w:rPr>
          <w:color w:val="000000"/>
        </w:rPr>
        <w:tab/>
        <w:t>=</w:t>
      </w:r>
      <w:r w:rsidRPr="001A5BBB">
        <w:rPr>
          <w:color w:val="000000"/>
        </w:rPr>
        <w:tab/>
        <w:t xml:space="preserve">number of times Generator g is scheduled Day-Ahead to start up in the </w:t>
      </w:r>
      <w:r w:rsidRPr="001A5BBB">
        <w:rPr>
          <w:color w:val="000000"/>
        </w:rPr>
        <w:t>hour that includes RTD</w:t>
      </w:r>
      <w:r w:rsidRPr="001A5BBB">
        <w:rPr>
          <w:i/>
          <w:iCs/>
          <w:color w:val="000000"/>
        </w:rPr>
        <w:t xml:space="preserve"> </w:t>
      </w:r>
      <w:r w:rsidRPr="001A5BBB">
        <w:rPr>
          <w:color w:val="000000"/>
        </w:rPr>
        <w:t>interval j;</w:t>
      </w:r>
    </w:p>
    <w:p w:rsidR="00B06977" w:rsidRPr="001A5BBB" w:rsidRDefault="00121CFF" w:rsidP="00B06977">
      <w:pPr>
        <w:tabs>
          <w:tab w:val="left" w:pos="720"/>
          <w:tab w:val="left" w:pos="1440"/>
        </w:tabs>
        <w:spacing w:line="216" w:lineRule="atLeast"/>
        <w:ind w:left="2160" w:hanging="2160"/>
        <w:rPr>
          <w:i/>
          <w:iCs/>
          <w:color w:val="000000"/>
          <w:sz w:val="20"/>
        </w:rPr>
      </w:pPr>
    </w:p>
    <w:p w:rsidR="00B06977" w:rsidRDefault="00121CFF" w:rsidP="00B06977">
      <w:pPr>
        <w:tabs>
          <w:tab w:val="left" w:pos="1440"/>
        </w:tabs>
        <w:spacing w:line="216" w:lineRule="atLeast"/>
        <w:ind w:left="2160" w:hanging="2160"/>
        <w:rPr>
          <w:color w:val="000000"/>
        </w:rPr>
      </w:pPr>
      <w:r w:rsidRPr="001A5BBB">
        <w:rPr>
          <w:color w:val="000000"/>
        </w:rPr>
        <w:t>LBMP</w:t>
      </w:r>
      <w:r w:rsidRPr="001A5BBB">
        <w:rPr>
          <w:color w:val="000000"/>
          <w:vertAlign w:val="subscript"/>
        </w:rPr>
        <w:t>gi</w:t>
      </w:r>
      <w:r w:rsidRPr="001A5BBB">
        <w:rPr>
          <w:color w:val="000000"/>
          <w:vertAlign w:val="superscript"/>
        </w:rPr>
        <w:t>RT</w:t>
      </w:r>
      <w:r w:rsidRPr="001A5BBB">
        <w:rPr>
          <w:color w:val="000000"/>
        </w:rPr>
        <w:tab/>
        <w:t>=</w:t>
      </w:r>
      <w:r w:rsidRPr="001A5BBB">
        <w:rPr>
          <w:color w:val="000000"/>
        </w:rPr>
        <w:tab/>
        <w:t>Real-Time LBMP at Generator g’s bus in RTD interval i</w:t>
      </w:r>
      <w:r w:rsidRPr="001A5BBB">
        <w:rPr>
          <w:i/>
          <w:iCs/>
          <w:color w:val="000000"/>
        </w:rPr>
        <w:t xml:space="preserve"> </w:t>
      </w:r>
      <w:r w:rsidRPr="001A5BBB">
        <w:rPr>
          <w:color w:val="000000"/>
        </w:rPr>
        <w:t>expressed in</w:t>
      </w:r>
      <w:r>
        <w:rPr>
          <w:color w:val="000000"/>
        </w:rPr>
        <w:t xml:space="preserve"> terms of $/MWh;</w:t>
      </w:r>
    </w:p>
    <w:p w:rsidR="00B06977" w:rsidRPr="005A3EA0" w:rsidRDefault="00121CFF" w:rsidP="005A3EA0">
      <w:pPr>
        <w:tabs>
          <w:tab w:val="left" w:pos="720"/>
          <w:tab w:val="left" w:pos="1440"/>
        </w:tabs>
        <w:spacing w:line="216" w:lineRule="atLeast"/>
        <w:ind w:left="2160" w:hanging="2160"/>
        <w:rPr>
          <w:i/>
          <w:iCs/>
          <w:color w:val="000000"/>
          <w:sz w:val="20"/>
        </w:rPr>
      </w:pPr>
    </w:p>
    <w:p w:rsidR="00B06977" w:rsidRDefault="00121CFF" w:rsidP="00B06977">
      <w:pPr>
        <w:tabs>
          <w:tab w:val="left" w:pos="1440"/>
        </w:tabs>
        <w:spacing w:line="216" w:lineRule="atLeast"/>
        <w:ind w:left="2160" w:hanging="2160"/>
        <w:rPr>
          <w:color w:val="000000"/>
        </w:rPr>
      </w:pPr>
      <w:r w:rsidRPr="00463644">
        <w:rPr>
          <w:color w:val="000000"/>
        </w:rPr>
        <w:t>N</w:t>
      </w:r>
      <w:r w:rsidRPr="00463644">
        <w:rPr>
          <w:color w:val="000000"/>
        </w:rPr>
        <w:tab/>
        <w:t>=</w:t>
      </w:r>
      <w:r w:rsidRPr="00463644">
        <w:rPr>
          <w:color w:val="000000"/>
        </w:rPr>
        <w:tab/>
      </w:r>
      <w:r w:rsidRPr="00463644">
        <w:rPr>
          <w:color w:val="000000"/>
        </w:rPr>
        <w:t>except for imports, the number of eligible RTD intervals in the day excluding intervals in which there are any maximum generation pickups or large event reserve pickups and the three RTD intervals following the termination of the large event reserve pickup</w:t>
      </w:r>
      <w:r w:rsidRPr="00463644">
        <w:rPr>
          <w:color w:val="000000"/>
        </w:rPr>
        <w:t xml:space="preserve"> or maximum generation pickup (which are addressed separately in subsection </w:t>
      </w:r>
      <w:r>
        <w:rPr>
          <w:color w:val="000000"/>
        </w:rPr>
        <w:t>18.1</w:t>
      </w:r>
      <w:r w:rsidRPr="00463644">
        <w:rPr>
          <w:color w:val="000000"/>
        </w:rPr>
        <w:t>.3 below) and excluding any RTD intervals where EI</w:t>
      </w:r>
      <w:r w:rsidRPr="00463644">
        <w:rPr>
          <w:color w:val="000000"/>
          <w:vertAlign w:val="subscript"/>
        </w:rPr>
        <w:t>gi</w:t>
      </w:r>
      <w:r w:rsidRPr="00463644">
        <w:rPr>
          <w:color w:val="000000"/>
          <w:vertAlign w:val="superscript"/>
        </w:rPr>
        <w:t>RT</w:t>
      </w:r>
      <w:r w:rsidRPr="00463644">
        <w:rPr>
          <w:color w:val="000000"/>
        </w:rPr>
        <w:t xml:space="preserve"> is less than or equal to EI</w:t>
      </w:r>
      <w:r w:rsidRPr="00463644">
        <w:rPr>
          <w:color w:val="000000"/>
          <w:vertAlign w:val="subscript"/>
        </w:rPr>
        <w:t>gi</w:t>
      </w:r>
      <w:r w:rsidRPr="00463644">
        <w:rPr>
          <w:color w:val="000000"/>
          <w:vertAlign w:val="superscript"/>
        </w:rPr>
        <w:t>DA</w:t>
      </w:r>
      <w:r w:rsidRPr="00463644">
        <w:rPr>
          <w:color w:val="000000"/>
        </w:rPr>
        <w:t xml:space="preserve">; </w:t>
      </w:r>
      <w:r w:rsidRPr="00463644">
        <w:rPr>
          <w:i/>
          <w:iCs/>
          <w:color w:val="000000"/>
        </w:rPr>
        <w:t>provided, however</w:t>
      </w:r>
      <w:r w:rsidRPr="00463644">
        <w:rPr>
          <w:color w:val="000000"/>
        </w:rPr>
        <w:t>, for imports, the variable N is the number of eligible RTD intervals i</w:t>
      </w:r>
      <w:r w:rsidRPr="00463644">
        <w:rPr>
          <w:color w:val="000000"/>
        </w:rPr>
        <w:t>n the day excluding any RTD intervals where EI</w:t>
      </w:r>
      <w:r w:rsidRPr="00463644">
        <w:rPr>
          <w:color w:val="000000"/>
          <w:vertAlign w:val="subscript"/>
        </w:rPr>
        <w:t>gi</w:t>
      </w:r>
      <w:r w:rsidRPr="00463644">
        <w:rPr>
          <w:color w:val="000000"/>
          <w:vertAlign w:val="superscript"/>
        </w:rPr>
        <w:t>RT</w:t>
      </w:r>
      <w:r w:rsidRPr="00463644">
        <w:rPr>
          <w:color w:val="000000"/>
        </w:rPr>
        <w:t xml:space="preserve"> is less than or equal to EI</w:t>
      </w:r>
      <w:r w:rsidRPr="00463644">
        <w:rPr>
          <w:color w:val="000000"/>
          <w:vertAlign w:val="subscript"/>
        </w:rPr>
        <w:t>gi</w:t>
      </w:r>
      <w:r w:rsidRPr="00463644">
        <w:rPr>
          <w:color w:val="000000"/>
          <w:vertAlign w:val="superscript"/>
        </w:rPr>
        <w:t>DA</w:t>
      </w:r>
      <w:r w:rsidRPr="00463644">
        <w:rPr>
          <w:color w:val="000000"/>
        </w:rPr>
        <w:t>;</w:t>
      </w:r>
    </w:p>
    <w:p w:rsidR="00B06977" w:rsidRPr="00CC0655" w:rsidRDefault="00121CFF" w:rsidP="00B06977">
      <w:pPr>
        <w:tabs>
          <w:tab w:val="left" w:pos="720"/>
          <w:tab w:val="left" w:pos="1440"/>
        </w:tabs>
        <w:spacing w:line="216" w:lineRule="atLeast"/>
        <w:ind w:left="2160" w:hanging="2160"/>
        <w:rPr>
          <w:i/>
          <w:iCs/>
          <w:color w:val="000000"/>
          <w:sz w:val="20"/>
        </w:rPr>
      </w:pPr>
    </w:p>
    <w:p w:rsidR="00B06977" w:rsidRDefault="00121CFF" w:rsidP="00B06977">
      <w:pPr>
        <w:tabs>
          <w:tab w:val="left" w:pos="1440"/>
        </w:tabs>
        <w:spacing w:line="216" w:lineRule="atLeast"/>
        <w:ind w:left="2160" w:hanging="2160"/>
        <w:rPr>
          <w:color w:val="000000"/>
        </w:rPr>
      </w:pPr>
      <w:r w:rsidRPr="001A5BBB">
        <w:rPr>
          <w:color w:val="000000"/>
        </w:rPr>
        <w:t>L</w:t>
      </w:r>
      <w:r w:rsidRPr="001A5BBB">
        <w:rPr>
          <w:color w:val="000000"/>
        </w:rPr>
        <w:tab/>
        <w:t>=</w:t>
      </w:r>
      <w:r w:rsidRPr="001A5BBB">
        <w:rPr>
          <w:color w:val="000000"/>
        </w:rPr>
        <w:tab/>
        <w:t>all intervals in the day</w:t>
      </w:r>
    </w:p>
    <w:p w:rsidR="00B06977" w:rsidRPr="005A3EA0" w:rsidRDefault="00121CFF" w:rsidP="005A3EA0">
      <w:pPr>
        <w:tabs>
          <w:tab w:val="left" w:pos="720"/>
          <w:tab w:val="left" w:pos="1440"/>
        </w:tabs>
        <w:spacing w:line="216" w:lineRule="atLeast"/>
        <w:ind w:left="2160" w:hanging="2160"/>
        <w:rPr>
          <w:i/>
          <w:iCs/>
          <w:color w:val="000000"/>
          <w:sz w:val="20"/>
        </w:rPr>
      </w:pPr>
    </w:p>
    <w:p w:rsidR="00B06977" w:rsidRDefault="00121CFF" w:rsidP="00B06977">
      <w:pPr>
        <w:pStyle w:val="WPDefaults"/>
        <w:widowControl w:val="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2160" w:hanging="2160"/>
      </w:pPr>
      <w:r>
        <w:t>EI</w:t>
      </w:r>
      <w:r>
        <w:rPr>
          <w:vertAlign w:val="subscript"/>
        </w:rPr>
        <w:t>gi</w:t>
      </w:r>
      <w:r>
        <w:rPr>
          <w:vertAlign w:val="superscript"/>
        </w:rPr>
        <w:t>RT</w:t>
      </w:r>
      <w:r>
        <w:tab/>
        <w:t>=</w:t>
      </w:r>
      <w:r>
        <w:tab/>
        <w:t>if EOP</w:t>
      </w:r>
      <w:r>
        <w:rPr>
          <w:vertAlign w:val="subscript"/>
        </w:rPr>
        <w:t>ig</w:t>
      </w:r>
      <w:r>
        <w:t xml:space="preserve"> &gt; AEI</w:t>
      </w:r>
      <w:r>
        <w:rPr>
          <w:vertAlign w:val="subscript"/>
        </w:rPr>
        <w:t>ig</w:t>
      </w:r>
      <w:r>
        <w:t xml:space="preserve"> then min(max(AEI</w:t>
      </w:r>
      <w:r>
        <w:rPr>
          <w:vertAlign w:val="subscript"/>
        </w:rPr>
        <w:t>ig</w:t>
      </w:r>
      <w:r>
        <w:t>,RTSen</w:t>
      </w:r>
      <w:r>
        <w:rPr>
          <w:vertAlign w:val="subscript"/>
        </w:rPr>
        <w:t>ig</w:t>
      </w:r>
      <w:r>
        <w:t>),EOP</w:t>
      </w:r>
      <w:r>
        <w:rPr>
          <w:vertAlign w:val="subscript"/>
        </w:rPr>
        <w:t>ig</w:t>
      </w:r>
      <w:r>
        <w:t>) and max(min(AEI</w:t>
      </w:r>
      <w:r>
        <w:rPr>
          <w:vertAlign w:val="subscript"/>
        </w:rPr>
        <w:t>ig</w:t>
      </w:r>
      <w:r>
        <w:t>,RTSen</w:t>
      </w:r>
      <w:r>
        <w:rPr>
          <w:vertAlign w:val="subscript"/>
        </w:rPr>
        <w:t>ig</w:t>
      </w:r>
      <w:r>
        <w:t>),EOP</w:t>
      </w:r>
      <w:r>
        <w:rPr>
          <w:vertAlign w:val="subscript"/>
        </w:rPr>
        <w:t>ig</w:t>
      </w:r>
      <w:r>
        <w:t>) otherwise</w:t>
      </w:r>
    </w:p>
    <w:p w:rsidR="00B06977" w:rsidRPr="005A3EA0" w:rsidRDefault="00121CFF" w:rsidP="005A3EA0">
      <w:pPr>
        <w:tabs>
          <w:tab w:val="left" w:pos="720"/>
          <w:tab w:val="left" w:pos="1440"/>
        </w:tabs>
        <w:spacing w:line="216" w:lineRule="atLeast"/>
        <w:ind w:left="2160" w:hanging="2160"/>
        <w:rPr>
          <w:i/>
          <w:iCs/>
          <w:color w:val="000000"/>
          <w:sz w:val="20"/>
        </w:rPr>
      </w:pPr>
    </w:p>
    <w:p w:rsidR="00B06977" w:rsidRDefault="00121CFF" w:rsidP="00B06977">
      <w:pPr>
        <w:pStyle w:val="WPDefaults"/>
        <w:widowControl w:val="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2160" w:hanging="2160"/>
      </w:pPr>
      <w:r>
        <w:t>EI</w:t>
      </w:r>
      <w:r>
        <w:rPr>
          <w:vertAlign w:val="subscript"/>
        </w:rPr>
        <w:t>gi</w:t>
      </w:r>
      <w:r>
        <w:rPr>
          <w:vertAlign w:val="superscript"/>
        </w:rPr>
        <w:t>DA</w:t>
      </w:r>
      <w:r>
        <w:tab/>
        <w:t>=</w:t>
      </w:r>
      <w:r>
        <w:tab/>
        <w:t xml:space="preserve">Energy scheduled in the </w:t>
      </w:r>
      <w:r>
        <w:t>Day-Ahead Market to be produced by Generator g in the hour that includes RTD interval i expressed in terms of MW.</w:t>
      </w:r>
    </w:p>
    <w:p w:rsidR="00B06977" w:rsidRPr="005A3EA0" w:rsidRDefault="00121CFF" w:rsidP="005A3EA0">
      <w:pPr>
        <w:tabs>
          <w:tab w:val="left" w:pos="720"/>
          <w:tab w:val="left" w:pos="1440"/>
        </w:tabs>
        <w:spacing w:line="216" w:lineRule="atLeast"/>
        <w:ind w:left="2160" w:hanging="2160"/>
        <w:rPr>
          <w:i/>
          <w:iCs/>
          <w:color w:val="000000"/>
          <w:sz w:val="20"/>
        </w:rPr>
      </w:pPr>
    </w:p>
    <w:p w:rsidR="00B06977" w:rsidRDefault="00121CFF" w:rsidP="00B06977">
      <w:pPr>
        <w:pStyle w:val="WPDefaults"/>
        <w:widowControl w:val="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2160" w:hanging="2160"/>
      </w:pPr>
      <w:r>
        <w:t>RTSen</w:t>
      </w:r>
      <w:r>
        <w:rPr>
          <w:vertAlign w:val="subscript"/>
        </w:rPr>
        <w:t>ig</w:t>
      </w:r>
      <w:r>
        <w:tab/>
        <w:t>=</w:t>
      </w:r>
      <w:r>
        <w:tab/>
        <w:t>Real-time Energy scheduled for Generator g in interval i, and calculated as the arithmetic average of the 6-second AGC Base Point S</w:t>
      </w:r>
      <w:r>
        <w:t>ignals sent to Generator g during the course of interval i expressed in terms of MW;</w:t>
      </w:r>
    </w:p>
    <w:p w:rsidR="00B06977" w:rsidRPr="005A3EA0" w:rsidRDefault="00121CFF" w:rsidP="005A3EA0">
      <w:pPr>
        <w:tabs>
          <w:tab w:val="left" w:pos="720"/>
          <w:tab w:val="left" w:pos="1440"/>
        </w:tabs>
        <w:spacing w:line="216" w:lineRule="atLeast"/>
        <w:ind w:left="2160" w:hanging="2160"/>
        <w:rPr>
          <w:i/>
          <w:iCs/>
          <w:color w:val="000000"/>
          <w:sz w:val="20"/>
        </w:rPr>
      </w:pPr>
    </w:p>
    <w:p w:rsidR="00B06977" w:rsidRDefault="00121CFF" w:rsidP="00B06977">
      <w:pPr>
        <w:pStyle w:val="WPDefaults"/>
        <w:widowControl w:val="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2160" w:hanging="2160"/>
      </w:pPr>
      <w:r>
        <w:t>AEI</w:t>
      </w:r>
      <w:r>
        <w:rPr>
          <w:vertAlign w:val="subscript"/>
        </w:rPr>
        <w:t>ig</w:t>
      </w:r>
      <w:r>
        <w:tab/>
        <w:t>=</w:t>
      </w:r>
      <w:r>
        <w:tab/>
        <w:t>average Actual Energy Injection by Generator g in interval i but not more than RTSen</w:t>
      </w:r>
      <w:r>
        <w:rPr>
          <w:vertAlign w:val="subscript"/>
        </w:rPr>
        <w:t>ig</w:t>
      </w:r>
      <w:r>
        <w:t xml:space="preserve"> plus any Compensable Overgeneration expressed in terms of MW;</w:t>
      </w:r>
    </w:p>
    <w:p w:rsidR="00B06977" w:rsidRPr="005A3EA0" w:rsidRDefault="00121CFF" w:rsidP="005A3EA0">
      <w:pPr>
        <w:tabs>
          <w:tab w:val="left" w:pos="720"/>
          <w:tab w:val="left" w:pos="1440"/>
        </w:tabs>
        <w:spacing w:line="216" w:lineRule="atLeast"/>
        <w:ind w:left="2160" w:hanging="2160"/>
        <w:rPr>
          <w:i/>
          <w:iCs/>
          <w:color w:val="000000"/>
          <w:sz w:val="20"/>
        </w:rPr>
      </w:pPr>
    </w:p>
    <w:p w:rsidR="00B06977" w:rsidRDefault="00121CFF" w:rsidP="00B06977">
      <w:pPr>
        <w:pStyle w:val="WPDefaults"/>
        <w:widowControl w:val="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2160" w:hanging="2160"/>
        <w:rPr>
          <w:i/>
          <w:iCs/>
        </w:rPr>
      </w:pPr>
      <w:r>
        <w:t>EOP</w:t>
      </w:r>
      <w:r>
        <w:rPr>
          <w:vertAlign w:val="subscript"/>
        </w:rPr>
        <w:t>ig</w:t>
      </w:r>
      <w:r>
        <w:tab/>
        <w:t>=</w:t>
      </w:r>
      <w:r>
        <w:tab/>
        <w:t xml:space="preserve">the </w:t>
      </w:r>
      <w:r>
        <w:t>Economic Operating Point of Generator g in interval i expressed in terms of MW;</w:t>
      </w:r>
    </w:p>
    <w:p w:rsidR="00B06977" w:rsidRPr="005A3EA0" w:rsidRDefault="00121CFF" w:rsidP="005A3EA0">
      <w:pPr>
        <w:tabs>
          <w:tab w:val="left" w:pos="720"/>
          <w:tab w:val="left" w:pos="1440"/>
        </w:tabs>
        <w:spacing w:line="216" w:lineRule="atLeast"/>
        <w:ind w:left="2160" w:hanging="2160"/>
        <w:rPr>
          <w:i/>
          <w:iCs/>
          <w:color w:val="000000"/>
          <w:sz w:val="20"/>
        </w:rPr>
      </w:pPr>
    </w:p>
    <w:p w:rsidR="0046447C" w:rsidRDefault="00121CFF" w:rsidP="0046447C">
      <w:pPr>
        <w:tabs>
          <w:tab w:val="left" w:pos="1440"/>
        </w:tabs>
        <w:spacing w:line="216" w:lineRule="atLeast"/>
        <w:ind w:left="2160" w:hanging="2160"/>
        <w:rPr>
          <w:i/>
          <w:iCs/>
        </w:rPr>
      </w:pPr>
      <w:r>
        <w:t>NASR</w:t>
      </w:r>
      <w:r>
        <w:rPr>
          <w:vertAlign w:val="subscript"/>
        </w:rPr>
        <w:t>gi</w:t>
      </w:r>
      <w:r>
        <w:rPr>
          <w:vertAlign w:val="superscript"/>
        </w:rPr>
        <w:t>TOT</w:t>
      </w:r>
      <w:r>
        <w:tab/>
        <w:t xml:space="preserve">=  </w:t>
      </w:r>
      <w:r>
        <w:tab/>
        <w:t>Net Ancillary Services scheduled revenue paid to Generator g as a result of either having been committed Day-Ahead to operate in hour that includes RTD interval</w:t>
      </w:r>
      <w:r>
        <w:rPr>
          <w:i/>
          <w:iCs/>
        </w:rPr>
        <w:t xml:space="preserve"> </w:t>
      </w:r>
      <w:r>
        <w:t>i or having operated in interval</w:t>
      </w:r>
      <w:r>
        <w:rPr>
          <w:i/>
          <w:iCs/>
        </w:rPr>
        <w:t xml:space="preserve"> </w:t>
      </w:r>
      <w:r>
        <w:t>i is computed by summing the following: (1) Voltage Support Service payments received by that Generator for that RTD interval, if it is not a Supplier of Installed Capacity; (2) Regulation Service payments that would be</w:t>
      </w:r>
      <w:r>
        <w:rPr>
          <w:i/>
          <w:iCs/>
        </w:rPr>
        <w:t xml:space="preserve"> </w:t>
      </w:r>
      <w:r>
        <w:t>mad</w:t>
      </w:r>
      <w:r>
        <w:t>e to that Generator for that hour based on a Performance Index of 1</w:t>
      </w:r>
      <w:r>
        <w:rPr>
          <w:i/>
          <w:iCs/>
        </w:rPr>
        <w:t>,</w:t>
      </w:r>
      <w:r>
        <w:t xml:space="preserve"> less the Bid(s) placed by that Generator to provide Regulation Service</w:t>
      </w:r>
      <w:r>
        <w:rPr>
          <w:i/>
          <w:iCs/>
        </w:rPr>
        <w:t xml:space="preserve"> </w:t>
      </w:r>
      <w:r>
        <w:t>in that hour at the time it was committed to produce Energy for the LBMP Market and/or Ancillary Services to do so (</w:t>
      </w:r>
      <w:r>
        <w:t>unless the Bid(s) exceeds the payments that Generator receives for providing Regulation Service, in which case this component shall be zero); (3) payments made to that Generator for providing Spinning Reserve or synchronized 30-Minute Reserve</w:t>
      </w:r>
      <w:r>
        <w:rPr>
          <w:i/>
          <w:iCs/>
        </w:rPr>
        <w:t xml:space="preserve"> </w:t>
      </w:r>
      <w:r>
        <w:t>in that hour,</w:t>
      </w:r>
      <w:r>
        <w:t xml:space="preserve"> less the Bid placed by that Generator to provide such</w:t>
      </w:r>
      <w:r>
        <w:rPr>
          <w:i/>
          <w:iCs/>
        </w:rPr>
        <w:t xml:space="preserve"> </w:t>
      </w:r>
      <w:r>
        <w:t>reserve</w:t>
      </w:r>
      <w:r>
        <w:rPr>
          <w:i/>
          <w:iCs/>
        </w:rPr>
        <w:t>s</w:t>
      </w:r>
      <w:r>
        <w:t xml:space="preserve"> in that hour at the time it was scheduled to do so; and</w:t>
      </w:r>
      <w:r>
        <w:rPr>
          <w:i/>
          <w:iCs/>
        </w:rPr>
        <w:t xml:space="preserve"> </w:t>
      </w:r>
      <w:r>
        <w:t>(4) Lost Opportunity Cost payments made to that Generator in that hour as a result of reducing that Generator's output in order for it t</w:t>
      </w:r>
      <w:r>
        <w:t>o provide Voltage Support Service.</w:t>
      </w:r>
    </w:p>
    <w:p w:rsidR="0046447C" w:rsidRPr="005A3EA0" w:rsidRDefault="00121CFF" w:rsidP="005A3EA0">
      <w:pPr>
        <w:tabs>
          <w:tab w:val="left" w:pos="720"/>
          <w:tab w:val="left" w:pos="1440"/>
        </w:tabs>
        <w:spacing w:line="216" w:lineRule="atLeast"/>
        <w:ind w:left="2160" w:hanging="2160"/>
        <w:rPr>
          <w:i/>
          <w:iCs/>
          <w:color w:val="000000"/>
          <w:sz w:val="20"/>
        </w:rPr>
      </w:pPr>
    </w:p>
    <w:p w:rsidR="0046447C" w:rsidRDefault="00121CFF" w:rsidP="0046447C">
      <w:pPr>
        <w:tabs>
          <w:tab w:val="left" w:pos="1440"/>
        </w:tabs>
        <w:spacing w:line="216" w:lineRule="atLeast"/>
        <w:ind w:left="2160" w:hanging="2160"/>
      </w:pPr>
      <w:r>
        <w:t>NASR</w:t>
      </w:r>
      <w:r>
        <w:rPr>
          <w:vertAlign w:val="subscript"/>
        </w:rPr>
        <w:t>gi</w:t>
      </w:r>
      <w:r>
        <w:rPr>
          <w:vertAlign w:val="superscript"/>
        </w:rPr>
        <w:t>DA</w:t>
      </w:r>
      <w:r>
        <w:tab/>
        <w:t>=</w:t>
      </w:r>
      <w:r>
        <w:tab/>
        <w:t>The proportion of the Day-Ahead net Ancillary Services revenue that is applicable to interval i calculated by multiplying the NASR</w:t>
      </w:r>
      <w:r>
        <w:rPr>
          <w:vertAlign w:val="subscript"/>
        </w:rPr>
        <w:t>gh</w:t>
      </w:r>
      <w:r>
        <w:rPr>
          <w:vertAlign w:val="superscript"/>
        </w:rPr>
        <w:t>DA</w:t>
      </w:r>
      <w:r>
        <w:t xml:space="preserve"> for the hour that includes interval i by </w:t>
      </w:r>
      <w:r>
        <w:rPr>
          <w:vertAlign w:val="subscript"/>
        </w:rPr>
        <w:t>Si</w:t>
      </w:r>
      <w:r>
        <w:t>/3600.</w:t>
      </w:r>
    </w:p>
    <w:p w:rsidR="0046447C" w:rsidRPr="005A3EA0" w:rsidRDefault="00121CFF" w:rsidP="005A3EA0">
      <w:pPr>
        <w:tabs>
          <w:tab w:val="left" w:pos="720"/>
          <w:tab w:val="left" w:pos="1440"/>
        </w:tabs>
        <w:spacing w:line="216" w:lineRule="atLeast"/>
        <w:ind w:left="2160" w:hanging="2160"/>
        <w:rPr>
          <w:i/>
          <w:iCs/>
          <w:color w:val="000000"/>
          <w:sz w:val="20"/>
        </w:rPr>
      </w:pPr>
    </w:p>
    <w:p w:rsidR="0046447C" w:rsidRDefault="00121CFF" w:rsidP="0046447C">
      <w:pPr>
        <w:tabs>
          <w:tab w:val="left" w:pos="1440"/>
        </w:tabs>
        <w:spacing w:line="216" w:lineRule="atLeast"/>
        <w:ind w:left="2160" w:hanging="2160"/>
      </w:pPr>
      <w:r>
        <w:t>RRAP</w:t>
      </w:r>
      <w:r>
        <w:rPr>
          <w:vertAlign w:val="subscript"/>
        </w:rPr>
        <w:t>gi</w:t>
      </w:r>
      <w:r>
        <w:tab/>
        <w:t>=</w:t>
      </w:r>
      <w:r>
        <w:tab/>
        <w:t>Regulation Rev</w:t>
      </w:r>
      <w:r>
        <w:t>enue Adjustment Payment for Generator g in RTD interval i expressed in terms of $.</w:t>
      </w:r>
    </w:p>
    <w:p w:rsidR="0046447C" w:rsidRPr="005A3EA0" w:rsidRDefault="00121CFF" w:rsidP="005A3EA0">
      <w:pPr>
        <w:tabs>
          <w:tab w:val="left" w:pos="720"/>
          <w:tab w:val="left" w:pos="1440"/>
        </w:tabs>
        <w:spacing w:line="216" w:lineRule="atLeast"/>
        <w:ind w:left="2160" w:hanging="2160"/>
        <w:rPr>
          <w:i/>
          <w:iCs/>
          <w:color w:val="000000"/>
          <w:sz w:val="20"/>
        </w:rPr>
      </w:pPr>
    </w:p>
    <w:p w:rsidR="0046447C" w:rsidRDefault="00121CFF" w:rsidP="0046447C">
      <w:pPr>
        <w:tabs>
          <w:tab w:val="left" w:pos="1440"/>
        </w:tabs>
        <w:spacing w:line="216" w:lineRule="atLeast"/>
        <w:ind w:left="2160" w:hanging="2160"/>
      </w:pPr>
      <w:r>
        <w:t>RRAC</w:t>
      </w:r>
      <w:r>
        <w:rPr>
          <w:vertAlign w:val="subscript"/>
        </w:rPr>
        <w:t>gi</w:t>
      </w:r>
      <w:r>
        <w:tab/>
        <w:t>=</w:t>
      </w:r>
      <w:r>
        <w:tab/>
        <w:t>Regulation Revenue Adjustment Charge for Generator g in RTD interval i expressed in terms of $.</w:t>
      </w:r>
    </w:p>
    <w:p w:rsidR="0046447C" w:rsidRDefault="00121CFF" w:rsidP="0046447C">
      <w:pPr>
        <w:tabs>
          <w:tab w:val="left" w:pos="1440"/>
        </w:tabs>
        <w:spacing w:line="216" w:lineRule="atLeast"/>
        <w:ind w:left="2160" w:hanging="2160"/>
      </w:pPr>
    </w:p>
    <w:p w:rsidR="0046447C" w:rsidRDefault="00121CFF" w:rsidP="005346BB">
      <w:pPr>
        <w:pStyle w:val="Bodypara"/>
      </w:pPr>
      <w:r>
        <w:t>Time periods including reserve pickups, and time periods following</w:t>
      </w:r>
      <w:r>
        <w:t xml:space="preserve"> a reserve pickup in which the dispatch of a given Generator is constrained by its downward ramp rate, will not be included in the above calculation of supplemental payments for that Generator.</w:t>
      </w:r>
    </w:p>
    <w:p w:rsidR="0046447C" w:rsidRPr="00695AB9" w:rsidRDefault="00121CFF" w:rsidP="005346BB">
      <w:pPr>
        <w:pStyle w:val="Bodypara"/>
      </w:pPr>
      <w:r w:rsidRPr="00695AB9">
        <w:t>If a Generator has been committed via SRE and its SRE schedule</w:t>
      </w:r>
      <w:r w:rsidRPr="00695AB9">
        <w:t xml:space="preserve"> immediately precedes or follows a real-time commitment that did not result from a Day-Ahead commitment, the Generator’s Start-Up Bid included in its daily real-time Bid Production Cost guarantee calculation for this contiguous real-time commitment period </w:t>
      </w:r>
      <w:r w:rsidRPr="00695AB9">
        <w:t>shall be the Start-Up Bid submitted in response to the SRE request (subject to mitigation, where appropriate).  If a Generator has been committed via SRE and its SRE schedule immediately precedes or follows a real-time</w:t>
      </w:r>
      <w:r>
        <w:t xml:space="preserve"> </w:t>
      </w:r>
      <w:r w:rsidRPr="00695AB9">
        <w:t>schedule that resulted from a Day-Ahe</w:t>
      </w:r>
      <w:r w:rsidRPr="00695AB9">
        <w:t>ad commitment, then the Generator’s Start-Up Bid included in its daily real-time Bid Production Cost guarantee calculation for this contiguous real-time commitment period shall be set to zero.</w:t>
      </w:r>
    </w:p>
    <w:p w:rsidR="0046447C" w:rsidRDefault="00121CFF" w:rsidP="005346BB">
      <w:pPr>
        <w:pStyle w:val="Bodypara"/>
      </w:pPr>
      <w:r>
        <w:t>Supplemental payments to Generators that trip before completing</w:t>
      </w:r>
      <w:r>
        <w:t xml:space="preserve"> their minimum run-time (for Generators</w:t>
      </w:r>
      <w:r>
        <w:rPr>
          <w:i/>
          <w:iCs/>
        </w:rPr>
        <w:t xml:space="preserve"> </w:t>
      </w:r>
      <w:r>
        <w:t>that were not scheduled to run Day-Ahead) or before running for the number of hours they were scheduled to operate (for Generators</w:t>
      </w:r>
      <w:r>
        <w:rPr>
          <w:i/>
          <w:iCs/>
        </w:rPr>
        <w:t xml:space="preserve"> </w:t>
      </w:r>
      <w:r>
        <w:t>scheduled to run Day-Ahead) may be reduced by the ISO, per ISO Procedures.</w:t>
      </w:r>
    </w:p>
    <w:p w:rsidR="00330245" w:rsidRPr="005346BB" w:rsidRDefault="00121CFF" w:rsidP="005346BB">
      <w:pPr>
        <w:pStyle w:val="Bodypara"/>
      </w:pPr>
      <w:r>
        <w:t>In the eve</w:t>
      </w:r>
      <w:r>
        <w:t xml:space="preserve">nt that the ISO re-institutes penalties for poor Regulation Service performance under Section </w:t>
      </w:r>
      <w:r>
        <w:t>15.</w:t>
      </w:r>
      <w:r>
        <w:t>3.</w:t>
      </w:r>
      <w:r>
        <w:t>8 of Rate Schedule 3 such penalties</w:t>
      </w:r>
      <w:r>
        <w:rPr>
          <w:i/>
          <w:iCs/>
        </w:rPr>
        <w:t xml:space="preserve"> </w:t>
      </w:r>
      <w:r>
        <w:t>will not be taken into account when calculating supplemental payments under this Attach</w:t>
      </w:r>
      <w:r>
        <w:t>ment C.</w:t>
      </w:r>
    </w:p>
    <w:p w:rsidR="00330245" w:rsidRPr="005346BB" w:rsidRDefault="00121CFF" w:rsidP="005346BB">
      <w:pPr>
        <w:pStyle w:val="Heading3"/>
        <w:rPr>
          <w:u w:val="single"/>
        </w:rPr>
      </w:pPr>
      <w:bookmarkStart w:id="4" w:name="_Toc261183729"/>
      <w:r>
        <w:t>18.1.3</w:t>
      </w:r>
      <w:r>
        <w:tab/>
        <w:t>Real-Time Bid Produ</w:t>
      </w:r>
      <w:r>
        <w:t>ction Cost Guarantees for Intervals With Maximum Generation Pickups or Large Event Reserve Pickups</w:t>
      </w:r>
      <w:bookmarkEnd w:id="4"/>
    </w:p>
    <w:p w:rsidR="00D937F6" w:rsidRDefault="00121CFF" w:rsidP="005346BB">
      <w:pPr>
        <w:pStyle w:val="Bodypara"/>
        <w:rPr>
          <w:i/>
          <w:iCs/>
        </w:rPr>
      </w:pPr>
      <w:r>
        <w:t>Real-Time Bid Production Cost Guarantee Payment</w:t>
      </w:r>
      <w:r>
        <w:rPr>
          <w:i/>
          <w:iCs/>
        </w:rPr>
        <w:t xml:space="preserve"> = </w:t>
      </w:r>
    </w:p>
    <w:p w:rsidR="00330245" w:rsidRDefault="00121CFF" w:rsidP="005346BB">
      <w:pPr>
        <w:spacing w:line="240" w:lineRule="atLeast"/>
      </w:pPr>
    </w:p>
    <w:p w:rsidR="00330245" w:rsidRDefault="009E0E9F" w:rsidP="00330245">
      <w:pPr>
        <w:tabs>
          <w:tab w:val="right" w:pos="9360"/>
        </w:tabs>
      </w:pPr>
      <w:r w:rsidRPr="009E0E9F">
        <w:rPr>
          <w:position w:val="-150"/>
        </w:rPr>
        <w:object w:dxaOrig="7580" w:dyaOrig="3120">
          <v:shape id="_x0000_i1028" type="#_x0000_t75" style="width:378.75pt;height:156pt" o:ole="">
            <v:imagedata r:id="rId11" o:title=""/>
          </v:shape>
          <o:OLEObject Type="Embed" ProgID="Equation.3" ShapeID="_x0000_i1028" DrawAspect="Content" ObjectID="_1574673711" r:id="rId12"/>
        </w:object>
      </w:r>
    </w:p>
    <w:p w:rsidR="00330245" w:rsidRDefault="00121CFF" w:rsidP="00330245">
      <w:pPr>
        <w:pStyle w:val="BodyText"/>
      </w:pPr>
    </w:p>
    <w:p w:rsidR="00330245" w:rsidRDefault="00121CFF" w:rsidP="005346BB">
      <w:pPr>
        <w:pStyle w:val="Bodypara"/>
      </w:pPr>
      <w:r>
        <w:t>where:</w:t>
      </w:r>
    </w:p>
    <w:p w:rsidR="00330245" w:rsidRPr="00C52F66" w:rsidRDefault="00121CFF" w:rsidP="00330245">
      <w:pPr>
        <w:tabs>
          <w:tab w:val="left" w:pos="720"/>
        </w:tabs>
        <w:spacing w:line="240" w:lineRule="atLeast"/>
        <w:ind w:left="1440" w:hanging="1440"/>
      </w:pPr>
      <w:r>
        <w:t>M</w:t>
      </w:r>
      <w:r>
        <w:tab/>
        <w:t>=</w:t>
      </w:r>
      <w:r>
        <w:tab/>
        <w:t xml:space="preserve">number </w:t>
      </w:r>
      <w:r w:rsidRPr="00C52F66">
        <w:t>of intervals in which there are maximum generation pickups or l</w:t>
      </w:r>
      <w:r w:rsidRPr="00C52F66">
        <w:t>arge event reserve pickups in the 24</w:t>
      </w:r>
      <w:r w:rsidRPr="00C52F66">
        <w:rPr>
          <w:strike/>
        </w:rPr>
        <w:t xml:space="preserve"> </w:t>
      </w:r>
      <w:r w:rsidRPr="00C52F66">
        <w:t>-hour day and the three RTD intervals following the termination of the large event reserve pickup or maximum generation pickup, but excluding any intervals in which there are maximum generation pickups or large event re</w:t>
      </w:r>
      <w:r w:rsidRPr="00C52F66">
        <w:t>serve pickups where EI</w:t>
      </w:r>
      <w:r w:rsidRPr="00C52F66">
        <w:rPr>
          <w:vertAlign w:val="subscript"/>
        </w:rPr>
        <w:t>gi</w:t>
      </w:r>
      <w:r w:rsidRPr="00C52F66">
        <w:rPr>
          <w:vertAlign w:val="superscript"/>
        </w:rPr>
        <w:t>RT</w:t>
      </w:r>
      <w:r w:rsidRPr="00C52F66">
        <w:t xml:space="preserve"> is less than or equal to EI</w:t>
      </w:r>
      <w:r w:rsidRPr="00C52F66">
        <w:rPr>
          <w:vertAlign w:val="subscript"/>
        </w:rPr>
        <w:t>gi</w:t>
      </w:r>
      <w:r w:rsidRPr="00C52F66">
        <w:rPr>
          <w:vertAlign w:val="superscript"/>
        </w:rPr>
        <w:t>DA</w:t>
      </w:r>
      <w:r w:rsidRPr="00C52F66">
        <w:t>;</w:t>
      </w:r>
    </w:p>
    <w:p w:rsidR="00330245" w:rsidRPr="00C52F66" w:rsidRDefault="00121CFF" w:rsidP="00330245">
      <w:pPr>
        <w:tabs>
          <w:tab w:val="left" w:pos="720"/>
        </w:tabs>
        <w:spacing w:line="240" w:lineRule="atLeast"/>
        <w:ind w:left="1440" w:hanging="1440"/>
      </w:pPr>
    </w:p>
    <w:p w:rsidR="00330245" w:rsidRPr="00C52F66" w:rsidRDefault="00121CFF" w:rsidP="005346BB">
      <w:pPr>
        <w:pStyle w:val="Bodypara"/>
      </w:pPr>
      <w:r w:rsidRPr="00C52F66">
        <w:t>The definition of all other variables is identical to thos</w:t>
      </w:r>
      <w:r>
        <w:t xml:space="preserve">e defined in Section </w:t>
      </w:r>
      <w:r>
        <w:t>18.1.2</w:t>
      </w:r>
      <w:r>
        <w:t xml:space="preserve"> above.</w:t>
      </w:r>
    </w:p>
    <w:p w:rsidR="00FD3407" w:rsidRDefault="00121CFF" w:rsidP="007653B1">
      <w:pPr>
        <w:pStyle w:val="subheadwH2Formatting"/>
      </w:pPr>
      <w:bookmarkStart w:id="5" w:name="_Toc261183730"/>
      <w:r>
        <w:t>18.2</w:t>
      </w:r>
      <w:r>
        <w:rPr>
          <w:i/>
          <w:iCs/>
        </w:rPr>
        <w:tab/>
      </w:r>
      <w:r>
        <w:t>Supplemental Payments for Curtailment Initiation Costs</w:t>
      </w:r>
      <w:bookmarkEnd w:id="5"/>
    </w:p>
    <w:p w:rsidR="00FD3407" w:rsidRDefault="00121CFF" w:rsidP="005346BB">
      <w:pPr>
        <w:pStyle w:val="Bodypara"/>
      </w:pPr>
      <w:r>
        <w:t>A supplemental payment for Curtailment Ini</w:t>
      </w:r>
      <w:r>
        <w:t xml:space="preserve">tiation Costs shall be made when the </w:t>
      </w:r>
      <w:r w:rsidRPr="00551B75">
        <w:t>Curtailment Initiation Cost Bid and the Demand Reduction Bid price offered by a Demand Reduction Provider for any Demand Reduction committed by the ISO in the Day-Ahead market over the [twenty-four (24) hour] day exceed</w:t>
      </w:r>
      <w:r w:rsidRPr="00551B75">
        <w:t>s Day-Ahead LBMP revenue, provided however that</w:t>
      </w:r>
      <w:r>
        <w:t xml:space="preserve"> Supplemental payments made to Demand Reduction Providers that fail to complete their scheduled reductions may be reduced by the ISO, pursuant to ISO Procedures.</w:t>
      </w:r>
    </w:p>
    <w:p w:rsidR="00FD3407" w:rsidRPr="005346BB" w:rsidRDefault="00121CFF" w:rsidP="007653B1">
      <w:pPr>
        <w:pStyle w:val="subheadwH2Formatting"/>
        <w:rPr>
          <w:bCs/>
        </w:rPr>
      </w:pPr>
      <w:bookmarkStart w:id="6" w:name="_Toc261183731"/>
      <w:r>
        <w:t>18</w:t>
      </w:r>
      <w:r>
        <w:t>.3</w:t>
      </w:r>
      <w:r w:rsidRPr="005346BB">
        <w:tab/>
        <w:t>Supplemental Paym</w:t>
      </w:r>
      <w:r>
        <w:t xml:space="preserve">ents for Special Case </w:t>
      </w:r>
      <w:r>
        <w:t>Resources</w:t>
      </w:r>
      <w:bookmarkEnd w:id="6"/>
    </w:p>
    <w:p w:rsidR="00FD3407" w:rsidRPr="00551B75" w:rsidRDefault="00121CFF" w:rsidP="005346BB">
      <w:pPr>
        <w:pStyle w:val="Bodypara"/>
      </w:pPr>
      <w:r>
        <w:t xml:space="preserve">A supplemental payment for Minimum Payment Nominations shall be made when the </w:t>
      </w:r>
      <w:r w:rsidRPr="00551B75">
        <w:t xml:space="preserve">Minimum Payment Nomination for any Special Case Resource committed by the ISO exceeds the LBMP revenue received for performance by that Special Case Resource provided, </w:t>
      </w:r>
      <w:r w:rsidRPr="00551B75">
        <w:t>however, that the ISO shall set to zero the Minimum Payment Nomination for Special Case Resource Capacity in each interval in which such capacity was scheduled Day-Ahead to provide Operating Reserves, Regulation Service or Energy.</w:t>
      </w:r>
    </w:p>
    <w:p w:rsidR="00FD3407" w:rsidRPr="00551B75" w:rsidRDefault="00121CFF" w:rsidP="007653B1">
      <w:pPr>
        <w:pStyle w:val="subheadwH2Formatting"/>
      </w:pPr>
      <w:bookmarkStart w:id="7" w:name="_Toc261183732"/>
      <w:r>
        <w:t>18.</w:t>
      </w:r>
      <w:r>
        <w:t>4</w:t>
      </w:r>
      <w:r w:rsidRPr="00551B75">
        <w:tab/>
        <w:t>Supplemental Payment</w:t>
      </w:r>
      <w:r w:rsidRPr="00551B75">
        <w:t>s for Demand Side Resources providing Synchronized Operating Reserves</w:t>
      </w:r>
      <w:bookmarkEnd w:id="7"/>
      <w:r w:rsidRPr="00551B75">
        <w:t xml:space="preserve">  </w:t>
      </w:r>
    </w:p>
    <w:p w:rsidR="00FD3407" w:rsidRPr="00551B75" w:rsidRDefault="00121CFF" w:rsidP="002E7190">
      <w:pPr>
        <w:pStyle w:val="alphapara"/>
      </w:pPr>
      <w:r w:rsidRPr="00551B75">
        <w:t xml:space="preserve">A.  </w:t>
      </w:r>
      <w:r>
        <w:tab/>
      </w:r>
      <w:r w:rsidRPr="00551B75">
        <w:t>A supplemental payment to a Demand Side Resource with a synchronized Operating Reserves or Regulation Service schedule in the Day-Ahead Market shall be calculated by setting to ze</w:t>
      </w:r>
      <w:r w:rsidRPr="00551B75">
        <w:t xml:space="preserve">ro all terms provided in Section </w:t>
      </w:r>
      <w:r>
        <w:t>18.1.1</w:t>
      </w:r>
      <w:r w:rsidRPr="00551B75">
        <w:t xml:space="preserve"> of this Attachment C, with which Day-Ahead supplemental payments are calculated, with the exception of the term NASR</w:t>
      </w:r>
      <w:r w:rsidRPr="00551B75">
        <w:rPr>
          <w:sz w:val="20"/>
          <w:vertAlign w:val="subscript"/>
        </w:rPr>
        <w:t>gh</w:t>
      </w:r>
      <w:r w:rsidRPr="00551B75">
        <w:rPr>
          <w:sz w:val="20"/>
          <w:vertAlign w:val="superscript"/>
        </w:rPr>
        <w:t xml:space="preserve">DA </w:t>
      </w:r>
      <w:r w:rsidRPr="00551B75">
        <w:t xml:space="preserve">which shall be calculated pursuant to its description.  </w:t>
      </w:r>
    </w:p>
    <w:p w:rsidR="00A64B0B" w:rsidRPr="00AB030C" w:rsidRDefault="00121CFF" w:rsidP="002E7190">
      <w:pPr>
        <w:pStyle w:val="alphapara"/>
      </w:pPr>
      <w:r w:rsidRPr="00551B75">
        <w:t xml:space="preserve">B.  </w:t>
      </w:r>
      <w:r>
        <w:tab/>
      </w:r>
      <w:r w:rsidRPr="00551B75">
        <w:t>A supplemental payment to a D</w:t>
      </w:r>
      <w:r>
        <w:t>e</w:t>
      </w:r>
      <w:r w:rsidRPr="00551B75">
        <w:t>man</w:t>
      </w:r>
      <w:r w:rsidRPr="00551B75">
        <w:t xml:space="preserve">d Side Resource with a synchronized Operating Reserves schedule in the real-time Market shall be calculated by setting to zero all terms provided in Section </w:t>
      </w:r>
      <w:r>
        <w:t>18.1.2</w:t>
      </w:r>
      <w:r w:rsidRPr="00551B75">
        <w:t xml:space="preserve"> of this Attachment C, with which real-time supplemental payments are </w:t>
      </w:r>
      <w:r w:rsidRPr="00AB030C">
        <w:t>calculated, with the ex</w:t>
      </w:r>
      <w:r w:rsidRPr="00AB030C">
        <w:t>ception of the terms NASR</w:t>
      </w:r>
      <w:r w:rsidRPr="00AB030C">
        <w:rPr>
          <w:sz w:val="20"/>
          <w:vertAlign w:val="subscript"/>
        </w:rPr>
        <w:t>gi</w:t>
      </w:r>
      <w:r w:rsidRPr="00AB030C">
        <w:rPr>
          <w:sz w:val="20"/>
          <w:vertAlign w:val="superscript"/>
        </w:rPr>
        <w:t>DA</w:t>
      </w:r>
      <w:r w:rsidRPr="00AB030C">
        <w:t xml:space="preserve"> and NASR</w:t>
      </w:r>
      <w:r w:rsidRPr="00AB030C">
        <w:rPr>
          <w:sz w:val="20"/>
          <w:vertAlign w:val="subscript"/>
        </w:rPr>
        <w:t>gi</w:t>
      </w:r>
      <w:r w:rsidRPr="00AB030C">
        <w:rPr>
          <w:sz w:val="20"/>
          <w:vertAlign w:val="superscript"/>
        </w:rPr>
        <w:t>TOT</w:t>
      </w:r>
      <w:r w:rsidRPr="00AB030C">
        <w:rPr>
          <w:sz w:val="20"/>
        </w:rPr>
        <w:t xml:space="preserve">, </w:t>
      </w:r>
      <w:r w:rsidRPr="00AB030C">
        <w:t xml:space="preserve">which shall be calculated pursuant to their descriptions.  </w:t>
      </w:r>
    </w:p>
    <w:p w:rsidR="00A64B0B" w:rsidRDefault="00121CFF" w:rsidP="005346BB">
      <w:pPr>
        <w:pStyle w:val="Bodypara"/>
      </w:pPr>
      <w:r>
        <w:t>Generators with start-up times of greater than twenty-four (24) hours will have their start-up cost Bids equally prorated over the course of each day i</w:t>
      </w:r>
      <w:r>
        <w:t>ncluded in their start-up period.  Consequently, units whose start-ups are aborted will receive a prorated portion of those payments, based on the portion of the start-up sequence they have completed (e.g., if a unit with a seventy-two (72) hour start-up t</w:t>
      </w:r>
      <w:r>
        <w:t>ime has its start-up sequence aborted after forty-eight (48) hours, it would receive two-thirds (2/3) of its start-up cost Bid).</w:t>
      </w:r>
    </w:p>
    <w:sectPr w:rsidR="00A64B0B" w:rsidSect="00DF196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E9F" w:rsidRDefault="009E0E9F" w:rsidP="009E0E9F">
      <w:r>
        <w:separator/>
      </w:r>
    </w:p>
  </w:endnote>
  <w:endnote w:type="continuationSeparator" w:id="0">
    <w:p w:rsidR="009E0E9F" w:rsidRDefault="009E0E9F" w:rsidP="009E0E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9F" w:rsidRDefault="00121CF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E0E9F">
      <w:rPr>
        <w:rFonts w:ascii="Arial" w:eastAsia="Arial" w:hAnsi="Arial" w:cs="Arial"/>
        <w:color w:val="000000"/>
        <w:sz w:val="16"/>
      </w:rPr>
      <w:fldChar w:fldCharType="begin"/>
    </w:r>
    <w:r>
      <w:rPr>
        <w:rFonts w:ascii="Arial" w:eastAsia="Arial" w:hAnsi="Arial" w:cs="Arial"/>
        <w:color w:val="000000"/>
        <w:sz w:val="16"/>
      </w:rPr>
      <w:instrText>PAGE</w:instrText>
    </w:r>
    <w:r w:rsidR="009E0E9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9F" w:rsidRDefault="00121CF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E0E9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E0E9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9F" w:rsidRDefault="00121CF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E0E9F">
      <w:rPr>
        <w:rFonts w:ascii="Arial" w:eastAsia="Arial" w:hAnsi="Arial" w:cs="Arial"/>
        <w:color w:val="000000"/>
        <w:sz w:val="16"/>
      </w:rPr>
      <w:fldChar w:fldCharType="begin"/>
    </w:r>
    <w:r>
      <w:rPr>
        <w:rFonts w:ascii="Arial" w:eastAsia="Arial" w:hAnsi="Arial" w:cs="Arial"/>
        <w:color w:val="000000"/>
        <w:sz w:val="16"/>
      </w:rPr>
      <w:instrText>PAGE</w:instrText>
    </w:r>
    <w:r w:rsidR="009E0E9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E9F" w:rsidRDefault="009E0E9F" w:rsidP="009E0E9F">
      <w:r>
        <w:separator/>
      </w:r>
    </w:p>
  </w:footnote>
  <w:footnote w:type="continuationSeparator" w:id="0">
    <w:p w:rsidR="009E0E9F" w:rsidRDefault="009E0E9F" w:rsidP="009E0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9F" w:rsidRDefault="00121CF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18 MST Attachment C - Formulas For Determining Bid Productn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9F" w:rsidRDefault="00121CF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9F" w:rsidRDefault="00121CF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w:t>
    </w:r>
    <w:r>
      <w:rPr>
        <w:rFonts w:ascii="Arial" w:eastAsia="Arial" w:hAnsi="Arial" w:cs="Arial"/>
        <w:color w:val="000000"/>
        <w:sz w:val="16"/>
      </w:rPr>
      <w:t>ining Bid Productn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61A67D2">
      <w:start w:val="1"/>
      <w:numFmt w:val="bullet"/>
      <w:pStyle w:val="Bulletpara"/>
      <w:lvlText w:val=""/>
      <w:lvlJc w:val="left"/>
      <w:pPr>
        <w:tabs>
          <w:tab w:val="num" w:pos="720"/>
        </w:tabs>
        <w:ind w:left="720" w:hanging="360"/>
      </w:pPr>
      <w:rPr>
        <w:rFonts w:ascii="Symbol" w:hAnsi="Symbol" w:hint="default"/>
      </w:rPr>
    </w:lvl>
    <w:lvl w:ilvl="1" w:tplc="7E9EDA18" w:tentative="1">
      <w:start w:val="1"/>
      <w:numFmt w:val="bullet"/>
      <w:lvlText w:val="o"/>
      <w:lvlJc w:val="left"/>
      <w:pPr>
        <w:tabs>
          <w:tab w:val="num" w:pos="1440"/>
        </w:tabs>
        <w:ind w:left="1440" w:hanging="360"/>
      </w:pPr>
      <w:rPr>
        <w:rFonts w:ascii="Courier New" w:hAnsi="Courier New" w:cs="Courier New" w:hint="default"/>
      </w:rPr>
    </w:lvl>
    <w:lvl w:ilvl="2" w:tplc="85FC8356" w:tentative="1">
      <w:start w:val="1"/>
      <w:numFmt w:val="bullet"/>
      <w:lvlText w:val=""/>
      <w:lvlJc w:val="left"/>
      <w:pPr>
        <w:tabs>
          <w:tab w:val="num" w:pos="2160"/>
        </w:tabs>
        <w:ind w:left="2160" w:hanging="360"/>
      </w:pPr>
      <w:rPr>
        <w:rFonts w:ascii="Wingdings" w:hAnsi="Wingdings" w:hint="default"/>
      </w:rPr>
    </w:lvl>
    <w:lvl w:ilvl="3" w:tplc="19AC5844" w:tentative="1">
      <w:start w:val="1"/>
      <w:numFmt w:val="bullet"/>
      <w:lvlText w:val=""/>
      <w:lvlJc w:val="left"/>
      <w:pPr>
        <w:tabs>
          <w:tab w:val="num" w:pos="2880"/>
        </w:tabs>
        <w:ind w:left="2880" w:hanging="360"/>
      </w:pPr>
      <w:rPr>
        <w:rFonts w:ascii="Symbol" w:hAnsi="Symbol" w:hint="default"/>
      </w:rPr>
    </w:lvl>
    <w:lvl w:ilvl="4" w:tplc="C0EA8006" w:tentative="1">
      <w:start w:val="1"/>
      <w:numFmt w:val="bullet"/>
      <w:lvlText w:val="o"/>
      <w:lvlJc w:val="left"/>
      <w:pPr>
        <w:tabs>
          <w:tab w:val="num" w:pos="3600"/>
        </w:tabs>
        <w:ind w:left="3600" w:hanging="360"/>
      </w:pPr>
      <w:rPr>
        <w:rFonts w:ascii="Courier New" w:hAnsi="Courier New" w:cs="Courier New" w:hint="default"/>
      </w:rPr>
    </w:lvl>
    <w:lvl w:ilvl="5" w:tplc="D368CA94" w:tentative="1">
      <w:start w:val="1"/>
      <w:numFmt w:val="bullet"/>
      <w:lvlText w:val=""/>
      <w:lvlJc w:val="left"/>
      <w:pPr>
        <w:tabs>
          <w:tab w:val="num" w:pos="4320"/>
        </w:tabs>
        <w:ind w:left="4320" w:hanging="360"/>
      </w:pPr>
      <w:rPr>
        <w:rFonts w:ascii="Wingdings" w:hAnsi="Wingdings" w:hint="default"/>
      </w:rPr>
    </w:lvl>
    <w:lvl w:ilvl="6" w:tplc="43D6FD52" w:tentative="1">
      <w:start w:val="1"/>
      <w:numFmt w:val="bullet"/>
      <w:lvlText w:val=""/>
      <w:lvlJc w:val="left"/>
      <w:pPr>
        <w:tabs>
          <w:tab w:val="num" w:pos="5040"/>
        </w:tabs>
        <w:ind w:left="5040" w:hanging="360"/>
      </w:pPr>
      <w:rPr>
        <w:rFonts w:ascii="Symbol" w:hAnsi="Symbol" w:hint="default"/>
      </w:rPr>
    </w:lvl>
    <w:lvl w:ilvl="7" w:tplc="FBB85F64" w:tentative="1">
      <w:start w:val="1"/>
      <w:numFmt w:val="bullet"/>
      <w:lvlText w:val="o"/>
      <w:lvlJc w:val="left"/>
      <w:pPr>
        <w:tabs>
          <w:tab w:val="num" w:pos="5760"/>
        </w:tabs>
        <w:ind w:left="5760" w:hanging="360"/>
      </w:pPr>
      <w:rPr>
        <w:rFonts w:ascii="Courier New" w:hAnsi="Courier New" w:cs="Courier New" w:hint="default"/>
      </w:rPr>
    </w:lvl>
    <w:lvl w:ilvl="8" w:tplc="0664A48A"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994C82E8">
      <w:start w:val="1"/>
      <w:numFmt w:val="lowerRoman"/>
      <w:lvlText w:val="(%1)"/>
      <w:lvlJc w:val="left"/>
      <w:pPr>
        <w:tabs>
          <w:tab w:val="num" w:pos="2448"/>
        </w:tabs>
        <w:ind w:left="2448" w:hanging="648"/>
      </w:pPr>
      <w:rPr>
        <w:rFonts w:hint="default"/>
        <w:b w:val="0"/>
        <w:i w:val="0"/>
        <w:u w:val="none"/>
      </w:rPr>
    </w:lvl>
    <w:lvl w:ilvl="1" w:tplc="6AB291FC" w:tentative="1">
      <w:start w:val="1"/>
      <w:numFmt w:val="lowerLetter"/>
      <w:lvlText w:val="%2."/>
      <w:lvlJc w:val="left"/>
      <w:pPr>
        <w:tabs>
          <w:tab w:val="num" w:pos="1440"/>
        </w:tabs>
        <w:ind w:left="1440" w:hanging="360"/>
      </w:pPr>
    </w:lvl>
    <w:lvl w:ilvl="2" w:tplc="0E4E0D54" w:tentative="1">
      <w:start w:val="1"/>
      <w:numFmt w:val="lowerRoman"/>
      <w:lvlText w:val="%3."/>
      <w:lvlJc w:val="right"/>
      <w:pPr>
        <w:tabs>
          <w:tab w:val="num" w:pos="2160"/>
        </w:tabs>
        <w:ind w:left="2160" w:hanging="180"/>
      </w:pPr>
    </w:lvl>
    <w:lvl w:ilvl="3" w:tplc="A09E5BFE" w:tentative="1">
      <w:start w:val="1"/>
      <w:numFmt w:val="decimal"/>
      <w:lvlText w:val="%4."/>
      <w:lvlJc w:val="left"/>
      <w:pPr>
        <w:tabs>
          <w:tab w:val="num" w:pos="2880"/>
        </w:tabs>
        <w:ind w:left="2880" w:hanging="360"/>
      </w:pPr>
    </w:lvl>
    <w:lvl w:ilvl="4" w:tplc="9ED01CF6" w:tentative="1">
      <w:start w:val="1"/>
      <w:numFmt w:val="lowerLetter"/>
      <w:lvlText w:val="%5."/>
      <w:lvlJc w:val="left"/>
      <w:pPr>
        <w:tabs>
          <w:tab w:val="num" w:pos="3600"/>
        </w:tabs>
        <w:ind w:left="3600" w:hanging="360"/>
      </w:pPr>
    </w:lvl>
    <w:lvl w:ilvl="5" w:tplc="62FE1200" w:tentative="1">
      <w:start w:val="1"/>
      <w:numFmt w:val="lowerRoman"/>
      <w:lvlText w:val="%6."/>
      <w:lvlJc w:val="right"/>
      <w:pPr>
        <w:tabs>
          <w:tab w:val="num" w:pos="4320"/>
        </w:tabs>
        <w:ind w:left="4320" w:hanging="180"/>
      </w:pPr>
    </w:lvl>
    <w:lvl w:ilvl="6" w:tplc="D4DEFB48" w:tentative="1">
      <w:start w:val="1"/>
      <w:numFmt w:val="decimal"/>
      <w:lvlText w:val="%7."/>
      <w:lvlJc w:val="left"/>
      <w:pPr>
        <w:tabs>
          <w:tab w:val="num" w:pos="5040"/>
        </w:tabs>
        <w:ind w:left="5040" w:hanging="360"/>
      </w:pPr>
    </w:lvl>
    <w:lvl w:ilvl="7" w:tplc="B4CEC522" w:tentative="1">
      <w:start w:val="1"/>
      <w:numFmt w:val="lowerLetter"/>
      <w:lvlText w:val="%8."/>
      <w:lvlJc w:val="left"/>
      <w:pPr>
        <w:tabs>
          <w:tab w:val="num" w:pos="5760"/>
        </w:tabs>
        <w:ind w:left="5760" w:hanging="360"/>
      </w:pPr>
    </w:lvl>
    <w:lvl w:ilvl="8" w:tplc="34980CAE"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245C383E">
      <w:start w:val="1"/>
      <w:numFmt w:val="bullet"/>
      <w:lvlText w:val=""/>
      <w:lvlJc w:val="left"/>
      <w:pPr>
        <w:tabs>
          <w:tab w:val="num" w:pos="5760"/>
        </w:tabs>
        <w:ind w:left="5760" w:hanging="360"/>
      </w:pPr>
      <w:rPr>
        <w:rFonts w:ascii="Symbol" w:hAnsi="Symbol" w:hint="default"/>
        <w:color w:val="auto"/>
        <w:u w:val="none"/>
      </w:rPr>
    </w:lvl>
    <w:lvl w:ilvl="1" w:tplc="318C4F3C" w:tentative="1">
      <w:start w:val="1"/>
      <w:numFmt w:val="bullet"/>
      <w:lvlText w:val="o"/>
      <w:lvlJc w:val="left"/>
      <w:pPr>
        <w:tabs>
          <w:tab w:val="num" w:pos="3600"/>
        </w:tabs>
        <w:ind w:left="3600" w:hanging="360"/>
      </w:pPr>
      <w:rPr>
        <w:rFonts w:ascii="Courier New" w:hAnsi="Courier New" w:hint="default"/>
      </w:rPr>
    </w:lvl>
    <w:lvl w:ilvl="2" w:tplc="473E61F8" w:tentative="1">
      <w:start w:val="1"/>
      <w:numFmt w:val="bullet"/>
      <w:lvlText w:val=""/>
      <w:lvlJc w:val="left"/>
      <w:pPr>
        <w:tabs>
          <w:tab w:val="num" w:pos="4320"/>
        </w:tabs>
        <w:ind w:left="4320" w:hanging="360"/>
      </w:pPr>
      <w:rPr>
        <w:rFonts w:ascii="Wingdings" w:hAnsi="Wingdings" w:hint="default"/>
      </w:rPr>
    </w:lvl>
    <w:lvl w:ilvl="3" w:tplc="CDFA892C">
      <w:start w:val="1"/>
      <w:numFmt w:val="bullet"/>
      <w:lvlText w:val=""/>
      <w:lvlJc w:val="left"/>
      <w:pPr>
        <w:tabs>
          <w:tab w:val="num" w:pos="5040"/>
        </w:tabs>
        <w:ind w:left="5040" w:hanging="360"/>
      </w:pPr>
      <w:rPr>
        <w:rFonts w:ascii="Symbol" w:hAnsi="Symbol" w:hint="default"/>
      </w:rPr>
    </w:lvl>
    <w:lvl w:ilvl="4" w:tplc="0756E3E0" w:tentative="1">
      <w:start w:val="1"/>
      <w:numFmt w:val="bullet"/>
      <w:lvlText w:val="o"/>
      <w:lvlJc w:val="left"/>
      <w:pPr>
        <w:tabs>
          <w:tab w:val="num" w:pos="5760"/>
        </w:tabs>
        <w:ind w:left="5760" w:hanging="360"/>
      </w:pPr>
      <w:rPr>
        <w:rFonts w:ascii="Courier New" w:hAnsi="Courier New" w:hint="default"/>
      </w:rPr>
    </w:lvl>
    <w:lvl w:ilvl="5" w:tplc="A7D4F880" w:tentative="1">
      <w:start w:val="1"/>
      <w:numFmt w:val="bullet"/>
      <w:lvlText w:val=""/>
      <w:lvlJc w:val="left"/>
      <w:pPr>
        <w:tabs>
          <w:tab w:val="num" w:pos="6480"/>
        </w:tabs>
        <w:ind w:left="6480" w:hanging="360"/>
      </w:pPr>
      <w:rPr>
        <w:rFonts w:ascii="Wingdings" w:hAnsi="Wingdings" w:hint="default"/>
      </w:rPr>
    </w:lvl>
    <w:lvl w:ilvl="6" w:tplc="ECD43AE2" w:tentative="1">
      <w:start w:val="1"/>
      <w:numFmt w:val="bullet"/>
      <w:lvlText w:val=""/>
      <w:lvlJc w:val="left"/>
      <w:pPr>
        <w:tabs>
          <w:tab w:val="num" w:pos="7200"/>
        </w:tabs>
        <w:ind w:left="7200" w:hanging="360"/>
      </w:pPr>
      <w:rPr>
        <w:rFonts w:ascii="Symbol" w:hAnsi="Symbol" w:hint="default"/>
      </w:rPr>
    </w:lvl>
    <w:lvl w:ilvl="7" w:tplc="544EB278" w:tentative="1">
      <w:start w:val="1"/>
      <w:numFmt w:val="bullet"/>
      <w:lvlText w:val="o"/>
      <w:lvlJc w:val="left"/>
      <w:pPr>
        <w:tabs>
          <w:tab w:val="num" w:pos="7920"/>
        </w:tabs>
        <w:ind w:left="7920" w:hanging="360"/>
      </w:pPr>
      <w:rPr>
        <w:rFonts w:ascii="Courier New" w:hAnsi="Courier New" w:hint="default"/>
      </w:rPr>
    </w:lvl>
    <w:lvl w:ilvl="8" w:tplc="46A469F2"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1"/>
  </w:num>
  <w:num w:numId="2">
    <w:abstractNumId w:val="3"/>
  </w:num>
  <w:num w:numId="3">
    <w:abstractNumId w:val="4"/>
  </w:num>
  <w:num w:numId="4">
    <w:abstractNumId w:val="9"/>
  </w:num>
  <w:num w:numId="5">
    <w:abstractNumId w:val="2"/>
  </w:num>
  <w:num w:numId="6">
    <w:abstractNumId w:val="10"/>
  </w:num>
  <w:num w:numId="7">
    <w:abstractNumId w:val="7"/>
  </w:num>
  <w:num w:numId="8">
    <w:abstractNumId w:val="6"/>
  </w:num>
  <w:num w:numId="9">
    <w:abstractNumId w:val="5"/>
  </w:num>
  <w:num w:numId="10">
    <w:abstractNumId w:val="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9E0E9F"/>
    <w:rsid w:val="00121CFF"/>
    <w:rsid w:val="009E0E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96D"/>
    <w:rPr>
      <w:sz w:val="24"/>
      <w:szCs w:val="24"/>
    </w:rPr>
  </w:style>
  <w:style w:type="paragraph" w:styleId="Heading1">
    <w:name w:val="heading 1"/>
    <w:basedOn w:val="Normal"/>
    <w:next w:val="Normal"/>
    <w:qFormat/>
    <w:rsid w:val="00FA3059"/>
    <w:pPr>
      <w:keepNext/>
      <w:pageBreakBefore/>
      <w:spacing w:before="240" w:after="240"/>
      <w:ind w:left="720" w:hanging="720"/>
      <w:outlineLvl w:val="0"/>
    </w:pPr>
    <w:rPr>
      <w:b/>
    </w:rPr>
  </w:style>
  <w:style w:type="paragraph" w:styleId="Heading2">
    <w:name w:val="heading 2"/>
    <w:basedOn w:val="Normal"/>
    <w:next w:val="Normal"/>
    <w:qFormat/>
    <w:rsid w:val="00FA305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A305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A3059"/>
    <w:pPr>
      <w:keepNext/>
      <w:tabs>
        <w:tab w:val="left" w:pos="1800"/>
      </w:tabs>
      <w:spacing w:before="240" w:after="240"/>
      <w:ind w:left="1800" w:hanging="1080"/>
      <w:outlineLvl w:val="3"/>
    </w:pPr>
    <w:rPr>
      <w:b/>
    </w:rPr>
  </w:style>
  <w:style w:type="paragraph" w:styleId="Heading5">
    <w:name w:val="heading 5"/>
    <w:basedOn w:val="Normal"/>
    <w:next w:val="Normal"/>
    <w:qFormat/>
    <w:rsid w:val="00FA3059"/>
    <w:pPr>
      <w:keepNext/>
      <w:spacing w:line="480" w:lineRule="auto"/>
      <w:ind w:left="1440" w:right="-90" w:hanging="720"/>
      <w:outlineLvl w:val="4"/>
    </w:pPr>
    <w:rPr>
      <w:b/>
    </w:rPr>
  </w:style>
  <w:style w:type="paragraph" w:styleId="Heading6">
    <w:name w:val="heading 6"/>
    <w:basedOn w:val="Normal"/>
    <w:next w:val="Normal"/>
    <w:qFormat/>
    <w:rsid w:val="00FA3059"/>
    <w:pPr>
      <w:keepNext/>
      <w:spacing w:line="480" w:lineRule="auto"/>
      <w:ind w:left="1080" w:right="-90" w:hanging="360"/>
      <w:outlineLvl w:val="5"/>
    </w:pPr>
    <w:rPr>
      <w:b/>
    </w:rPr>
  </w:style>
  <w:style w:type="paragraph" w:styleId="Heading7">
    <w:name w:val="heading 7"/>
    <w:basedOn w:val="Normal"/>
    <w:next w:val="Normal"/>
    <w:qFormat/>
    <w:rsid w:val="00FA3059"/>
    <w:pPr>
      <w:keepNext/>
      <w:spacing w:line="480" w:lineRule="auto"/>
      <w:ind w:left="720" w:right="630"/>
      <w:outlineLvl w:val="6"/>
    </w:pPr>
    <w:rPr>
      <w:b/>
    </w:rPr>
  </w:style>
  <w:style w:type="paragraph" w:styleId="Heading8">
    <w:name w:val="heading 8"/>
    <w:basedOn w:val="Normal"/>
    <w:next w:val="Normal"/>
    <w:qFormat/>
    <w:rsid w:val="00FA3059"/>
    <w:pPr>
      <w:keepNext/>
      <w:spacing w:line="480" w:lineRule="auto"/>
      <w:ind w:left="720" w:right="-90"/>
      <w:outlineLvl w:val="7"/>
    </w:pPr>
    <w:rPr>
      <w:b/>
    </w:rPr>
  </w:style>
  <w:style w:type="paragraph" w:styleId="Heading9">
    <w:name w:val="heading 9"/>
    <w:basedOn w:val="Normal"/>
    <w:next w:val="Normal"/>
    <w:qFormat/>
    <w:rsid w:val="00FA305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E0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character" w:customStyle="1" w:styleId="InitialStyle">
    <w:name w:val="InitialStyle"/>
    <w:rsid w:val="009E0E9F"/>
    <w:rPr>
      <w:rFonts w:ascii="Courier" w:hAnsi="Courier"/>
      <w:noProof w:val="0"/>
      <w:color w:val="000000"/>
      <w:sz w:val="24"/>
      <w:lang w:val="en-US"/>
    </w:rPr>
  </w:style>
  <w:style w:type="paragraph" w:styleId="BodyTextIndent">
    <w:name w:val="Body Text Indent"/>
    <w:basedOn w:val="Normal"/>
    <w:rsid w:val="009E0E9F"/>
    <w:pPr>
      <w:tabs>
        <w:tab w:val="left" w:pos="1440"/>
      </w:tabs>
      <w:spacing w:line="240" w:lineRule="atLeast"/>
      <w:ind w:left="2160"/>
    </w:pPr>
    <w:rPr>
      <w:color w:val="000000"/>
    </w:rPr>
  </w:style>
  <w:style w:type="paragraph" w:styleId="Title">
    <w:name w:val="Title"/>
    <w:basedOn w:val="Normal"/>
    <w:qFormat/>
    <w:rsid w:val="009E0E9F"/>
    <w:pPr>
      <w:jc w:val="center"/>
    </w:pPr>
    <w:rPr>
      <w:b/>
    </w:rPr>
  </w:style>
  <w:style w:type="paragraph" w:styleId="Header">
    <w:name w:val="header"/>
    <w:basedOn w:val="Normal"/>
    <w:rsid w:val="00FA3059"/>
    <w:pPr>
      <w:tabs>
        <w:tab w:val="center" w:pos="4680"/>
        <w:tab w:val="right" w:pos="9360"/>
      </w:tabs>
    </w:pPr>
  </w:style>
  <w:style w:type="paragraph" w:styleId="Footer">
    <w:name w:val="footer"/>
    <w:basedOn w:val="Normal"/>
    <w:rsid w:val="009E0E9F"/>
    <w:pPr>
      <w:tabs>
        <w:tab w:val="center" w:pos="4320"/>
        <w:tab w:val="right" w:pos="8640"/>
      </w:tabs>
    </w:pPr>
  </w:style>
  <w:style w:type="paragraph" w:styleId="BodyTextIndent2">
    <w:name w:val="Body Text Indent 2"/>
    <w:basedOn w:val="Normal"/>
    <w:rsid w:val="007F47EC"/>
    <w:pPr>
      <w:spacing w:after="120" w:line="480" w:lineRule="auto"/>
      <w:ind w:left="360"/>
    </w:pPr>
  </w:style>
  <w:style w:type="paragraph" w:styleId="BodyText">
    <w:name w:val="Body Text"/>
    <w:basedOn w:val="Normal"/>
    <w:rsid w:val="007F47EC"/>
    <w:pPr>
      <w:spacing w:after="120"/>
    </w:pPr>
  </w:style>
  <w:style w:type="paragraph" w:customStyle="1" w:styleId="subheadwH2Formatting">
    <w:name w:val="subhead w H2 Formatting"/>
    <w:basedOn w:val="Heading2"/>
    <w:rsid w:val="007653B1"/>
  </w:style>
  <w:style w:type="character" w:customStyle="1" w:styleId="Heading3Char">
    <w:name w:val="Heading 3 Char"/>
    <w:basedOn w:val="DefaultParagraphFont"/>
    <w:link w:val="Heading3"/>
    <w:rsid w:val="00FA3059"/>
    <w:rPr>
      <w:b/>
      <w:snapToGrid w:val="0"/>
      <w:sz w:val="24"/>
      <w:lang w:val="en-US" w:eastAsia="en-US" w:bidi="ar-SA"/>
    </w:rPr>
  </w:style>
  <w:style w:type="character" w:styleId="FootnoteReference">
    <w:name w:val="footnote reference"/>
    <w:semiHidden/>
    <w:rsid w:val="00FA3059"/>
  </w:style>
  <w:style w:type="paragraph" w:customStyle="1" w:styleId="Level1">
    <w:name w:val="Level 1"/>
    <w:basedOn w:val="Normal"/>
    <w:rsid w:val="00FA3059"/>
    <w:pPr>
      <w:ind w:left="1890" w:hanging="720"/>
    </w:pPr>
  </w:style>
  <w:style w:type="paragraph" w:customStyle="1" w:styleId="Definition">
    <w:name w:val="Definition"/>
    <w:basedOn w:val="Normal"/>
    <w:rsid w:val="00FA3059"/>
    <w:pPr>
      <w:spacing w:before="240" w:after="240"/>
    </w:pPr>
  </w:style>
  <w:style w:type="paragraph" w:customStyle="1" w:styleId="Definitionindent">
    <w:name w:val="Definition indent"/>
    <w:basedOn w:val="Definition"/>
    <w:rsid w:val="00FA3059"/>
    <w:pPr>
      <w:spacing w:before="120" w:after="120"/>
      <w:ind w:left="720"/>
    </w:pPr>
  </w:style>
  <w:style w:type="paragraph" w:customStyle="1" w:styleId="Bodypara">
    <w:name w:val="Body para"/>
    <w:basedOn w:val="Normal"/>
    <w:rsid w:val="00FA3059"/>
    <w:pPr>
      <w:spacing w:line="480" w:lineRule="auto"/>
      <w:ind w:firstLine="720"/>
    </w:pPr>
  </w:style>
  <w:style w:type="paragraph" w:customStyle="1" w:styleId="alphapara">
    <w:name w:val="alpha para"/>
    <w:basedOn w:val="Bodypara"/>
    <w:rsid w:val="00FA3059"/>
    <w:pPr>
      <w:ind w:left="1440" w:hanging="720"/>
    </w:pPr>
  </w:style>
  <w:style w:type="paragraph" w:styleId="Date">
    <w:name w:val="Date"/>
    <w:basedOn w:val="Normal"/>
    <w:next w:val="Normal"/>
    <w:rsid w:val="00FA3059"/>
  </w:style>
  <w:style w:type="paragraph" w:customStyle="1" w:styleId="TOCheading">
    <w:name w:val="TOC heading"/>
    <w:basedOn w:val="Normal"/>
    <w:rsid w:val="00FA3059"/>
    <w:pPr>
      <w:spacing w:before="240" w:after="240"/>
    </w:pPr>
    <w:rPr>
      <w:b/>
    </w:rPr>
  </w:style>
  <w:style w:type="paragraph" w:styleId="DocumentMap">
    <w:name w:val="Document Map"/>
    <w:basedOn w:val="Normal"/>
    <w:semiHidden/>
    <w:rsid w:val="00FA3059"/>
    <w:pPr>
      <w:shd w:val="clear" w:color="auto" w:fill="000080"/>
    </w:pPr>
    <w:rPr>
      <w:rFonts w:ascii="Tahoma" w:hAnsi="Tahoma" w:cs="Tahoma"/>
      <w:sz w:val="20"/>
    </w:rPr>
  </w:style>
  <w:style w:type="paragraph" w:styleId="BalloonText">
    <w:name w:val="Balloon Text"/>
    <w:basedOn w:val="Normal"/>
    <w:semiHidden/>
    <w:rsid w:val="00FA3059"/>
    <w:rPr>
      <w:rFonts w:ascii="Tahoma" w:hAnsi="Tahoma" w:cs="Tahoma"/>
      <w:sz w:val="16"/>
      <w:szCs w:val="16"/>
    </w:rPr>
  </w:style>
  <w:style w:type="paragraph" w:customStyle="1" w:styleId="Footers">
    <w:name w:val="Footers"/>
    <w:basedOn w:val="Heading1"/>
    <w:rsid w:val="00FA3059"/>
    <w:pPr>
      <w:tabs>
        <w:tab w:val="left" w:pos="1440"/>
        <w:tab w:val="left" w:pos="7020"/>
        <w:tab w:val="right" w:pos="9360"/>
      </w:tabs>
    </w:pPr>
    <w:rPr>
      <w:b w:val="0"/>
      <w:sz w:val="20"/>
    </w:rPr>
  </w:style>
  <w:style w:type="paragraph" w:customStyle="1" w:styleId="subhead">
    <w:name w:val="subhead"/>
    <w:basedOn w:val="Heading4"/>
    <w:rsid w:val="00FA3059"/>
    <w:pPr>
      <w:tabs>
        <w:tab w:val="clear" w:pos="1800"/>
      </w:tabs>
      <w:ind w:left="720" w:firstLine="0"/>
    </w:pPr>
  </w:style>
  <w:style w:type="paragraph" w:customStyle="1" w:styleId="alphaheading">
    <w:name w:val="alpha heading"/>
    <w:basedOn w:val="Normal"/>
    <w:rsid w:val="00FA3059"/>
    <w:pPr>
      <w:keepNext/>
      <w:tabs>
        <w:tab w:val="left" w:pos="1440"/>
      </w:tabs>
      <w:spacing w:before="240" w:after="240"/>
      <w:ind w:left="1440" w:hanging="720"/>
    </w:pPr>
    <w:rPr>
      <w:b/>
    </w:rPr>
  </w:style>
  <w:style w:type="paragraph" w:customStyle="1" w:styleId="romannumeralpara">
    <w:name w:val="roman numeral para"/>
    <w:basedOn w:val="Normal"/>
    <w:rsid w:val="00FA3059"/>
    <w:pPr>
      <w:spacing w:line="480" w:lineRule="auto"/>
      <w:ind w:left="1440" w:hanging="720"/>
    </w:pPr>
  </w:style>
  <w:style w:type="paragraph" w:customStyle="1" w:styleId="Bulletpara">
    <w:name w:val="Bullet para"/>
    <w:basedOn w:val="Normal"/>
    <w:rsid w:val="00FA3059"/>
    <w:pPr>
      <w:numPr>
        <w:numId w:val="10"/>
      </w:numPr>
      <w:tabs>
        <w:tab w:val="left" w:pos="900"/>
      </w:tabs>
      <w:spacing w:before="120" w:after="120"/>
    </w:pPr>
  </w:style>
  <w:style w:type="paragraph" w:styleId="TOC1">
    <w:name w:val="toc 1"/>
    <w:basedOn w:val="Normal"/>
    <w:next w:val="Normal"/>
    <w:semiHidden/>
    <w:rsid w:val="00FA3059"/>
  </w:style>
  <w:style w:type="paragraph" w:customStyle="1" w:styleId="Tarifftitle">
    <w:name w:val="Tariff title"/>
    <w:basedOn w:val="Normal"/>
    <w:rsid w:val="00FA3059"/>
    <w:rPr>
      <w:b/>
      <w:sz w:val="28"/>
      <w:szCs w:val="28"/>
    </w:rPr>
  </w:style>
  <w:style w:type="paragraph" w:styleId="TOC2">
    <w:name w:val="toc 2"/>
    <w:basedOn w:val="Normal"/>
    <w:next w:val="Normal"/>
    <w:semiHidden/>
    <w:rsid w:val="00FA3059"/>
    <w:pPr>
      <w:ind w:left="240"/>
    </w:pPr>
  </w:style>
  <w:style w:type="character" w:styleId="Hyperlink">
    <w:name w:val="Hyperlink"/>
    <w:basedOn w:val="DefaultParagraphFont"/>
    <w:rsid w:val="00FA3059"/>
    <w:rPr>
      <w:color w:val="0000FF"/>
      <w:u w:val="single"/>
    </w:rPr>
  </w:style>
  <w:style w:type="paragraph" w:styleId="TOC3">
    <w:name w:val="toc 3"/>
    <w:basedOn w:val="Normal"/>
    <w:next w:val="Normal"/>
    <w:semiHidden/>
    <w:rsid w:val="00FA3059"/>
    <w:pPr>
      <w:ind w:left="480"/>
    </w:pPr>
  </w:style>
  <w:style w:type="paragraph" w:styleId="TOC4">
    <w:name w:val="toc 4"/>
    <w:basedOn w:val="Normal"/>
    <w:next w:val="Normal"/>
    <w:semiHidden/>
    <w:rsid w:val="00FA305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2088</Words>
  <Characters>11908</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18</vt:lpstr>
    </vt:vector>
  </TitlesOfParts>
  <Company/>
  <LinksUpToDate>false</LinksUpToDate>
  <CharactersWithSpaces>13969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cp:lastModifiedBy/>
  <cp:revision>1</cp:revision>
  <cp:lastPrinted>2008-09-19T22:19:00Z</cp:lastPrinted>
  <dcterms:created xsi:type="dcterms:W3CDTF">2017-12-13T19:35:00Z</dcterms:created>
  <dcterms:modified xsi:type="dcterms:W3CDTF">2017-12-13T19:35:00Z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