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465580"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465580"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465580"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465580"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465580"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465580"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465580"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465580"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465580"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465580"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465580"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465580"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465580" w:rsidP="002F6C86">
      <w:pPr>
        <w:pStyle w:val="Definition"/>
      </w:pPr>
      <w:r>
        <w:rPr>
          <w:b/>
        </w:rPr>
        <w:lastRenderedPageBreak/>
        <w:t>Transmission District:</w:t>
      </w:r>
      <w:r>
        <w:t xml:space="preserve"> The geographic area served by the Investor</w:t>
      </w:r>
      <w:r>
        <w:t>-</w:t>
      </w:r>
      <w:r>
        <w:t xml:space="preserve">Owned Transmission Owners and LIPA, as well as the customers directly interconnected with the transmission facilities of the Power Authority of the State of New </w:t>
      </w:r>
      <w:r>
        <w:t xml:space="preserve">York. </w:t>
      </w:r>
    </w:p>
    <w:p w:rsidR="002F6C86" w:rsidRDefault="00465580"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465580" w:rsidP="002F6C86">
      <w:pPr>
        <w:pStyle w:val="Definition"/>
      </w:pPr>
      <w:r>
        <w:rPr>
          <w:b/>
        </w:rPr>
        <w:t>Transmission Facilities Under ISO Operational Control:</w:t>
      </w:r>
      <w:r>
        <w:t xml:space="preserve"> The transmission facilities of the Transmission Owners listed in Appendix A</w:t>
      </w:r>
      <w:r>
        <w:noBreakHyphen/>
        <w:t xml:space="preserve">1 of the ISO/TO Agreement, (“Listing of Transmission Facilities Under ISO Operational Control,”) that are subject to </w:t>
      </w:r>
      <w:r>
        <w:t>the Operational Control of the ISO.  This listing may be amended from time</w:t>
      </w:r>
      <w:r>
        <w:t>-</w:t>
      </w:r>
      <w:r>
        <w:t>to</w:t>
      </w:r>
      <w:r>
        <w:t>-</w:t>
      </w:r>
      <w:r>
        <w:t>time as specified in the ISO/TO Agreement.</w:t>
      </w:r>
    </w:p>
    <w:p w:rsidR="002F6C86" w:rsidRDefault="00465580" w:rsidP="002F6C86">
      <w:pPr>
        <w:pStyle w:val="Definition"/>
      </w:pPr>
      <w:r>
        <w:rPr>
          <w:b/>
        </w:rPr>
        <w:t xml:space="preserve">Transmission Facilities Requiring ISO Notification: </w:t>
      </w:r>
      <w:r>
        <w:t>The transmission facilities of the Transmission Owners listed in Appendix A</w:t>
      </w:r>
      <w:r>
        <w:noBreakHyphen/>
        <w:t>2 of th</w:t>
      </w:r>
      <w:r>
        <w:t>e ISO/TO Agreement, “Listing of Transmission Facilities Requiring ISO Notification,” whose status of operation must be provided to the ISO by the Transmission Owners (for the purposes stated in the ISO Tariffs and in accordance with the ISO OATT and ISO/TO</w:t>
      </w:r>
      <w:r>
        <w:t xml:space="preserve"> Agreement) prior to the Transmission Owners making operational changes to the state of these facilities.  This listing may be amended from time</w:t>
      </w:r>
      <w:r>
        <w:t>-</w:t>
      </w:r>
      <w:r>
        <w:t>to</w:t>
      </w:r>
      <w:r>
        <w:t>-</w:t>
      </w:r>
      <w:r>
        <w:t>time as specified in the ISO/TO Agreement.</w:t>
      </w:r>
    </w:p>
    <w:p w:rsidR="002F6C86" w:rsidRDefault="00465580" w:rsidP="002F6C86">
      <w:pPr>
        <w:pStyle w:val="Definition"/>
      </w:pPr>
      <w:r>
        <w:rPr>
          <w:b/>
        </w:rPr>
        <w:t xml:space="preserve">Transmission Fund: </w:t>
      </w:r>
      <w:r>
        <w:t>The mechanism used under the current NYPP Agre</w:t>
      </w:r>
      <w:r>
        <w:t xml:space="preserve">ement to compensate the Member Systems for providing Transmission Service for economy Energy Transactions over their transmission systems.  Each Member System is allocated a share of the economy Energy savings in dollars assigned to the fund that is based </w:t>
      </w:r>
      <w:r>
        <w:t xml:space="preserve">on the ratio of their investment in transmission facilities to the sum of investments in transmission and generation facilities.  </w:t>
      </w:r>
    </w:p>
    <w:p w:rsidR="002F6C86" w:rsidRDefault="00465580"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2F6C86" w:rsidRDefault="00465580"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w:t>
      </w:r>
      <w:r>
        <w:t xml:space="preserve">imum hourly firm usage as measured in megawatts (MW) of the Transmission Owner’s transmission system in a calendar month. </w:t>
      </w:r>
    </w:p>
    <w:p w:rsidR="002F6C86" w:rsidRDefault="00465580" w:rsidP="002F6C86">
      <w:pPr>
        <w:pStyle w:val="Definition"/>
      </w:pPr>
      <w:r>
        <w:rPr>
          <w:b/>
        </w:rPr>
        <w:t>Transmission Plan:</w:t>
      </w:r>
      <w:r>
        <w:t xml:space="preserve"> A plan developed by the ISO staff with Transmission Owner’s support that is a compilation of transmission projects</w:t>
      </w:r>
      <w:r>
        <w:t xml:space="preserve"> proposed by the Transmission Owners and others, that are found to meet all applicable criteria.</w:t>
      </w:r>
    </w:p>
    <w:p w:rsidR="002F6C86" w:rsidRDefault="00465580" w:rsidP="002F6C86">
      <w:pPr>
        <w:pStyle w:val="Definition"/>
      </w:pPr>
      <w:r>
        <w:rPr>
          <w:b/>
        </w:rPr>
        <w:t>Transmission Reliability Margin (“TRM”):</w:t>
      </w:r>
      <w:r>
        <w:t xml:space="preserve"> The amount of TTC reserved by the ISO to ensure the interconnected transmission network is secure under a reasonable r</w:t>
      </w:r>
      <w:r>
        <w:t>ange of uncertainties in system conditions.</w:t>
      </w:r>
    </w:p>
    <w:p w:rsidR="002F6C86" w:rsidRDefault="00465580" w:rsidP="002F6C86">
      <w:pPr>
        <w:pStyle w:val="Definition"/>
      </w:pPr>
      <w:r>
        <w:rPr>
          <w:b/>
        </w:rPr>
        <w:lastRenderedPageBreak/>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465580" w:rsidP="002F6C86">
      <w:pPr>
        <w:pStyle w:val="Definition"/>
        <w:rPr>
          <w:u w:val="double"/>
        </w:rPr>
      </w:pPr>
      <w:r>
        <w:rPr>
          <w:b/>
        </w:rPr>
        <w:t>Transmission Service Charge (“TSC”):</w:t>
      </w:r>
      <w:r>
        <w:t xml:space="preserve"> A charge designed to ensure re</w:t>
      </w:r>
      <w:r>
        <w:t>covery of the embedded cost of a Transmission Owner’s transmission system.</w:t>
      </w:r>
    </w:p>
    <w:p w:rsidR="002F6C86" w:rsidRPr="00714671" w:rsidRDefault="00465580" w:rsidP="002F6C86">
      <w:pPr>
        <w:pStyle w:val="Definition"/>
      </w:pPr>
      <w:r w:rsidRPr="00714671">
        <w:rPr>
          <w:b/>
        </w:rPr>
        <w:t>Transmission Shortage Cost:</w:t>
      </w:r>
      <w:r w:rsidRPr="00714671">
        <w:t xml:space="preserve"> </w:t>
      </w:r>
      <w:r>
        <w:t>A series of quantity/price points that defines t</w:t>
      </w:r>
      <w:r w:rsidRPr="00714671">
        <w:t xml:space="preserve">he maximum </w:t>
      </w:r>
      <w:r>
        <w:t>Shadow Price</w:t>
      </w:r>
      <w:r w:rsidRPr="00714671">
        <w:t xml:space="preserve"> of a particular Constraint that will be used in calculating LBMP.  The Transmissi</w:t>
      </w:r>
      <w:r w:rsidRPr="00714671">
        <w:t>on Shortage Cost</w:t>
      </w:r>
      <w:r>
        <w:t>s are</w:t>
      </w:r>
      <w:r w:rsidRPr="00714671">
        <w:t xml:space="preserve"> set at </w:t>
      </w:r>
      <w:r>
        <w:t xml:space="preserve">$350/MWh for </w:t>
      </w:r>
      <w:r>
        <w:t xml:space="preserve">shortages </w:t>
      </w:r>
      <w:r>
        <w:t>above zero and less than or equal to 5MW, $</w:t>
      </w:r>
      <w:r>
        <w:t>2350</w:t>
      </w:r>
      <w:r>
        <w:t xml:space="preserve">/MWh for </w:t>
      </w:r>
      <w:r>
        <w:t xml:space="preserve">shortages </w:t>
      </w:r>
      <w:r>
        <w:t xml:space="preserve">above 5MW and less than or equal to 20MW, and </w:t>
      </w:r>
      <w:r w:rsidRPr="00714671">
        <w:t>$4000/MWh</w:t>
      </w:r>
      <w:r>
        <w:t xml:space="preserve"> for </w:t>
      </w:r>
      <w:r>
        <w:t>shortages</w:t>
      </w:r>
      <w:r>
        <w:t xml:space="preserve"> above 20MW</w:t>
      </w:r>
      <w:r w:rsidRPr="00714671">
        <w:t>.</w:t>
      </w:r>
    </w:p>
    <w:p w:rsidR="002F6C86" w:rsidRDefault="00465580" w:rsidP="002F6C86">
      <w:pPr>
        <w:pStyle w:val="Definition"/>
      </w:pPr>
      <w:r>
        <w:rPr>
          <w:b/>
        </w:rPr>
        <w:t>Transmission System:</w:t>
      </w:r>
      <w:r>
        <w:t xml:space="preserve"> The facilities operated by the ISO </w:t>
      </w:r>
      <w:r>
        <w:t>that are used to provide Transmission Services under Part 3</w:t>
      </w:r>
      <w:r w:rsidRPr="00D01E41">
        <w:t xml:space="preserve">, Part </w:t>
      </w:r>
      <w:r>
        <w:t>4 or Part 5 of this Tariff.</w:t>
      </w:r>
    </w:p>
    <w:p w:rsidR="002F6C86" w:rsidRDefault="00465580" w:rsidP="002F6C86">
      <w:pPr>
        <w:pStyle w:val="Definition"/>
      </w:pPr>
      <w:r>
        <w:rPr>
          <w:b/>
        </w:rPr>
        <w:t>Transmission Usage Charge (“TUC”):</w:t>
      </w:r>
      <w:r>
        <w:t xml:space="preserve"> Payments made by the Transmission Customer to cover the cost of Marginal Losses and, during periods of time when the transmissi</w:t>
      </w:r>
      <w:r>
        <w:t>on system is Constrained, the marginal cost of Congestion.  The TUC is equal to the product of: (1) the LBMP at the POW minus the LBMP at the POI (in $/MWh); and (2) the scheduled or delivered Energy (in MWh).</w:t>
      </w:r>
    </w:p>
    <w:p w:rsidR="002F6C86" w:rsidRPr="00CA4F49" w:rsidRDefault="00465580"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The a</w:t>
      </w:r>
      <w:r>
        <w:t xml:space="preserve">greements listed in Table </w:t>
      </w:r>
      <w:r w:rsidRPr="00A04E2F">
        <w:t>1A of Attachment L to the ISO OATT governing the use of specific or designated transmission facilities that are owned, controlled or operated by an entity for the transmission of Energy in interstate commerce.</w:t>
      </w:r>
      <w:r>
        <w:t xml:space="preserve">  TWAs between Transm</w:t>
      </w:r>
      <w:r>
        <w:t>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FD" w:rsidRDefault="00655DFD" w:rsidP="00655DFD">
      <w:r>
        <w:separator/>
      </w:r>
    </w:p>
  </w:endnote>
  <w:endnote w:type="continuationSeparator" w:id="0">
    <w:p w:rsidR="00655DFD" w:rsidRDefault="00655DFD" w:rsidP="00655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D" w:rsidRDefault="00465580">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655DFD">
      <w:rPr>
        <w:rFonts w:ascii="Arial" w:eastAsia="Arial" w:hAnsi="Arial" w:cs="Arial"/>
        <w:color w:val="000000"/>
        <w:sz w:val="16"/>
      </w:rPr>
      <w:fldChar w:fldCharType="begin"/>
    </w:r>
    <w:r>
      <w:rPr>
        <w:rFonts w:ascii="Arial" w:eastAsia="Arial" w:hAnsi="Arial" w:cs="Arial"/>
        <w:color w:val="000000"/>
        <w:sz w:val="16"/>
      </w:rPr>
      <w:instrText>PAGE</w:instrText>
    </w:r>
    <w:r w:rsidR="00655D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D" w:rsidRDefault="00465580">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655D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5D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D" w:rsidRDefault="00465580">
    <w:pPr>
      <w:jc w:val="right"/>
      <w:rPr>
        <w:rFonts w:ascii="Arial" w:eastAsia="Arial" w:hAnsi="Arial" w:cs="Arial"/>
        <w:color w:val="000000"/>
        <w:sz w:val="16"/>
      </w:rPr>
    </w:pPr>
    <w:r>
      <w:rPr>
        <w:rFonts w:ascii="Arial" w:eastAsia="Arial" w:hAnsi="Arial" w:cs="Arial"/>
        <w:color w:val="000000"/>
        <w:sz w:val="16"/>
      </w:rPr>
      <w:t xml:space="preserve">Effective Date: 2/11/2016 - Docket #: ER15-1061-002 - Page </w:t>
    </w:r>
    <w:r w:rsidR="00655DFD">
      <w:rPr>
        <w:rFonts w:ascii="Arial" w:eastAsia="Arial" w:hAnsi="Arial" w:cs="Arial"/>
        <w:color w:val="000000"/>
        <w:sz w:val="16"/>
      </w:rPr>
      <w:fldChar w:fldCharType="begin"/>
    </w:r>
    <w:r>
      <w:rPr>
        <w:rFonts w:ascii="Arial" w:eastAsia="Arial" w:hAnsi="Arial" w:cs="Arial"/>
        <w:color w:val="000000"/>
        <w:sz w:val="16"/>
      </w:rPr>
      <w:instrText>PAGE</w:instrText>
    </w:r>
    <w:r w:rsidR="00655D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FD" w:rsidRDefault="00655DFD" w:rsidP="00655DFD">
      <w:r>
        <w:separator/>
      </w:r>
    </w:p>
  </w:footnote>
  <w:footnote w:type="continuationSeparator" w:id="0">
    <w:p w:rsidR="00655DFD" w:rsidRDefault="00655DFD" w:rsidP="00655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D" w:rsidRDefault="0046558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1.20 OATT </w:t>
    </w:r>
    <w:r>
      <w:rPr>
        <w:rFonts w:ascii="Arial" w:eastAsia="Arial" w:hAnsi="Arial" w:cs="Arial"/>
        <w:color w:val="000000"/>
        <w:sz w:val="16"/>
      </w:rPr>
      <w:t>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D" w:rsidRDefault="0046558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FD" w:rsidRDefault="0046558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2187714">
      <w:start w:val="1"/>
      <w:numFmt w:val="bullet"/>
      <w:pStyle w:val="Bulletpara"/>
      <w:lvlText w:val=""/>
      <w:lvlJc w:val="left"/>
      <w:pPr>
        <w:tabs>
          <w:tab w:val="num" w:pos="720"/>
        </w:tabs>
        <w:ind w:left="720" w:hanging="360"/>
      </w:pPr>
      <w:rPr>
        <w:rFonts w:ascii="Symbol" w:hAnsi="Symbol" w:hint="default"/>
      </w:rPr>
    </w:lvl>
    <w:lvl w:ilvl="1" w:tplc="947267F4" w:tentative="1">
      <w:start w:val="1"/>
      <w:numFmt w:val="bullet"/>
      <w:lvlText w:val="o"/>
      <w:lvlJc w:val="left"/>
      <w:pPr>
        <w:tabs>
          <w:tab w:val="num" w:pos="1440"/>
        </w:tabs>
        <w:ind w:left="1440" w:hanging="360"/>
      </w:pPr>
      <w:rPr>
        <w:rFonts w:ascii="Courier New" w:hAnsi="Courier New" w:cs="Courier New" w:hint="default"/>
      </w:rPr>
    </w:lvl>
    <w:lvl w:ilvl="2" w:tplc="56568906" w:tentative="1">
      <w:start w:val="1"/>
      <w:numFmt w:val="bullet"/>
      <w:lvlText w:val=""/>
      <w:lvlJc w:val="left"/>
      <w:pPr>
        <w:tabs>
          <w:tab w:val="num" w:pos="2160"/>
        </w:tabs>
        <w:ind w:left="2160" w:hanging="360"/>
      </w:pPr>
      <w:rPr>
        <w:rFonts w:ascii="Wingdings" w:hAnsi="Wingdings" w:hint="default"/>
      </w:rPr>
    </w:lvl>
    <w:lvl w:ilvl="3" w:tplc="3C0C0F0A" w:tentative="1">
      <w:start w:val="1"/>
      <w:numFmt w:val="bullet"/>
      <w:lvlText w:val=""/>
      <w:lvlJc w:val="left"/>
      <w:pPr>
        <w:tabs>
          <w:tab w:val="num" w:pos="2880"/>
        </w:tabs>
        <w:ind w:left="2880" w:hanging="360"/>
      </w:pPr>
      <w:rPr>
        <w:rFonts w:ascii="Symbol" w:hAnsi="Symbol" w:hint="default"/>
      </w:rPr>
    </w:lvl>
    <w:lvl w:ilvl="4" w:tplc="52A88A88" w:tentative="1">
      <w:start w:val="1"/>
      <w:numFmt w:val="bullet"/>
      <w:lvlText w:val="o"/>
      <w:lvlJc w:val="left"/>
      <w:pPr>
        <w:tabs>
          <w:tab w:val="num" w:pos="3600"/>
        </w:tabs>
        <w:ind w:left="3600" w:hanging="360"/>
      </w:pPr>
      <w:rPr>
        <w:rFonts w:ascii="Courier New" w:hAnsi="Courier New" w:cs="Courier New" w:hint="default"/>
      </w:rPr>
    </w:lvl>
    <w:lvl w:ilvl="5" w:tplc="E54C4F54" w:tentative="1">
      <w:start w:val="1"/>
      <w:numFmt w:val="bullet"/>
      <w:lvlText w:val=""/>
      <w:lvlJc w:val="left"/>
      <w:pPr>
        <w:tabs>
          <w:tab w:val="num" w:pos="4320"/>
        </w:tabs>
        <w:ind w:left="4320" w:hanging="360"/>
      </w:pPr>
      <w:rPr>
        <w:rFonts w:ascii="Wingdings" w:hAnsi="Wingdings" w:hint="default"/>
      </w:rPr>
    </w:lvl>
    <w:lvl w:ilvl="6" w:tplc="C6A2D414" w:tentative="1">
      <w:start w:val="1"/>
      <w:numFmt w:val="bullet"/>
      <w:lvlText w:val=""/>
      <w:lvlJc w:val="left"/>
      <w:pPr>
        <w:tabs>
          <w:tab w:val="num" w:pos="5040"/>
        </w:tabs>
        <w:ind w:left="5040" w:hanging="360"/>
      </w:pPr>
      <w:rPr>
        <w:rFonts w:ascii="Symbol" w:hAnsi="Symbol" w:hint="default"/>
      </w:rPr>
    </w:lvl>
    <w:lvl w:ilvl="7" w:tplc="824AB55A" w:tentative="1">
      <w:start w:val="1"/>
      <w:numFmt w:val="bullet"/>
      <w:lvlText w:val="o"/>
      <w:lvlJc w:val="left"/>
      <w:pPr>
        <w:tabs>
          <w:tab w:val="num" w:pos="5760"/>
        </w:tabs>
        <w:ind w:left="5760" w:hanging="360"/>
      </w:pPr>
      <w:rPr>
        <w:rFonts w:ascii="Courier New" w:hAnsi="Courier New" w:cs="Courier New" w:hint="default"/>
      </w:rPr>
    </w:lvl>
    <w:lvl w:ilvl="8" w:tplc="B742169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5962972">
      <w:start w:val="1"/>
      <w:numFmt w:val="bullet"/>
      <w:lvlText w:val="­"/>
      <w:lvlJc w:val="left"/>
      <w:pPr>
        <w:tabs>
          <w:tab w:val="num" w:pos="720"/>
        </w:tabs>
        <w:ind w:left="720" w:hanging="360"/>
      </w:pPr>
      <w:rPr>
        <w:rFonts w:ascii="Courier New" w:hAnsi="Courier New" w:hint="default"/>
      </w:rPr>
    </w:lvl>
    <w:lvl w:ilvl="1" w:tplc="44F61128" w:tentative="1">
      <w:start w:val="1"/>
      <w:numFmt w:val="bullet"/>
      <w:lvlText w:val="o"/>
      <w:lvlJc w:val="left"/>
      <w:pPr>
        <w:tabs>
          <w:tab w:val="num" w:pos="1440"/>
        </w:tabs>
        <w:ind w:left="1440" w:hanging="360"/>
      </w:pPr>
      <w:rPr>
        <w:rFonts w:ascii="Courier New" w:hAnsi="Courier New" w:cs="Courier New" w:hint="default"/>
      </w:rPr>
    </w:lvl>
    <w:lvl w:ilvl="2" w:tplc="9D1E0F76" w:tentative="1">
      <w:start w:val="1"/>
      <w:numFmt w:val="bullet"/>
      <w:lvlText w:val=""/>
      <w:lvlJc w:val="left"/>
      <w:pPr>
        <w:tabs>
          <w:tab w:val="num" w:pos="2160"/>
        </w:tabs>
        <w:ind w:left="2160" w:hanging="360"/>
      </w:pPr>
      <w:rPr>
        <w:rFonts w:ascii="Wingdings" w:hAnsi="Wingdings" w:hint="default"/>
      </w:rPr>
    </w:lvl>
    <w:lvl w:ilvl="3" w:tplc="8250ACFE" w:tentative="1">
      <w:start w:val="1"/>
      <w:numFmt w:val="bullet"/>
      <w:lvlText w:val=""/>
      <w:lvlJc w:val="left"/>
      <w:pPr>
        <w:tabs>
          <w:tab w:val="num" w:pos="2880"/>
        </w:tabs>
        <w:ind w:left="2880" w:hanging="360"/>
      </w:pPr>
      <w:rPr>
        <w:rFonts w:ascii="Symbol" w:hAnsi="Symbol" w:hint="default"/>
      </w:rPr>
    </w:lvl>
    <w:lvl w:ilvl="4" w:tplc="37EEFEF8" w:tentative="1">
      <w:start w:val="1"/>
      <w:numFmt w:val="bullet"/>
      <w:lvlText w:val="o"/>
      <w:lvlJc w:val="left"/>
      <w:pPr>
        <w:tabs>
          <w:tab w:val="num" w:pos="3600"/>
        </w:tabs>
        <w:ind w:left="3600" w:hanging="360"/>
      </w:pPr>
      <w:rPr>
        <w:rFonts w:ascii="Courier New" w:hAnsi="Courier New" w:cs="Courier New" w:hint="default"/>
      </w:rPr>
    </w:lvl>
    <w:lvl w:ilvl="5" w:tplc="2D94082A" w:tentative="1">
      <w:start w:val="1"/>
      <w:numFmt w:val="bullet"/>
      <w:lvlText w:val=""/>
      <w:lvlJc w:val="left"/>
      <w:pPr>
        <w:tabs>
          <w:tab w:val="num" w:pos="4320"/>
        </w:tabs>
        <w:ind w:left="4320" w:hanging="360"/>
      </w:pPr>
      <w:rPr>
        <w:rFonts w:ascii="Wingdings" w:hAnsi="Wingdings" w:hint="default"/>
      </w:rPr>
    </w:lvl>
    <w:lvl w:ilvl="6" w:tplc="AE2091B6" w:tentative="1">
      <w:start w:val="1"/>
      <w:numFmt w:val="bullet"/>
      <w:lvlText w:val=""/>
      <w:lvlJc w:val="left"/>
      <w:pPr>
        <w:tabs>
          <w:tab w:val="num" w:pos="5040"/>
        </w:tabs>
        <w:ind w:left="5040" w:hanging="360"/>
      </w:pPr>
      <w:rPr>
        <w:rFonts w:ascii="Symbol" w:hAnsi="Symbol" w:hint="default"/>
      </w:rPr>
    </w:lvl>
    <w:lvl w:ilvl="7" w:tplc="8952B31E" w:tentative="1">
      <w:start w:val="1"/>
      <w:numFmt w:val="bullet"/>
      <w:lvlText w:val="o"/>
      <w:lvlJc w:val="left"/>
      <w:pPr>
        <w:tabs>
          <w:tab w:val="num" w:pos="5760"/>
        </w:tabs>
        <w:ind w:left="5760" w:hanging="360"/>
      </w:pPr>
      <w:rPr>
        <w:rFonts w:ascii="Courier New" w:hAnsi="Courier New" w:cs="Courier New" w:hint="default"/>
      </w:rPr>
    </w:lvl>
    <w:lvl w:ilvl="8" w:tplc="1EF2B20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40AB5B6">
      <w:start w:val="1"/>
      <w:numFmt w:val="lowerRoman"/>
      <w:lvlText w:val="(%1)"/>
      <w:lvlJc w:val="left"/>
      <w:pPr>
        <w:tabs>
          <w:tab w:val="num" w:pos="2448"/>
        </w:tabs>
        <w:ind w:left="2448" w:hanging="648"/>
      </w:pPr>
      <w:rPr>
        <w:rFonts w:hint="default"/>
        <w:b w:val="0"/>
        <w:i w:val="0"/>
        <w:u w:val="none"/>
      </w:rPr>
    </w:lvl>
    <w:lvl w:ilvl="1" w:tplc="75D8588A" w:tentative="1">
      <w:start w:val="1"/>
      <w:numFmt w:val="lowerLetter"/>
      <w:lvlText w:val="%2."/>
      <w:lvlJc w:val="left"/>
      <w:pPr>
        <w:tabs>
          <w:tab w:val="num" w:pos="1440"/>
        </w:tabs>
        <w:ind w:left="1440" w:hanging="360"/>
      </w:pPr>
    </w:lvl>
    <w:lvl w:ilvl="2" w:tplc="13424598" w:tentative="1">
      <w:start w:val="1"/>
      <w:numFmt w:val="lowerRoman"/>
      <w:lvlText w:val="%3."/>
      <w:lvlJc w:val="right"/>
      <w:pPr>
        <w:tabs>
          <w:tab w:val="num" w:pos="2160"/>
        </w:tabs>
        <w:ind w:left="2160" w:hanging="180"/>
      </w:pPr>
    </w:lvl>
    <w:lvl w:ilvl="3" w:tplc="6F186B3A" w:tentative="1">
      <w:start w:val="1"/>
      <w:numFmt w:val="decimal"/>
      <w:lvlText w:val="%4."/>
      <w:lvlJc w:val="left"/>
      <w:pPr>
        <w:tabs>
          <w:tab w:val="num" w:pos="2880"/>
        </w:tabs>
        <w:ind w:left="2880" w:hanging="360"/>
      </w:pPr>
    </w:lvl>
    <w:lvl w:ilvl="4" w:tplc="20E41D52" w:tentative="1">
      <w:start w:val="1"/>
      <w:numFmt w:val="lowerLetter"/>
      <w:lvlText w:val="%5."/>
      <w:lvlJc w:val="left"/>
      <w:pPr>
        <w:tabs>
          <w:tab w:val="num" w:pos="3600"/>
        </w:tabs>
        <w:ind w:left="3600" w:hanging="360"/>
      </w:pPr>
    </w:lvl>
    <w:lvl w:ilvl="5" w:tplc="36466A74" w:tentative="1">
      <w:start w:val="1"/>
      <w:numFmt w:val="lowerRoman"/>
      <w:lvlText w:val="%6."/>
      <w:lvlJc w:val="right"/>
      <w:pPr>
        <w:tabs>
          <w:tab w:val="num" w:pos="4320"/>
        </w:tabs>
        <w:ind w:left="4320" w:hanging="180"/>
      </w:pPr>
    </w:lvl>
    <w:lvl w:ilvl="6" w:tplc="835E358E" w:tentative="1">
      <w:start w:val="1"/>
      <w:numFmt w:val="decimal"/>
      <w:lvlText w:val="%7."/>
      <w:lvlJc w:val="left"/>
      <w:pPr>
        <w:tabs>
          <w:tab w:val="num" w:pos="5040"/>
        </w:tabs>
        <w:ind w:left="5040" w:hanging="360"/>
      </w:pPr>
    </w:lvl>
    <w:lvl w:ilvl="7" w:tplc="1666B8EA" w:tentative="1">
      <w:start w:val="1"/>
      <w:numFmt w:val="lowerLetter"/>
      <w:lvlText w:val="%8."/>
      <w:lvlJc w:val="left"/>
      <w:pPr>
        <w:tabs>
          <w:tab w:val="num" w:pos="5760"/>
        </w:tabs>
        <w:ind w:left="5760" w:hanging="360"/>
      </w:pPr>
    </w:lvl>
    <w:lvl w:ilvl="8" w:tplc="9D3C80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8B4D668">
      <w:start w:val="1"/>
      <w:numFmt w:val="bullet"/>
      <w:lvlText w:val=""/>
      <w:lvlJc w:val="left"/>
      <w:pPr>
        <w:tabs>
          <w:tab w:val="num" w:pos="5760"/>
        </w:tabs>
        <w:ind w:left="5760" w:hanging="360"/>
      </w:pPr>
      <w:rPr>
        <w:rFonts w:ascii="Symbol" w:hAnsi="Symbol" w:hint="default"/>
        <w:color w:val="auto"/>
        <w:u w:val="none"/>
      </w:rPr>
    </w:lvl>
    <w:lvl w:ilvl="1" w:tplc="D1E4CAAC" w:tentative="1">
      <w:start w:val="1"/>
      <w:numFmt w:val="bullet"/>
      <w:lvlText w:val="o"/>
      <w:lvlJc w:val="left"/>
      <w:pPr>
        <w:tabs>
          <w:tab w:val="num" w:pos="3600"/>
        </w:tabs>
        <w:ind w:left="3600" w:hanging="360"/>
      </w:pPr>
      <w:rPr>
        <w:rFonts w:ascii="Courier New" w:hAnsi="Courier New" w:hint="default"/>
      </w:rPr>
    </w:lvl>
    <w:lvl w:ilvl="2" w:tplc="D61CA936" w:tentative="1">
      <w:start w:val="1"/>
      <w:numFmt w:val="bullet"/>
      <w:lvlText w:val=""/>
      <w:lvlJc w:val="left"/>
      <w:pPr>
        <w:tabs>
          <w:tab w:val="num" w:pos="4320"/>
        </w:tabs>
        <w:ind w:left="4320" w:hanging="360"/>
      </w:pPr>
      <w:rPr>
        <w:rFonts w:ascii="Wingdings" w:hAnsi="Wingdings" w:hint="default"/>
      </w:rPr>
    </w:lvl>
    <w:lvl w:ilvl="3" w:tplc="02804F76">
      <w:start w:val="1"/>
      <w:numFmt w:val="bullet"/>
      <w:lvlText w:val=""/>
      <w:lvlJc w:val="left"/>
      <w:pPr>
        <w:tabs>
          <w:tab w:val="num" w:pos="5040"/>
        </w:tabs>
        <w:ind w:left="5040" w:hanging="360"/>
      </w:pPr>
      <w:rPr>
        <w:rFonts w:ascii="Symbol" w:hAnsi="Symbol" w:hint="default"/>
      </w:rPr>
    </w:lvl>
    <w:lvl w:ilvl="4" w:tplc="C9CA0626" w:tentative="1">
      <w:start w:val="1"/>
      <w:numFmt w:val="bullet"/>
      <w:lvlText w:val="o"/>
      <w:lvlJc w:val="left"/>
      <w:pPr>
        <w:tabs>
          <w:tab w:val="num" w:pos="5760"/>
        </w:tabs>
        <w:ind w:left="5760" w:hanging="360"/>
      </w:pPr>
      <w:rPr>
        <w:rFonts w:ascii="Courier New" w:hAnsi="Courier New" w:hint="default"/>
      </w:rPr>
    </w:lvl>
    <w:lvl w:ilvl="5" w:tplc="4DD0A682" w:tentative="1">
      <w:start w:val="1"/>
      <w:numFmt w:val="bullet"/>
      <w:lvlText w:val=""/>
      <w:lvlJc w:val="left"/>
      <w:pPr>
        <w:tabs>
          <w:tab w:val="num" w:pos="6480"/>
        </w:tabs>
        <w:ind w:left="6480" w:hanging="360"/>
      </w:pPr>
      <w:rPr>
        <w:rFonts w:ascii="Wingdings" w:hAnsi="Wingdings" w:hint="default"/>
      </w:rPr>
    </w:lvl>
    <w:lvl w:ilvl="6" w:tplc="3D68226E" w:tentative="1">
      <w:start w:val="1"/>
      <w:numFmt w:val="bullet"/>
      <w:lvlText w:val=""/>
      <w:lvlJc w:val="left"/>
      <w:pPr>
        <w:tabs>
          <w:tab w:val="num" w:pos="7200"/>
        </w:tabs>
        <w:ind w:left="7200" w:hanging="360"/>
      </w:pPr>
      <w:rPr>
        <w:rFonts w:ascii="Symbol" w:hAnsi="Symbol" w:hint="default"/>
      </w:rPr>
    </w:lvl>
    <w:lvl w:ilvl="7" w:tplc="2556B9A4" w:tentative="1">
      <w:start w:val="1"/>
      <w:numFmt w:val="bullet"/>
      <w:lvlText w:val="o"/>
      <w:lvlJc w:val="left"/>
      <w:pPr>
        <w:tabs>
          <w:tab w:val="num" w:pos="7920"/>
        </w:tabs>
        <w:ind w:left="7920" w:hanging="360"/>
      </w:pPr>
      <w:rPr>
        <w:rFonts w:ascii="Courier New" w:hAnsi="Courier New" w:hint="default"/>
      </w:rPr>
    </w:lvl>
    <w:lvl w:ilvl="8" w:tplc="5B0A237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55DFD"/>
    <w:rsid w:val="00465580"/>
    <w:rsid w:val="00655DF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2017-03-24T10:03:00Z</dcterms:created>
  <dcterms:modified xsi:type="dcterms:W3CDTF">2017-03-24T10:03:00Z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-322313026</vt:i4>
  </property>
  <property fmtid="{D5CDD505-2E9C-101B-9397-08002B2CF9AE}" pid="3" name="_NewReviewCycle">
    <vt:lpwstr/>
  </property>
  <property fmtid="{D5CDD505-2E9C-101B-9397-08002B2CF9AE}" pid="4" name="_PreviousAdHocReviewCycleID">
    <vt:i4>1486450415</vt:i4>
  </property>
  <property fmtid="{D5CDD505-2E9C-101B-9397-08002B2CF9AE}" pid="5" name="_ReviewingToolsShownOnce">
    <vt:lpwstr/>
  </property>
</Properties>
</file>