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A3465D">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A3465D">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A3465D"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A3465D">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A3465D">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A3465D">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A3465D">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A3465D">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p>
    <w:p w:rsidR="00B641E5" w:rsidRDefault="00A3465D">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A3465D" w:rsidP="00C3669E">
      <w:pPr>
        <w:pStyle w:val="Heading4"/>
        <w:spacing w:after="120"/>
      </w:pPr>
      <w:r>
        <w:t>23.4.5.6</w:t>
      </w:r>
      <w:r>
        <w:tab/>
        <w:t>Audit, Review, and Penalties for Phy</w:t>
      </w:r>
      <w:r>
        <w:t>sical Withholding to Increase Market-Clearing Prices</w:t>
      </w:r>
    </w:p>
    <w:p w:rsidR="00C3669E" w:rsidRPr="000E31E3" w:rsidRDefault="00A3465D" w:rsidP="00C3669E">
      <w:pPr>
        <w:pStyle w:val="Heading4"/>
        <w:spacing w:before="120"/>
      </w:pPr>
      <w:r>
        <w:t>23.4.5.6.1</w:t>
      </w:r>
      <w:r>
        <w:tab/>
      </w:r>
      <w:r w:rsidRPr="000E31E3">
        <w:t>Audit and Review of Proposals or Decisions to Remove or Derate Installed Capacity from a Mitigated Capacity Zone</w:t>
      </w:r>
    </w:p>
    <w:p w:rsidR="00B641E5" w:rsidRDefault="00A3465D" w:rsidP="00C3669E">
      <w:pPr>
        <w:pStyle w:val="Bodypara"/>
        <w:rPr>
          <w:color w:val="000000"/>
          <w:u w:val="double"/>
        </w:rPr>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Pr>
          <w:color w:val="000000"/>
        </w:rPr>
        <w:t>he responsibilities of the Market Monitoring Unit that are addressed in this section of the Mitigation Measures are also addressed in Section 30.4.6.</w:t>
      </w:r>
      <w:r>
        <w:rPr>
          <w:color w:val="000000"/>
        </w:rPr>
        <w:t>2.10 of Attachment O.</w:t>
      </w:r>
      <w:r>
        <w:rPr>
          <w:color w:val="000000"/>
          <w:u w:val="double"/>
        </w:rPr>
        <w:t xml:space="preserve">  </w:t>
      </w:r>
    </w:p>
    <w:p w:rsidR="00C3669E" w:rsidRDefault="00A3465D"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A3465D"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A3465D"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A3465D"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A3465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A3465D"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A3465D"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A3465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A3465D"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A3465D"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A3465D"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A3465D"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A3465D"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A3465D"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A3465D"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A3465D"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A3465D">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A3465D">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A3465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w:t>
      </w:r>
      <w:r>
        <w:rPr>
          <w:bCs/>
        </w:rPr>
        <w:t>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A3465D"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A3465D"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A3465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A3465D"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that it intends to retire, plus any UDR facilities, or any Generator 2 MW or less that provided written notice to the ISO that it intends to retire.</w:t>
      </w:r>
    </w:p>
    <w:p w:rsidR="00206887" w:rsidRPr="00206887" w:rsidRDefault="00A3465D" w:rsidP="00206887">
      <w:pPr>
        <w:pStyle w:val="romannumeralpara"/>
        <w:rPr>
          <w:bCs/>
        </w:rPr>
      </w:pPr>
      <w:r>
        <w:rPr>
          <w:bCs/>
        </w:rPr>
        <w:t>23.4.5.7.2.3.2</w:t>
      </w:r>
      <w:r>
        <w:rPr>
          <w:bCs/>
        </w:rPr>
        <w:tab/>
        <w:t>The Load forecast shall be based on data used to develop the Indicative Locational Minimum I</w:t>
      </w:r>
      <w:r>
        <w:rPr>
          <w:bCs/>
        </w:rPr>
        <w:t>nstalled Capacity Requirement, and Special Case Resources based on data for the Mitigated Capacity Zone that is part of the Special Case Resource data set forth in the most-recently published Load and Capacity Data (Gold Book).</w:t>
      </w:r>
    </w:p>
    <w:p w:rsidR="00BA678F" w:rsidRDefault="00A3465D" w:rsidP="00BA678F">
      <w:pPr>
        <w:pStyle w:val="romannumeralpara"/>
        <w:rPr>
          <w:bCs/>
        </w:rPr>
      </w:pPr>
      <w:r>
        <w:rPr>
          <w:bCs/>
        </w:rPr>
        <w:t>23.4.5.7.2.4</w:t>
      </w:r>
      <w:r>
        <w:rPr>
          <w:bCs/>
        </w:rPr>
        <w:tab/>
        <w:t>The ISO shall p</w:t>
      </w:r>
      <w:r>
        <w:rPr>
          <w:bCs/>
        </w:rPr>
        <w:t>ost on its website the inputs of the reasonably anticipated ICAP Spot Market Auction forecast prices determined in accordance with 23.4.5.7.2.3 (except for the posting of an input which would disclose Confidential Information), the Expected Retirements, an</w:t>
      </w:r>
      <w:r>
        <w:rPr>
          <w:bCs/>
        </w:rPr>
        <w:t xml:space="preserve">d the NCZ Examined Projects, before the exemption or Offer Floor determination under this Section.  </w:t>
      </w:r>
    </w:p>
    <w:p w:rsidR="006D1AD0" w:rsidRPr="00926A30" w:rsidRDefault="00A3465D"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w:t>
      </w:r>
      <w:r>
        <w:rPr>
          <w:bCs/>
        </w:rPr>
        <w:t xml:space="preserv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w:t>
      </w:r>
      <w:r w:rsidRPr="006946B8">
        <w:rPr>
          <w:bCs/>
        </w:rPr>
        <w:t xml:space="preserve">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A3465D"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w:t>
      </w:r>
      <w:r>
        <w:rPr>
          <w:bCs/>
        </w:rPr>
        <w:t xml:space="preserve">om the Market Monitoring Unit on matters relating to the determination of price projections and cost calculations.  The ISO shall inform the NCZ Examined Project of the Offer Floor or Offer Floor exemption determination or Indicative </w:t>
      </w:r>
      <w:r>
        <w:rPr>
          <w:bCs/>
        </w:rPr>
        <w:t xml:space="preserve">Buyer-Side Mitigation </w:t>
      </w:r>
      <w:r>
        <w:rPr>
          <w:bCs/>
        </w:rPr>
        <w:t xml:space="preserve">Exemption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A3465D" w:rsidP="006D1AD0">
      <w:pPr>
        <w:pStyle w:val="romannumeralpara"/>
        <w:rPr>
          <w:bCs/>
        </w:rPr>
      </w:pPr>
      <w:r>
        <w:rPr>
          <w:bCs/>
        </w:rPr>
        <w:t>23.4.5.7.2.6</w:t>
      </w:r>
      <w:r>
        <w:rPr>
          <w:bCs/>
        </w:rPr>
        <w:tab/>
        <w:t>If an NCZ Examined Project under the criteria in</w:t>
      </w:r>
      <w:r>
        <w:rPr>
          <w:bCs/>
        </w:rPr>
        <w:t xml:space="preserve"> 23.4.5.7.2.1 or 23.4.5.7.2.2 does not provide all of the requested data by the date specified by the ISO, the MW of CRIS received at that time by the project shall be subject to the Mitigation Net CONE Offer Floor for the period determined by the ISO in a</w:t>
      </w:r>
      <w:r>
        <w:rPr>
          <w:bCs/>
        </w:rPr>
        <w:t>ccordance with Section 23.4.5.7.</w:t>
      </w:r>
    </w:p>
    <w:p w:rsidR="006D1AD0" w:rsidRDefault="00A3465D"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A3465D">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 (II) each (i) existing Generator that did not have CRIS rights, and (ii) proposed new Generator and proposed new UDR project, tha</w:t>
      </w:r>
      <w:r>
        <w:rPr>
          <w:bCs/>
        </w:rPr>
        <w:t>t is an expected recipient of transferred CRIS rights at the same location regarding which the ISO has been notified by the transferor or the transferee of a transfer pursuant to OATT Attachment S Section 2</w:t>
      </w:r>
      <w:r>
        <w:rPr>
          <w:bCs/>
        </w:rPr>
        <w:t>5</w:t>
      </w:r>
      <w:r>
        <w:rPr>
          <w:bCs/>
        </w:rPr>
        <w:t xml:space="preserve">.9.4 that will be effective on a date within the </w:t>
      </w:r>
      <w:r>
        <w:rPr>
          <w:bCs/>
        </w:rPr>
        <w:t>Mitigation Study Period, (III) each proposed new Generator that (a) is either (i) in the ISO Interconnection Queue, in a Class Year prior to 2009/10, and has not commenced commercial operation or been canceled, and for which the ISO has not made an exempti</w:t>
      </w:r>
      <w:r>
        <w:rPr>
          <w:bCs/>
        </w:rPr>
        <w:t>on or Unit Net CONE determination, or (ii) not subject to a deliverability requirement (and therefore, is not in a Class Year) and (b) provides specific written notification to the ISO no later than the date identified by the ISO, that it plans to commence</w:t>
      </w:r>
      <w:r>
        <w:rPr>
          <w:bCs/>
        </w:rPr>
        <w:t xml:space="preserve"> commercial operation and offer UCAP in a month that coincides with a Capability Period o</w:t>
      </w:r>
      <w:r>
        <w:rPr>
          <w:bCs/>
        </w:rPr>
        <w:t>f the Mitigation Study Period.  The term “Examined Facilities” does not include any facility exempt from an Offer Floor pursuant to the</w:t>
      </w:r>
      <w:r>
        <w:rPr>
          <w:bCs/>
        </w:rPr>
        <w:t xml:space="preserve"> provisions of Section 23.4.5.7</w:t>
      </w:r>
      <w:r>
        <w:rPr>
          <w:bCs/>
        </w:rPr>
        <w:t>.</w:t>
      </w:r>
    </w:p>
    <w:p w:rsidR="00B641E5" w:rsidRDefault="00A3465D">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project  to the I</w:t>
      </w:r>
      <w:r>
        <w:rPr>
          <w:bCs/>
        </w:rPr>
        <w:t>SO in the Interconnection Facilities Study process or (B) reflected in the Interconnection Queue, or if neither of the foregoing is applicable, then the date identified by the project to the Transmission Owner to which it has proposed interconnecting.</w:t>
      </w:r>
    </w:p>
    <w:p w:rsidR="00B641E5" w:rsidRDefault="00A3465D">
      <w:pPr>
        <w:pStyle w:val="romannumeralpara"/>
        <w:rPr>
          <w:bCs/>
        </w:rPr>
      </w:pPr>
      <w:r>
        <w:rPr>
          <w:bCs/>
        </w:rPr>
        <w:t>23.4</w:t>
      </w:r>
      <w:r>
        <w:rPr>
          <w:bCs/>
        </w:rPr>
        <w:t>.5.7.3.2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23.4.5.7.3 (I), (II</w:t>
      </w:r>
      <w:r>
        <w:rPr>
          <w:bCs/>
        </w:rPr>
        <w:t>), and (III).</w:t>
      </w:r>
    </w:p>
    <w:p w:rsidR="00B641E5" w:rsidRDefault="00A3465D">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w:t>
      </w:r>
      <w:r>
        <w:rPr>
          <w:bCs/>
        </w:rPr>
        <w:t>ce to the ISO that it intends to retire.</w:t>
      </w:r>
    </w:p>
    <w:p w:rsidR="00B641E5" w:rsidRDefault="00A3465D">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A3465D">
      <w:pPr>
        <w:pStyle w:val="romannumeralpara"/>
        <w:ind w:firstLine="0"/>
        <w:rPr>
          <w:bCs/>
        </w:rPr>
      </w:pPr>
      <w:r>
        <w:rPr>
          <w:bCs/>
        </w:rPr>
        <w:t>Before the commencement of the Initial Decision Period for the Class Year, the IS</w:t>
      </w:r>
      <w:r>
        <w:rPr>
          <w:bCs/>
        </w:rPr>
        <w:t>O shall post on its website the inputs of the reasonably anticipated ICAP Spot Market Auction forecast prices determined in accordance with 23.4.5.7.3.2, the Expected Retirements, and the Examined Facilities, before the Initial Project Cost Allocation</w:t>
      </w:r>
      <w:r w:rsidRPr="007231D7">
        <w:rPr>
          <w:bCs/>
        </w:rPr>
        <w:t>, sub</w:t>
      </w:r>
      <w:r w:rsidRPr="007231D7">
        <w:rPr>
          <w:bCs/>
        </w:rPr>
        <w:t>ject to any restrictions on the disclosure of Confidential Information or Critical Energy Infrastructure Information</w:t>
      </w:r>
      <w:r>
        <w:rPr>
          <w:bCs/>
        </w:rPr>
        <w:t>.</w:t>
      </w:r>
    </w:p>
    <w:p w:rsidR="00B641E5" w:rsidRDefault="00A3465D">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using for ea</w:t>
      </w:r>
      <w:r>
        <w:rPr>
          <w:bCs/>
        </w:rPr>
        <w:t xml:space="preserve">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w:t>
      </w:r>
      <w:r w:rsidRPr="00E82686">
        <w:rPr>
          <w:bCs/>
        </w:rPr>
        <w:t xml:space="preserve"> Study Period. </w:t>
      </w:r>
    </w:p>
    <w:p w:rsidR="00B641E5" w:rsidRDefault="00A3465D">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 ISO, in accorda</w:t>
      </w:r>
      <w:r>
        <w:rPr>
          <w:bCs/>
        </w:rPr>
        <w:t xml:space="preserve">nce with the ISO Procedures.  For any such Examined Facility that is in a Class Year but that only has ERIS rights after the Project Cost Allocation process is complete, the ISO shall utilize the data first provided in its analysis of the Unit Net CONE in </w:t>
      </w:r>
      <w:r>
        <w:rPr>
          <w:bCs/>
        </w:rPr>
        <w:t>its review of the project in any future Class Year in which the Generator or UDR facility requests CRIS.  The ISO shall determine the reasonably anticipated Unit Net CONE less the costs to be determined in the Project Cost Allocation or Revised Project Cos</w:t>
      </w:r>
      <w:r>
        <w:rPr>
          <w:bCs/>
        </w:rPr>
        <w:t xml:space="preserve">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w:t>
      </w:r>
      <w:r>
        <w:rPr>
          <w:bCs/>
        </w:rPr>
        <w:t xml:space="preserve">SO’s issuance of the Revised Project Cost Allocation, the ISO will revise its forecast of ICAP Spot Market Auction prices for the Capability Periods in the Mitigation Study Period based on the Examined Facilities that remain in the Class Year for CRIS and </w:t>
      </w:r>
      <w:r>
        <w:rPr>
          <w:bCs/>
        </w:rPr>
        <w:t>the Examined Facilities that meet 23.4.5.7.3 (II) or (III).  When evaluating Examined Capacity pursuant to this Section 23.4.5.7, the ISO shall seek comment from the Market Monitoring Unit on matters relating to the determination of price projections and c</w:t>
      </w:r>
      <w:r>
        <w:rPr>
          <w:bCs/>
        </w:rPr>
        <w:t xml:space="preserve">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w:t>
      </w:r>
      <w:r w:rsidRPr="007231D7">
        <w:rPr>
          <w:bCs/>
        </w:rPr>
        <w:t>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w:t>
      </w:r>
      <w:r w:rsidRPr="007231D7">
        <w:rPr>
          <w:bCs/>
        </w:rPr>
        <w:t>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the Mitigation Measures ar</w:t>
      </w:r>
      <w:r>
        <w:rPr>
          <w:color w:val="000000"/>
        </w:rPr>
        <w:t xml:space="preserve">e also </w:t>
      </w:r>
      <w:r>
        <w:rPr>
          <w:color w:val="000000"/>
        </w:rPr>
        <w:t>addressed in Section 30.4.6.2.1</w:t>
      </w:r>
      <w:r>
        <w:rPr>
          <w:color w:val="000000"/>
        </w:rPr>
        <w:t>2</w:t>
      </w:r>
      <w:r>
        <w:rPr>
          <w:color w:val="000000"/>
        </w:rPr>
        <w:t xml:space="preserve"> of Attachment O.  </w:t>
      </w:r>
    </w:p>
    <w:p w:rsidR="00B641E5" w:rsidRDefault="00A3465D">
      <w:pPr>
        <w:pStyle w:val="romannumeralpara"/>
      </w:pPr>
      <w:r>
        <w:t>23.4.5.7.3.4</w:t>
      </w:r>
      <w:r>
        <w:tab/>
        <w:t>If an Examined Facility under the criteria in 23.4.5.7.3 (II) or (III) has not provided written notice to the ISO on or before the date specified by the ISO, or any Examined Facility r</w:t>
      </w:r>
      <w:r>
        <w:t xml:space="preserve">equired to be reviewed 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A3465D">
      <w:pPr>
        <w:pStyle w:val="romannumeralpara"/>
        <w:rPr>
          <w:bCs/>
        </w:rPr>
      </w:pPr>
      <w:r>
        <w:t>23.4</w:t>
      </w:r>
      <w:r>
        <w:t>.5.7.3.5</w:t>
      </w:r>
      <w:r>
        <w:tab/>
      </w:r>
      <w:r w:rsidRPr="007231D7">
        <w:t>Except as specified in Section 23.4.5.7.6 with respect to Additional CRIS MW, a</w:t>
      </w:r>
      <w:r>
        <w:t>n Examined Facility for which an exemption or Offer Floor determination has been rendered may only be reevaluated for an exemption or Offer Floor determination if it me</w:t>
      </w:r>
      <w:r>
        <w:t>ets the criteria in Section 23.4.5.7.3 (I) and either (a) enters a new Class Year for CRIS or (b) intends to receive transferred CRIS rights at the same location.  An Examined Facility under the criteria in 23.4.5.7.3 (II) that did receive CRIS rights will</w:t>
      </w:r>
      <w:r>
        <w:t xml:space="preserve"> be bound by the determination rendered and will not be reevaluated, and an Examined Facility under the criteria in 23.4.5.7.3 (III) will not be reevaluated.  </w:t>
      </w:r>
    </w:p>
    <w:p w:rsidR="001C4034" w:rsidRDefault="00A3465D">
      <w:pPr>
        <w:pStyle w:val="romannumeralpara"/>
      </w:pPr>
      <w:r>
        <w:t>23.4.5.7.3.6</w:t>
      </w:r>
      <w:r>
        <w:tab/>
        <w:t xml:space="preserve">If an Installed Capacity Supplier demonstrates to the reasonable satisfaction of </w:t>
      </w:r>
      <w:r>
        <w:t>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w:t>
      </w:r>
      <w:r>
        <w:t xml:space="preserve"> be reduced to a numerical value equal to </w:t>
      </w:r>
      <w:r>
        <w:t xml:space="preserve">the first year of </w:t>
      </w:r>
      <w:r>
        <w:t xml:space="preserve">its Unit Net CONE. </w:t>
      </w:r>
      <w:r>
        <w:t xml:space="preserve"> </w:t>
      </w:r>
    </w:p>
    <w:p w:rsidR="00B641E5" w:rsidRDefault="00A3465D">
      <w:pPr>
        <w:pStyle w:val="romannumeralpara"/>
        <w:rPr>
          <w:bCs/>
        </w:rPr>
      </w:pPr>
      <w:r>
        <w:t>23.4.5.7.3.7</w:t>
      </w:r>
      <w:r>
        <w:tab/>
      </w:r>
      <w:r>
        <w:t>If the Installed Capacity Supplier first offers UCAP prior to the first Capability Year of the Mitigation Study Period for which it was evaluated, its Offer Floor</w:t>
      </w:r>
      <w:r>
        <w:t xml:space="preserve"> shall be reduced using the inflation rate component identified in Section 23.4.5.7.  If the Installed Capacity Supplier first offers UCAP after the first Capability Year of the Mitigation Study Period for which it was evaluated, its Offer Floor shall be i</w:t>
      </w:r>
      <w:r>
        <w:t>ncreased using the inflation rate component identified in 23.4.5.7.</w:t>
      </w:r>
    </w:p>
    <w:p w:rsidR="00B641E5" w:rsidRDefault="00A3465D">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w:t>
      </w:r>
      <w:r>
        <w:t>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w:t>
      </w:r>
      <w:r>
        <w:t>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w:t>
      </w:r>
      <w:r>
        <w:t>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w:t>
      </w:r>
      <w:r>
        <w:t xml:space="preserve">  </w:t>
      </w:r>
    </w:p>
    <w:p w:rsidR="00B641E5" w:rsidRDefault="00A3465D">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w:t>
      </w:r>
      <w:r>
        <w:t xml:space="preserve">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w:t>
      </w:r>
      <w:r>
        <w:t>one except New York City and is enrolled as a Special Case Resource with the ISO for any month within the Capability Year that includes March 31 in an ICAP Demand Curve Reset Filing Year in which the ISO proposes a New Capacity Zone that includes the locat</w:t>
      </w:r>
      <w:r>
        <w:t xml:space="preserve">ion of the Special Case Resource, or (b) </w:t>
      </w:r>
      <w:r>
        <w:t>the ISO projects that the ICAP Spot Market Auction price will exceed the Special Case Resource’s Offer Floor for the first twelve months that the Special Case Resource reasonably anticipated to offer to supply UCAP.</w:t>
      </w:r>
      <w:r>
        <w:t xml:space="preserve">  If a Responsible Interface Party fails to provide Special Case Resource data that the ISO needs to conduct the calculations described in the two preceding sentences by the deadline established in ISO Procedures, the Special Case Resource will cease to be</w:t>
      </w:r>
      <w:r>
        <w:t xml:space="preserve"> eligible to offer or sell Installed Capacity.  The Offer Floor for a Special Case Resource shall be equal to the minimum monthly payment for providing Installed Capacity payable by its Responsible Interface Party, plus the monthly value of any payments or</w:t>
      </w:r>
      <w:r>
        <w:t xml:space="preserve"> other benefits the Special Case Resource receives from a third party for providing Installed Capacity, or that is received by the Responsible Interface Party for the provision of Installed Capacity by the Special Case Resource.  The Offer Floor calculatio</w:t>
      </w:r>
      <w:r>
        <w:t>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w:t>
      </w:r>
      <w:r>
        <w:t xml:space="preserve">y Commission order in response to a request for exemption filed under section 206 of the Federal Power Act by New York State or a government instrumentality of New York State.  The Offer Floor calculation for a Special Case Resource located in a Mitigated </w:t>
      </w:r>
      <w:r>
        <w:t>Capacity Zone except New York City shall include any payment or the value of other benefits that are awarded for offering or supplying Mitigated Capacity Zone Capacity, except for payments or the value of other benefits provided under programs administered</w:t>
      </w:r>
      <w:r>
        <w:t xml:space="preserve">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w:t>
      </w:r>
      <w:r>
        <w:t>PTID.  Such offers may comprise a set of points for which prices may vary with the quantity offered.  If this set includes megawatts from a Special Case Resource(s) with an Offer Floor, then at least the quantity of megawatts in the offer associated with e</w:t>
      </w:r>
      <w:r>
        <w:t>ach Special Case Resource must be offered at or above the Special Case Resource’s Offer Floor.  Offers by a Responsible Interface Party shall be subject to audit to determine whether they conformed to the foregoing Offer Floor requirements.  If a Responsib</w:t>
      </w:r>
      <w:r>
        <w:t xml:space="preserve">le Interface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w:t>
      </w:r>
      <w:r>
        <w:t xml:space="preserve">ch decrease is at least $.50/kilowatt-month, the Responsible Interface Party shall be required to pay to the ISO an amount equal to 1.5 times the difference between the Market-Clearing Price for the </w:t>
      </w:r>
      <w:r>
        <w:t>Mitigated Capacity Zone</w:t>
      </w:r>
      <w:r>
        <w:t xml:space="preserve"> in the ICAP Spot Auction for whic</w:t>
      </w:r>
      <w:r>
        <w:t>h the offers below the Offer Floor were submitted with and without such offers being set to the Offer Floor, times the total amount of UCAP sold by the Responsible Interface Party and its Affiliated Entities in such ICAP Spot Auction.  If an offer is submi</w:t>
      </w:r>
      <w:r>
        <w:t>tted below the applicable Offer Floor, the ISO will notify the Responsible Market Party and the notification will identify the offer, the Special Case Resource, the price impact, and the penalty amount.  The ISO will provide the notice reasonably in advanc</w:t>
      </w:r>
      <w:r>
        <w:t>e of imposing such penalty.  The ISO shall distribute any amounts recovered in accordance with the foregoing provisions among the entities, other than the entity subject to the foregoing payment requirement, supplying Installed Capacity in regions affected</w:t>
      </w:r>
      <w:r>
        <w:t xml:space="preserve"> by one or more offers below an applicable Offer Floor in accordance with ISO Procedures.</w:t>
      </w:r>
    </w:p>
    <w:p w:rsidR="00630EAF" w:rsidRPr="007231D7" w:rsidRDefault="00A3465D" w:rsidP="00630EAF">
      <w:pPr>
        <w:pStyle w:val="alphapara"/>
        <w:rPr>
          <w:bCs/>
        </w:rPr>
      </w:pPr>
      <w:r w:rsidRPr="00630EAF">
        <w:rPr>
          <w:b/>
        </w:rPr>
        <w:t>23.4.5.7.6</w:t>
      </w:r>
      <w:r>
        <w:rPr>
          <w:bCs/>
        </w:rPr>
        <w:tab/>
      </w:r>
      <w:r w:rsidRPr="007231D7">
        <w:rPr>
          <w:b/>
        </w:rPr>
        <w:t>Exemptions for Additional CRIS MW</w:t>
      </w:r>
      <w:r w:rsidRPr="005F3C42">
        <w:t xml:space="preserve">:  </w:t>
      </w:r>
      <w:r w:rsidRPr="00F0586F">
        <w:t xml:space="preserve">All requests for Additional CRIS MW located in a Mitigated Capacity Zone, in a Class Year or through a transfer, shall </w:t>
      </w:r>
      <w:r w:rsidRPr="00F0586F">
        <w:t>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w:t>
      </w:r>
      <w:r w:rsidRPr="007231D7">
        <w:rPr>
          <w:bCs/>
        </w:rPr>
        <w:t xml:space="preserve"> equal to (x) the average of the ICAP Spot Market Auction price for each month in the two Capability Periods, beginning with the Summer Capability Period commencing three years from the start of the Class Year (the “Starting Capability Period”) is projecte</w:t>
      </w:r>
      <w:r w:rsidRPr="007231D7">
        <w:rPr>
          <w:bCs/>
        </w:rPr>
        <w:t>d by the ISO, with the inclusion of the Additional CRIS MW, to be higher than (y) the highest Offer Floor based on the Mitigation Net CONE that would be applicable to such Additional CRIS MW in the same two (2) Capability Periods (utilized to compute (x));</w:t>
      </w:r>
      <w:r w:rsidRPr="007231D7">
        <w:rPr>
          <w:bCs/>
        </w:rPr>
        <w:t xml:space="preserve"> or (b) if the price that is equal to the average of the ICAP Spot Market Auction prices in the six Capability Periods beginning with the Starting Capability Period is projected by the ISO, with the inclusion of the Installed Capacity Supplier’s Additional</w:t>
      </w:r>
      <w:r w:rsidRPr="007231D7">
        <w:rPr>
          <w:bCs/>
        </w:rPr>
        <w:t xml:space="preserve"> CRIS MW, to be higher than the reasonably anticipated Unit Net CONE computed in accordance with (i) and (ii) of Section 23.4.5.7.6.1 for the Installed Capacity Supplier’s Additional CRIS MW.</w:t>
      </w:r>
    </w:p>
    <w:p w:rsidR="00630EAF" w:rsidRPr="007231D7" w:rsidRDefault="00A3465D" w:rsidP="00630EAF">
      <w:pPr>
        <w:pStyle w:val="alphapara"/>
        <w:rPr>
          <w:bCs/>
        </w:rPr>
      </w:pPr>
      <w:r w:rsidRPr="007231D7">
        <w:rPr>
          <w:bCs/>
        </w:rPr>
        <w:t>23.4.5.7.6.1</w:t>
      </w:r>
      <w:r w:rsidRPr="007231D7">
        <w:rPr>
          <w:bCs/>
        </w:rPr>
        <w:tab/>
        <w:t>For Additional CRIS MW that have an exemption or Of</w:t>
      </w:r>
      <w:r w:rsidRPr="007231D7">
        <w:rPr>
          <w:bCs/>
        </w:rPr>
        <w:t xml:space="preserve">fer Floor determined pursuant to this Section 23.4.5.7.6, the ISO shall compute Unit Net CONE as follows:  </w:t>
      </w:r>
    </w:p>
    <w:p w:rsidR="00630EAF" w:rsidRPr="007231D7" w:rsidRDefault="00A3465D" w:rsidP="00630EAF">
      <w:pPr>
        <w:pStyle w:val="alphapara"/>
        <w:rPr>
          <w:bCs/>
        </w:rPr>
      </w:pPr>
      <w:r w:rsidRPr="007231D7">
        <w:rPr>
          <w:bCs/>
        </w:rPr>
        <w:tab/>
        <w:t>(i) Unit Net CONE for the Additional CRIS MW shall be based on the Additional CRIS MW and the costs and revenues of and associated with the Additio</w:t>
      </w:r>
      <w:r w:rsidRPr="007231D7">
        <w:rPr>
          <w:bCs/>
        </w:rPr>
        <w:t>nal CRIS MW if:</w:t>
      </w:r>
    </w:p>
    <w:p w:rsidR="00630EAF" w:rsidRPr="007231D7" w:rsidRDefault="00A3465D"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A3465D" w:rsidP="00630EAF">
      <w:pPr>
        <w:pStyle w:val="alphapara"/>
        <w:rPr>
          <w:bCs/>
        </w:rPr>
      </w:pPr>
      <w:r w:rsidRPr="007231D7">
        <w:rPr>
          <w:bCs/>
        </w:rPr>
        <w:tab/>
      </w:r>
      <w:r w:rsidRPr="007231D7">
        <w:rPr>
          <w:bCs/>
        </w:rPr>
        <w:tab/>
      </w:r>
      <w:r w:rsidRPr="00F5070F">
        <w:rPr>
          <w:bCs/>
        </w:rPr>
        <w:t>(b) at the</w:t>
      </w:r>
      <w:r w:rsidRPr="00F5070F">
        <w:rPr>
          <w:bCs/>
        </w:rPr>
        <w:t xml:space="preserve"> time of an Examined Facility’s request for Additional CRIS MW: (1) it has accepted CRIS MW equal to, or greater than, 95 percent of the Examined Facility’s maximum MW of electrical capability, net of auxiliary load, at an ambient temperature of 93° F as d</w:t>
      </w:r>
      <w:r w:rsidRPr="00F5070F">
        <w:rPr>
          <w:bCs/>
        </w:rPr>
        <w:t xml:space="preserve">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A3465D" w:rsidP="00630EAF">
      <w:pPr>
        <w:pStyle w:val="alphapara"/>
        <w:rPr>
          <w:bCs/>
        </w:rPr>
      </w:pPr>
      <w:r w:rsidRPr="007231D7">
        <w:rPr>
          <w:bCs/>
        </w:rPr>
        <w:tab/>
      </w:r>
      <w:r w:rsidRPr="007231D7">
        <w:rPr>
          <w:bCs/>
        </w:rPr>
        <w:tab/>
        <w:t>(c) the Examined Facility’s Total Evaluated CRIS MW includes exempted CRIS MW f</w:t>
      </w:r>
      <w:r w:rsidRPr="007231D7">
        <w:rPr>
          <w:bCs/>
        </w:rPr>
        <w:t>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A3465D" w:rsidP="00630EAF">
      <w:pPr>
        <w:pStyle w:val="alphapara"/>
        <w:rPr>
          <w:b/>
          <w:bCs/>
        </w:rPr>
      </w:pPr>
      <w:r w:rsidRPr="007231D7">
        <w:rPr>
          <w:bCs/>
        </w:rPr>
        <w:tab/>
        <w:t>(ii) or</w:t>
      </w:r>
      <w:r w:rsidRPr="007231D7">
        <w:rPr>
          <w:bCs/>
        </w:rPr>
        <w:t xml:space="preserve"> in all other cases, Unit Net CONE, shall be the greater of two values, one based on the Total Evaluated CRIS MW, and the costs and revenues of the Total Evaluated CRIS MW, and one based on the Additional CRIS MW, and the costs and revenues of the Addition</w:t>
      </w:r>
      <w:r w:rsidRPr="007231D7">
        <w:rPr>
          <w:bCs/>
        </w:rPr>
        <w:t xml:space="preserve">al CRIS MW.  </w:t>
      </w:r>
      <w:r w:rsidRPr="007231D7">
        <w:rPr>
          <w:b/>
          <w:bCs/>
          <w:i/>
        </w:rPr>
        <w:t xml:space="preserve"> </w:t>
      </w:r>
    </w:p>
    <w:p w:rsidR="00630EAF" w:rsidRPr="007231D7" w:rsidRDefault="00A3465D"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23.4.5.7.2.4</w:t>
      </w:r>
      <w:r w:rsidRPr="007231D7">
        <w:rPr>
          <w:bCs/>
        </w:rPr>
        <w:t xml:space="preserve"> or 23.4.5.7.3.2, adjusted to the year’s dollars at the time of an Examined Facility’s request for Additional CRIS MW using: (i) the relevant value from the price index for non-farm business output published in the Survey of Current Business by the Departm</w:t>
      </w:r>
      <w:r w:rsidRPr="007231D7">
        <w:rPr>
          <w:bCs/>
        </w:rPr>
        <w:t xml:space="preserve">ent of Commerce’s Bureau of Economic Analysis (“BEA Non-Farm Price Index”), or its successor; or (ii) the inflation rate component of the escalation factor of the most currently accepted ICAP Demand Curves for any future year which is beyond the published </w:t>
      </w:r>
      <w:r w:rsidRPr="007231D7">
        <w:rPr>
          <w:bCs/>
        </w:rPr>
        <w:t xml:space="preserve">BEA Non-Farm Price Index, or its successor.  </w:t>
      </w:r>
    </w:p>
    <w:p w:rsidR="00630EAF" w:rsidRPr="007231D7" w:rsidRDefault="00A3465D"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w:t>
      </w:r>
      <w:r w:rsidRPr="007231D7">
        <w:rPr>
          <w:bCs/>
        </w:rPr>
        <w:t xml:space="preserve">y the Examined Facility immediately prior to its request for Additional CRIS MW and (1-EFORd).  Except as specified in the next paragraph, for purposes of this calculation, if the Examined Facility is a Generator, its EFORd shall be derived using the data </w:t>
      </w:r>
      <w:r w:rsidRPr="007231D7">
        <w:rPr>
          <w:bCs/>
        </w:rPr>
        <w:t>in the 5-year average NERC-GADS Generating Availability Report, or its successor, for the main class of the unit (hereinafter the “Class Average EFORd”) that is current at the time of the request for Additional CRIS MW, when available.  If the Examined Fac</w:t>
      </w:r>
      <w:r w:rsidRPr="007231D7">
        <w:rPr>
          <w:bCs/>
        </w:rPr>
        <w:t>ility is an Intermittent Power Resource or Limited Control Run-of-River Hydro Resource, the ISO shall apply a 5-year average derating factor based on ISO data to establish the EFORd to be utilized in the calculation pursuant to this paragraph.  In all othe</w:t>
      </w:r>
      <w:r w:rsidRPr="007231D7">
        <w:rPr>
          <w:bCs/>
        </w:rPr>
        <w:t>r cases, the ISO will apply the 5-year average derating factor from the ICAP/UCAP translation, for the smallest Mitigated Capacity Zone in which the resource is located at the time of the request.  The EFORd applied by the ISO at the time that the Examined</w:t>
      </w:r>
      <w:r w:rsidRPr="007231D7">
        <w:rPr>
          <w:bCs/>
        </w:rPr>
        <w:t xml:space="preserve">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w:t>
      </w:r>
      <w:r w:rsidRPr="007231D7">
        <w:rPr>
          <w:bCs/>
        </w:rPr>
        <w:t xml:space="preserve">ed Facility’s request for Additional CRIS MW.  </w:t>
      </w:r>
    </w:p>
    <w:p w:rsidR="00630EAF" w:rsidRPr="007231D7" w:rsidRDefault="00A3465D"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w:t>
      </w:r>
      <w:r w:rsidRPr="007231D7">
        <w:t xml:space="preserve">hat are or have ever been subject to the Mitigation Net CONE Offer Floor, pursuant to Section 23.4.5.7.3.4.  </w:t>
      </w:r>
    </w:p>
    <w:p w:rsidR="00630EAF" w:rsidRPr="007231D7" w:rsidRDefault="00A3465D"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w:t>
      </w:r>
      <w:r w:rsidRPr="007231D7">
        <w:rPr>
          <w:bCs/>
        </w:rPr>
        <w:t xml:space="preserve">merical value equal to 75 percent of the Mitigation Net CONE translated into a seasonally adjusted monthly UCAP value for the Additional CRIS MW.  </w:t>
      </w:r>
    </w:p>
    <w:p w:rsidR="00630EAF" w:rsidRPr="007231D7" w:rsidRDefault="00A3465D" w:rsidP="00630EAF">
      <w:pPr>
        <w:pStyle w:val="alphapara"/>
        <w:rPr>
          <w:bCs/>
        </w:rPr>
      </w:pPr>
      <w:r w:rsidRPr="007231D7">
        <w:rPr>
          <w:bCs/>
        </w:rPr>
        <w:t>23.4.5.7.6.6</w:t>
      </w:r>
      <w:r w:rsidRPr="007231D7">
        <w:rPr>
          <w:bCs/>
        </w:rPr>
        <w:tab/>
        <w:t>The results of this exemption determination shall apply only to the Additional CRIS MW and shal</w:t>
      </w:r>
      <w:r w:rsidRPr="007231D7">
        <w:rPr>
          <w:bCs/>
        </w:rPr>
        <w:t>l not alter or affect any prior exemption or Offer Floor determination for the Examined Facility.  The Additional CRIS MW for which CRIS is received shall be bound by the determination rendered and will not be reevaluated unless the Examined Facility enter</w:t>
      </w:r>
      <w:r w:rsidRPr="007231D7">
        <w:rPr>
          <w:bCs/>
        </w:rPr>
        <w:t>s a new Class Year for the Additional CRIS MW.</w:t>
      </w:r>
    </w:p>
    <w:p w:rsidR="00630EAF" w:rsidRPr="007231D7" w:rsidRDefault="00A3465D"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w:t>
      </w:r>
      <w:r w:rsidRPr="007231D7">
        <w:rPr>
          <w:bCs/>
        </w:rPr>
        <w:t>etermination for the Examined Facility was rendered, the ISO shall provide such Installed Capacity Supplier with the Examined Facility’s first year Unit Net CONE value if the Installed Capacity Supplier (a) requests that information, and (b) represents tha</w:t>
      </w:r>
      <w:r w:rsidRPr="007231D7">
        <w:rPr>
          <w:bCs/>
        </w:rPr>
        <w:t xml:space="preserve">t it: (i) will use that information solely for purposes of considering a request for Additional CRIS MW for the Examined Facility, and (ii) will not share that information with or make it available to any other person except those that are assisting it in </w:t>
      </w:r>
      <w:r w:rsidRPr="007231D7">
        <w:rPr>
          <w:bCs/>
        </w:rPr>
        <w:t xml:space="preserve">considering a request for Additional CRIS MW.  </w:t>
      </w:r>
    </w:p>
    <w:p w:rsidR="00630EAF" w:rsidRPr="007231D7" w:rsidRDefault="00A3465D"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w:t>
      </w:r>
      <w:r w:rsidRPr="007231D7">
        <w:t>he Market Monitoring Unit shall publish a report on the ISO’s determination, as further specified in Sections 30.4.6.2.1</w:t>
      </w:r>
      <w:r>
        <w:t>2</w:t>
      </w:r>
      <w:r w:rsidRPr="007231D7">
        <w:t xml:space="preserve"> and 30.10.4 of Attachment O to this Services Tariff. </w:t>
      </w:r>
    </w:p>
    <w:p w:rsidR="00B641E5" w:rsidRDefault="00A3465D">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w:t>
      </w:r>
      <w:r>
        <w:rPr>
          <w:bCs/>
        </w:rPr>
        <w:t xml:space="preserv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 xml:space="preserve">in a Mitigated Capacity Zone except New York </w:t>
      </w:r>
      <w:r w:rsidRPr="00862840">
        <w:rPr>
          <w:bCs/>
        </w:rPr>
        <w:t>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quantity of </w:t>
      </w:r>
      <w:r w:rsidRPr="00862840">
        <w:t>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established throu</w:t>
      </w:r>
      <w:r>
        <w:t xml:space="preserve">gh </w:t>
      </w:r>
      <w:r w:rsidRPr="00862840">
        <w:t>the Deliverability Grandfathering Process, this exemption shall not apply</w:t>
      </w:r>
      <w:r>
        <w:t xml:space="preserve"> to any such increase above the 2 MW allowed in Section 30.3.2.6 of Attachment X to the OATT.</w:t>
      </w:r>
    </w:p>
    <w:p w:rsidR="006D1AD0" w:rsidRDefault="00A3465D" w:rsidP="006D1AD0">
      <w:pPr>
        <w:pStyle w:val="alphapara"/>
      </w:pPr>
      <w:r>
        <w:t>23.4.5.7.</w:t>
      </w:r>
      <w:r>
        <w:t>8</w:t>
      </w:r>
      <w:r>
        <w:tab/>
        <w:t>For any Mitigated Capacity Zone except New York City:</w:t>
      </w:r>
    </w:p>
    <w:p w:rsidR="006D1AD0" w:rsidRDefault="00A3465D" w:rsidP="006D1AD0">
      <w:pPr>
        <w:pStyle w:val="alphapara"/>
      </w:pPr>
      <w:r>
        <w:tab/>
      </w:r>
      <w:r>
        <w:tab/>
        <w:t>(I) Any existing or</w:t>
      </w:r>
      <w:r>
        <w:t xml:space="preserve"> proposed Generator or UDR project that has the characteristics specified in this Section 23.4.5.7.</w:t>
      </w:r>
      <w:r>
        <w:t>8</w:t>
      </w:r>
      <w:r>
        <w:t>(I) shall be exempt from an Offer Floor with respect to the MW of CRIS that it received at the time, or for which it satisfied the specific CRIS transfer re</w:t>
      </w:r>
      <w:r>
        <w:t>quirements stated in this Section.  To be eligible for an exemption under this Section: (a) the existing or proposed Generator or UDR project’s location must be included in the ISO’s March 31 Filing in the ICAP Demand Curve Reset Filing Year in which a Mit</w:t>
      </w:r>
      <w:r>
        <w:t>igated Capacity Zone is first applied to such location; (b) prior to that March 31 Filing the existing or proposed Generator or UDR project must have both: (i) Commenced Construction and (ii) either (1) received the MW of CRIS in a Class Year that was comp</w:t>
      </w:r>
      <w:r>
        <w:t xml:space="preserve">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w:t>
      </w:r>
      <w:r>
        <w:t xml:space="preserve"> of OATT Attachment S (provided that the transfer is ultimately approved by the ISO and consummated); and (c) the existing or proposed Generator or UDR project must demonstrate to the ISO no later than the deadline established by the ISO that it satisfies </w:t>
      </w:r>
      <w:r>
        <w:t>the requirements of (b) (i) and (ii) above; and</w:t>
      </w:r>
    </w:p>
    <w:p w:rsidR="006D1AD0" w:rsidRPr="000D104D" w:rsidRDefault="00A3465D"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w:t>
      </w:r>
      <w:r>
        <w:t>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nterconnect</w:t>
      </w:r>
      <w:r>
        <w:t xml:space="preserve">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A3465D" w:rsidP="00A27962">
      <w:pPr>
        <w:pStyle w:val="alphapara"/>
      </w:pPr>
      <w:r>
        <w:tab/>
      </w:r>
      <w:r>
        <w:tab/>
        <w:t xml:space="preserve">The ISO shall consult with the Market Monitoring Unit </w:t>
      </w:r>
      <w:r>
        <w:t>prior to determining whether an existing or proposed Generator or UDR project has Commenced Construction.  Prior to the ISO making its determination, the Market Monitoring Unit shall provide the ISO a written opinion and recommendation regarding whether an</w:t>
      </w:r>
      <w:r>
        <w:t xml:space="preserve"> existing or proposed Generator or UDR project Commenced Construction.  The responsibilities of the Market Monitoring Unit that are addressed in this section of the Mitigation Measures are also addressed in Section 30.4.6.2.1</w:t>
      </w:r>
      <w:r>
        <w:t>2</w:t>
      </w:r>
      <w:r>
        <w:t xml:space="preserve"> of Attachment O.  The ISO sha</w:t>
      </w:r>
      <w:r>
        <w:t>ll only make a determination pursuant to this Section for an existing or proposed Generator or UDR project for the Mitigated Capacity Zone’s first application to the location of the project.  The Market Monitoring Unit shall also provide a public report on</w:t>
      </w:r>
      <w:r>
        <w:t xml:space="preserve"> its assessment of an ISO determination that an existing or proposed Generator or UDR project is exempt from an Offer Floor pursuant to this Section 23.4.5.7.</w:t>
      </w:r>
      <w:r>
        <w:t>8</w:t>
      </w:r>
      <w:r>
        <w:t>.</w:t>
      </w:r>
    </w:p>
    <w:p w:rsidR="00AE1D74" w:rsidRDefault="00A3465D" w:rsidP="00AE1D74">
      <w:pPr>
        <w:pStyle w:val="Heading4"/>
      </w:pPr>
      <w:r>
        <w:t>23.4.5.7.9</w:t>
      </w:r>
      <w:r>
        <w:tab/>
        <w:t>Competitive Entry Exemption</w:t>
      </w:r>
    </w:p>
    <w:p w:rsidR="00AE1D74" w:rsidRDefault="00A3465D" w:rsidP="00AE1D74">
      <w:pPr>
        <w:pStyle w:val="Heading4"/>
      </w:pPr>
      <w:r>
        <w:t>23.4.5.7.9.1</w:t>
      </w:r>
      <w:r>
        <w:tab/>
        <w:t>Eligibility</w:t>
      </w:r>
    </w:p>
    <w:p w:rsidR="00AE1D74" w:rsidRDefault="00A3465D" w:rsidP="00AE1D74">
      <w:pPr>
        <w:pStyle w:val="alphapara"/>
      </w:pPr>
      <w:r>
        <w:t xml:space="preserve">23.4.5.7.9.1.1  A proposed new </w:t>
      </w:r>
      <w:r>
        <w:t>Generator or UDR project that becomes a member of a Class Year after Class Year 2012 may request to be evaluated for a “Competitive Entry Exemption” for its CRIS MW and shall qualify for such exemption if the ISO determines that the proposed Generator or U</w:t>
      </w:r>
      <w:r>
        <w:t xml:space="preserve">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direct or ind</w:t>
      </w:r>
      <w:r>
        <w:t xml:space="preserve">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w:t>
      </w:r>
      <w:r>
        <w:t xml:space="preserve">itical subdivision thereof, (collectively “Non-Qualifying Entry Sponsors”); or (ii) an unexecuted agreement, written or unwritten, with a Non-Qualifying Entry Sponsor that would support the development of the </w:t>
      </w:r>
      <w:r w:rsidRPr="00482892">
        <w:t>project</w:t>
      </w:r>
      <w:r>
        <w:t>, except those agreements that would not</w:t>
      </w:r>
      <w:r>
        <w:t xml:space="preserve"> constitute a “non-qualifying contractual relationship,” as set forth in Section </w:t>
      </w:r>
      <w:r w:rsidRPr="00F0586F">
        <w:t>23.4.5.7.9.1.3(</w:t>
      </w:r>
      <w:r>
        <w:t>i) – (viii), (b) is not itself, and is not an Affiliate of, a Non-Qualifying Entry Sponsor.</w:t>
      </w:r>
    </w:p>
    <w:p w:rsidR="00AE1D74" w:rsidRDefault="00A3465D" w:rsidP="00AE1D74">
      <w:pPr>
        <w:pStyle w:val="alphapara"/>
      </w:pPr>
      <w:r>
        <w:t>23.4.5.7.9.1.2  For purposes of Section 23.4.5.7.9, a direct “non-qu</w:t>
      </w:r>
      <w:r>
        <w:t>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interconnection, op</w:t>
      </w:r>
      <w:r>
        <w:t xml:space="preserve">eration, or construction of the Generator or UDR project that is the subject of the request for the Competitive Entry Exemption; (b) is for the energy or capacity produced by or delivered from or by the Generator or UDR project, including an agreement for </w:t>
      </w:r>
      <w:r>
        <w:t xml:space="preserve">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w:t>
      </w:r>
      <w:r>
        <w:t xml:space="preserve">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w:t>
      </w:r>
      <w:r>
        <w:t xml:space="preserve">ect of including, this Generator or UDR project.    </w:t>
      </w:r>
    </w:p>
    <w:p w:rsidR="00AE1D74" w:rsidRPr="00F425A1" w:rsidRDefault="00A3465D"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A3465D"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A3465D" w:rsidP="00AE1D74">
      <w:pPr>
        <w:pStyle w:val="Heading4"/>
      </w:pPr>
      <w:r>
        <w:t xml:space="preserve">23.4.5.7.9.2 </w:t>
      </w:r>
      <w:r>
        <w:tab/>
        <w:t>Certifications and Acknowledgements</w:t>
      </w:r>
    </w:p>
    <w:p w:rsidR="00AE1D74" w:rsidRDefault="00A3465D"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A3465D" w:rsidP="00AE1D74">
      <w:pPr>
        <w:autoSpaceDE w:val="0"/>
        <w:autoSpaceDN w:val="0"/>
        <w:adjustRightInd w:val="0"/>
        <w:spacing w:after="240"/>
        <w:jc w:val="center"/>
        <w:rPr>
          <w:b/>
          <w:color w:val="000000"/>
        </w:rPr>
      </w:pPr>
      <w:r>
        <w:rPr>
          <w:b/>
          <w:color w:val="000000"/>
        </w:rPr>
        <w:t>CERTIFICATION AND ACKNOWLEDGMENT</w:t>
      </w:r>
    </w:p>
    <w:p w:rsidR="00AE1D74" w:rsidRDefault="00A3465D"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A3465D"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A3465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A3465D"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w:t>
      </w:r>
      <w:r>
        <w:rPr>
          <w:color w:val="000000"/>
        </w:rPr>
        <w:t>tion for the Project.</w:t>
      </w:r>
    </w:p>
    <w:p w:rsidR="00AE1D74" w:rsidRDefault="00A3465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A3465D" w:rsidP="00AE1D74">
      <w:pPr>
        <w:pStyle w:val="alphapara"/>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Competitive Entry Exemption as of the date of this Certification and Acknowledgment, including all data and other information submitted by the P</w:t>
      </w:r>
      <w:r>
        <w:rPr>
          <w:color w:val="000000"/>
        </w:rPr>
        <w:t xml:space="preserve">roject to the NYISO.  </w:t>
      </w:r>
    </w:p>
    <w:p w:rsidR="00AE1D74" w:rsidRDefault="00A3465D"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w:t>
      </w:r>
      <w:r>
        <w:rPr>
          <w:color w:val="000000"/>
        </w:rPr>
        <w:t>Sponsor,” as those terms are defined in Section 23</w:t>
      </w:r>
      <w:r>
        <w:t>.4.5.7.9 of the Services Tariff</w:t>
      </w:r>
      <w:r>
        <w:rPr>
          <w:color w:val="000000"/>
        </w:rPr>
        <w:t>.  I have listed all contracts with Non-Qualifying Entry Sponsors on Schedule 1 to this Certification.</w:t>
      </w:r>
    </w:p>
    <w:p w:rsidR="00AE1D74" w:rsidRDefault="00A3465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w:t>
      </w:r>
      <w:r>
        <w:rPr>
          <w:color w:val="000000"/>
        </w:rPr>
        <w:t xml:space="preserve">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w:t>
      </w:r>
      <w:r>
        <w:t xml:space="preserve"> Services Tariff</w:t>
      </w:r>
      <w:r>
        <w:rPr>
          <w:color w:val="000000"/>
        </w:rPr>
        <w:t xml:space="preserve">.    </w:t>
      </w:r>
    </w:p>
    <w:p w:rsidR="00AE1D74" w:rsidRDefault="00A3465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w:t>
      </w:r>
      <w:r>
        <w:rPr>
          <w:color w:val="000000"/>
        </w:rPr>
        <w:t xml:space="preserve">he development of the Project </w:t>
      </w:r>
      <w:r w:rsidRPr="00F0586F">
        <w:t>except those agreements that would not constitute a non-qualifying contractual relationship, as set forth in Section 23.4.5.7.9.1.3(i) – (viii) of the Services Tariff, and (b) all agreements that would not constitute a non-qua</w:t>
      </w:r>
      <w:r w:rsidRPr="00F0586F">
        <w:t>lifying contractual relationship are on Schedule 1 to this certification.</w:t>
      </w:r>
      <w:r>
        <w:rPr>
          <w:color w:val="000000"/>
        </w:rPr>
        <w:t xml:space="preserve"> </w:t>
      </w:r>
    </w:p>
    <w:p w:rsidR="00AE1D74" w:rsidRDefault="00A3465D"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w:t>
      </w:r>
      <w:r w:rsidRPr="00F0586F">
        <w:rPr>
          <w:color w:val="000000"/>
        </w:rPr>
        <w:t>n 2.1 of</w:t>
      </w:r>
      <w:r>
        <w:rPr>
          <w:color w:val="000000"/>
        </w:rPr>
        <w:t xml:space="preserve"> the Services Tariff) of, a Non-Qualifying Entry Sponsor.</w:t>
      </w:r>
    </w:p>
    <w:p w:rsidR="00AE1D74" w:rsidRDefault="00A3465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A3465D" w:rsidP="00AE1D74">
      <w:pPr>
        <w:pStyle w:val="alphapara"/>
        <w:spacing w:before="240" w:after="240" w:line="240" w:lineRule="auto"/>
        <w:rPr>
          <w:color w:val="000000"/>
        </w:rPr>
      </w:pPr>
      <w:r>
        <w:t>11.</w:t>
      </w:r>
      <w:r>
        <w:tab/>
        <w:t xml:space="preserve">All parents or Affiliates </w:t>
      </w:r>
      <w:r>
        <w:t>of the Project shall provide any information or cooperation requested by the ISO.</w:t>
      </w:r>
    </w:p>
    <w:p w:rsidR="00AE1D74" w:rsidRDefault="00A3465D"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A3465D"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A3465D"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A3465D"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A3465D" w:rsidP="00AE1D74">
      <w:pPr>
        <w:autoSpaceDE w:val="0"/>
        <w:autoSpaceDN w:val="0"/>
        <w:adjustRightInd w:val="0"/>
        <w:spacing w:after="240"/>
      </w:pPr>
    </w:p>
    <w:p w:rsidR="00AE1D74" w:rsidRDefault="00A3465D" w:rsidP="00AE1D74">
      <w:pPr>
        <w:ind w:left="360"/>
      </w:pPr>
    </w:p>
    <w:p w:rsidR="00AE1D74" w:rsidRDefault="00A3465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3465D" w:rsidP="00AE1D74">
      <w:pPr>
        <w:pStyle w:val="Signature"/>
        <w:ind w:left="4680"/>
      </w:pPr>
      <w:r w:rsidRPr="00F0586F">
        <w:t>[PRINT NAME]</w:t>
      </w:r>
    </w:p>
    <w:p w:rsidR="00AE1D74" w:rsidRPr="00F0586F" w:rsidRDefault="00A3465D" w:rsidP="00AE1D74">
      <w:pPr>
        <w:pStyle w:val="Signature"/>
        <w:ind w:left="4680"/>
      </w:pPr>
      <w:r w:rsidRPr="00F0586F">
        <w:t>[DATE]</w:t>
      </w:r>
    </w:p>
    <w:p w:rsidR="00AE1D74" w:rsidRDefault="00A3465D" w:rsidP="00AE1D74">
      <w:pPr>
        <w:pStyle w:val="Signature"/>
        <w:ind w:left="4680"/>
      </w:pPr>
    </w:p>
    <w:p w:rsidR="00AE1D74" w:rsidRDefault="00A3465D" w:rsidP="00AE1D74">
      <w:pPr>
        <w:ind w:left="360"/>
      </w:pPr>
    </w:p>
    <w:p w:rsidR="00AE1D74" w:rsidRDefault="00A3465D" w:rsidP="00AE1D74">
      <w:pPr>
        <w:ind w:left="360"/>
      </w:pPr>
    </w:p>
    <w:p w:rsidR="00AE1D74" w:rsidRDefault="00A3465D" w:rsidP="00AE1D74">
      <w:pPr>
        <w:ind w:left="360"/>
      </w:pPr>
      <w:r>
        <w:t>Subscribed and sworn to before me</w:t>
      </w:r>
    </w:p>
    <w:p w:rsidR="00AE1D74" w:rsidRDefault="00A3465D" w:rsidP="00AE1D74">
      <w:pPr>
        <w:ind w:left="360"/>
      </w:pPr>
      <w:r>
        <w:t xml:space="preserve">this [    ] day of </w:t>
      </w:r>
      <w:r w:rsidRPr="00F0586F">
        <w:t>[MONTH] [YEAR].</w:t>
      </w:r>
    </w:p>
    <w:p w:rsidR="00AE1D74" w:rsidRDefault="00A3465D" w:rsidP="00AE1D74">
      <w:r>
        <w:t xml:space="preserve"> </w:t>
      </w:r>
    </w:p>
    <w:p w:rsidR="00AE1D74" w:rsidRDefault="00A3465D" w:rsidP="00AE1D74"/>
    <w:p w:rsidR="00AE1D74" w:rsidRDefault="00A3465D" w:rsidP="00AE1D74">
      <w:r>
        <w:rPr>
          <w:u w:val="single"/>
        </w:rPr>
        <w:tab/>
      </w:r>
      <w:r>
        <w:rPr>
          <w:u w:val="single"/>
        </w:rPr>
        <w:tab/>
      </w:r>
      <w:r>
        <w:rPr>
          <w:u w:val="single"/>
        </w:rPr>
        <w:tab/>
      </w:r>
      <w:r>
        <w:rPr>
          <w:u w:val="single"/>
        </w:rPr>
        <w:tab/>
      </w:r>
      <w:r>
        <w:rPr>
          <w:u w:val="single"/>
        </w:rPr>
        <w:tab/>
      </w:r>
      <w:r>
        <w:rPr>
          <w:u w:val="single"/>
        </w:rPr>
        <w:tab/>
      </w:r>
    </w:p>
    <w:p w:rsidR="00AE1D74" w:rsidRDefault="00A3465D" w:rsidP="00AE1D74">
      <w:r>
        <w:t>Notary Public</w:t>
      </w:r>
    </w:p>
    <w:p w:rsidR="00AE1D74" w:rsidRDefault="00A3465D" w:rsidP="00AE1D74"/>
    <w:p w:rsidR="00AE1D74" w:rsidRDefault="00A3465D" w:rsidP="00AE1D74">
      <w:pPr>
        <w:rPr>
          <w:u w:val="single"/>
        </w:rPr>
      </w:pPr>
      <w:r>
        <w:t xml:space="preserve">My commission expires: </w:t>
      </w:r>
      <w:r>
        <w:rPr>
          <w:u w:val="single"/>
        </w:rPr>
        <w:tab/>
      </w:r>
      <w:r>
        <w:rPr>
          <w:u w:val="single"/>
        </w:rPr>
        <w:tab/>
      </w:r>
      <w:r>
        <w:rPr>
          <w:u w:val="single"/>
        </w:rPr>
        <w:tab/>
      </w:r>
      <w:r>
        <w:rPr>
          <w:u w:val="single"/>
        </w:rPr>
        <w:tab/>
      </w:r>
    </w:p>
    <w:p w:rsidR="00AE1D74" w:rsidRDefault="00A3465D" w:rsidP="00AE1D74">
      <w:pPr>
        <w:pStyle w:val="alphapara"/>
      </w:pPr>
    </w:p>
    <w:p w:rsidR="00AE1D74" w:rsidRDefault="00A3465D" w:rsidP="00AE1D74">
      <w:pPr>
        <w:jc w:val="center"/>
        <w:rPr>
          <w:b/>
        </w:rPr>
      </w:pPr>
      <w:r>
        <w:rPr>
          <w:b/>
        </w:rPr>
        <w:t xml:space="preserve">PROJECT NAME] SCHEDULE 1 </w:t>
      </w:r>
      <w:r>
        <w:t>CERTIFICATION AND ACKNOWLEDGEMENT</w:t>
      </w:r>
    </w:p>
    <w:p w:rsidR="00AE1D74" w:rsidRDefault="00A3465D" w:rsidP="00AE1D74">
      <w:pPr>
        <w:jc w:val="center"/>
        <w:rPr>
          <w:b/>
        </w:rPr>
      </w:pPr>
      <w:r>
        <w:rPr>
          <w:b/>
        </w:rPr>
        <w:t>[DATE]</w:t>
      </w:r>
    </w:p>
    <w:p w:rsidR="00AE1D74" w:rsidRDefault="00A3465D" w:rsidP="00AE1D74">
      <w:pPr>
        <w:jc w:val="center"/>
        <w:rPr>
          <w:b/>
        </w:rPr>
      </w:pPr>
    </w:p>
    <w:p w:rsidR="00AE1D74" w:rsidRDefault="00A3465D" w:rsidP="00AE1D74">
      <w:pPr>
        <w:jc w:val="center"/>
        <w:rPr>
          <w:b/>
        </w:rPr>
      </w:pPr>
    </w:p>
    <w:p w:rsidR="00AE1D74" w:rsidRDefault="00A3465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3465D" w:rsidP="00AE1D74">
      <w:pPr>
        <w:rPr>
          <w:u w:val="single"/>
        </w:rPr>
      </w:pPr>
    </w:p>
    <w:p w:rsidR="00AE1D74" w:rsidRDefault="00A3465D" w:rsidP="00AE1D74">
      <w:pPr>
        <w:pStyle w:val="alphapara"/>
      </w:pPr>
      <w:r>
        <w:t xml:space="preserve"> </w:t>
      </w:r>
    </w:p>
    <w:p w:rsidR="00AE1D74" w:rsidRDefault="00A3465D"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A3465D"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A3465D"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A3465D"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A3465D"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A3465D"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A3465D" w:rsidP="00AE1D74">
      <w:pPr>
        <w:pStyle w:val="Heading4"/>
        <w:rPr>
          <w:b w:val="0"/>
        </w:rPr>
      </w:pPr>
      <w:r>
        <w:t xml:space="preserve">23.4.5.7.9.3 </w:t>
      </w:r>
      <w:r>
        <w:tab/>
        <w:t>Timing for Requests, Required Submittals, and Withdrawals</w:t>
      </w:r>
    </w:p>
    <w:p w:rsidR="00AE1D74" w:rsidRDefault="00A3465D"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A3465D"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w:t>
      </w:r>
      <w:r>
        <w:t xml:space="preserve">mine whether a Generator or UDR project is exempt, subject to any required further submissions of information, or not exempt under the Competitive Entry Exemption, prior to </w:t>
      </w:r>
      <w:r w:rsidRPr="00F0586F">
        <w:t>the Initial Decision Period within which a Developer must provide an Acceptance Not</w:t>
      </w:r>
      <w:r w:rsidRPr="00F0586F">
        <w:t xml:space="preserve">ice or Non-Acceptance Notice to the ISO in response to the first </w:t>
      </w:r>
      <w:r>
        <w:t>Project Cost Allocation issued by the ISO to the Developer.</w:t>
      </w:r>
    </w:p>
    <w:p w:rsidR="00AE1D74" w:rsidRDefault="00A3465D" w:rsidP="00AE1D74">
      <w:pPr>
        <w:pStyle w:val="alphapara"/>
      </w:pPr>
      <w:r>
        <w:t>23.4.5.7.9.3.3</w:t>
      </w:r>
      <w:r>
        <w:tab/>
        <w:t>A Generator or UDR project that submits a request for a Competitive Entry Exemption, including the required Certific</w:t>
      </w:r>
      <w:r>
        <w:t xml:space="preserve">ation and Acknowledgement, responses to information requests, and resubmittal, but (a) enters into a “non-qualifying contractual relationship” or (b) enters into an unexecuted agreement, written or unwritten, with a Non-Qualifying Entry Sponsor that would </w:t>
      </w:r>
      <w:r>
        <w:t xml:space="preserve">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w:t>
      </w:r>
      <w:r>
        <w:t xml:space="preserve">non-qualifying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w:t>
      </w:r>
      <w:r>
        <w:t xml:space="preserve">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A3465D" w:rsidP="00AE1D74">
      <w:pPr>
        <w:pStyle w:val="Heading4"/>
        <w:rPr>
          <w:b w:val="0"/>
        </w:rPr>
      </w:pPr>
      <w:r>
        <w:t>23.4.5.7.9.4</w:t>
      </w:r>
      <w:r>
        <w:tab/>
        <w:t>Notifica</w:t>
      </w:r>
      <w:r>
        <w:t>tions</w:t>
      </w:r>
    </w:p>
    <w:p w:rsidR="00AE1D74" w:rsidRDefault="00A3465D"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w:t>
      </w:r>
      <w:r w:rsidRPr="00482892">
        <w:t xml:space="preserve">ent X) (by which the ISO must receive the Developer’s executed Class Year Interconnection Facilities Study Agreement and deposit.)  </w:t>
      </w:r>
      <w:r>
        <w:t>The ISO shall update the list as necessary.  The ISO shall also post on its website whether a request for a Competitive Entr</w:t>
      </w:r>
      <w:r>
        <w:t>y Exemption was denied, or granted, as soon as its determination is final.</w:t>
      </w:r>
    </w:p>
    <w:p w:rsidR="00AE1D74" w:rsidRDefault="00A3465D" w:rsidP="00AE1D74">
      <w:pPr>
        <w:pStyle w:val="alphapara"/>
      </w:pPr>
      <w:r>
        <w:t>23.4.5.7.9.4.2</w:t>
      </w:r>
      <w:r>
        <w:tab/>
        <w:t>Concurrent with the ISO posting of its final determination, the Market Monitoring Unit shall publish a report on the ISO’s determination in accordance with Sections 3</w:t>
      </w:r>
      <w:r>
        <w:t>0.4.6.2.1</w:t>
      </w:r>
      <w:r w:rsidRPr="00482892">
        <w:t>2 and 30.10.4 of</w:t>
      </w:r>
      <w:r>
        <w:t xml:space="preserve"> Attachment O to the Services Tariff.</w:t>
      </w:r>
    </w:p>
    <w:p w:rsidR="00AE1D74" w:rsidRDefault="00A3465D" w:rsidP="00AE1D74">
      <w:pPr>
        <w:pStyle w:val="Heading4"/>
        <w:rPr>
          <w:b w:val="0"/>
        </w:rPr>
      </w:pPr>
      <w:r>
        <w:t>23.4.5.7.9.5</w:t>
      </w:r>
      <w:r>
        <w:tab/>
        <w:t>Revocation</w:t>
      </w:r>
    </w:p>
    <w:p w:rsidR="00AE1D74" w:rsidRDefault="00A3465D" w:rsidP="00AE1D74">
      <w:pPr>
        <w:pStyle w:val="alphapara"/>
      </w:pPr>
      <w:r>
        <w:t>23.4.5.7.9.5.1</w:t>
      </w:r>
      <w:r>
        <w:tab/>
        <w:t>The submission of false, misleading, or inaccurate information, or the failure to submit requested information in connection with a request for a Competit</w:t>
      </w:r>
      <w:r>
        <w:t xml:space="preserve">ive Entry Exemption shall constitute a violation of the Services Tariff.  Such violation shall be reported, by the ISO, to the Market Monitoring Unit and to the Commission’s Office of Enforcement (or any successor to its responsibilities).  </w:t>
      </w:r>
    </w:p>
    <w:p w:rsidR="00AE1D74" w:rsidRDefault="00A3465D"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Exemption may be revoked, an</w:t>
      </w:r>
      <w:r>
        <w:t xml:space="preserve">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w:t>
      </w:r>
      <w:r>
        <w:t>he submission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w:t>
      </w:r>
      <w:r>
        <w:t xml:space="preserve">ompetitive Entry Exemption until after the 30 days written notice period has </w:t>
      </w:r>
      <w:r w:rsidRPr="00F0586F">
        <w:t>expired</w:t>
      </w:r>
      <w:r>
        <w:t>, unless ordered to do so by the Commission.</w:t>
      </w:r>
    </w:p>
    <w:p w:rsidR="00A27962" w:rsidRPr="00A44267" w:rsidRDefault="00A3465D" w:rsidP="00A44267">
      <w:pPr>
        <w:pStyle w:val="alphapara"/>
      </w:pPr>
      <w:r w:rsidRPr="00A44267">
        <w:t>23.4.5.7.10</w:t>
      </w:r>
      <w:r w:rsidRPr="00A44267">
        <w:tab/>
        <w:t>The ISO shall post on its website the identity of the project in a Mitigated Capacity Zone and the determination of</w:t>
      </w:r>
      <w:r w:rsidRPr="00A44267">
        <w:t xml:space="preserve"> either exempt or non-exempt as soon as the determination is final.  Concurrent with the ISO’s posting, the Market Monitoring Unit shall publish a report on the ISO’s determinations, as further specified in Sections 30.4.6.2.12 and 30.10.4 of Attachment O </w:t>
      </w:r>
      <w:r w:rsidRPr="00A44267">
        <w:t xml:space="preserve">to this Services Tariff. </w:t>
      </w:r>
    </w:p>
    <w:p w:rsidR="0087774C" w:rsidRDefault="00A3465D"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w:t>
      </w:r>
      <w:r>
        <w:t xml:space="preserve">cable Offer Floor. </w:t>
      </w:r>
    </w:p>
    <w:p w:rsidR="00FE2D60" w:rsidRDefault="00A3465D"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A3465D"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A3465D"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w:t>
      </w:r>
      <w:r>
        <w:t xml:space="preserve">er a bilateral agreement that (a) was effective at the time the RMR Agreement became effective and (b) is effective and executory, requiring the provision of UCAP, for the Obligation Procurement Period.   </w:t>
      </w:r>
    </w:p>
    <w:p w:rsidR="00FE2D60" w:rsidRDefault="00A3465D" w:rsidP="00FE2D60">
      <w:pPr>
        <w:autoSpaceDE w:val="0"/>
        <w:autoSpaceDN w:val="0"/>
        <w:adjustRightInd w:val="0"/>
        <w:spacing w:line="480" w:lineRule="auto"/>
        <w:ind w:left="1440" w:hanging="720"/>
      </w:pPr>
      <w:r>
        <w:t>23.4.5.8.2</w:t>
      </w:r>
      <w:r>
        <w:tab/>
        <w:t>Except as provided in Section 23.4.5.7.</w:t>
      </w:r>
      <w:r>
        <w:t xml:space="preserve">12, all UCAP offered by an RMR Generator shall be offered in the amount of UCAP MW and at the price computed in accordance with this Section the (“RMR UCAP Offer Price”).  The RMR UCAP Offer Price shall be </w:t>
      </w:r>
      <w:r w:rsidRPr="00C61657">
        <w:t>$0.</w:t>
      </w:r>
      <w:r>
        <w:t>00/kW</w:t>
      </w:r>
      <w:r>
        <w:t>-m</w:t>
      </w:r>
      <w:r w:rsidRPr="00C61657">
        <w:t>onth; unless (a) the ISO’s determination</w:t>
      </w:r>
      <w:r w:rsidRPr="00C61657">
        <w:t xml:space="preserve"> of the need for the RMR Agreement is based in whole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 xml:space="preserve">that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w:t>
      </w:r>
      <w:r>
        <w:t xml:space="preserve">er net cost,) to the extent that the RMR Generator is expected to address the Reliability Need; (ii) the ISO determines that the transmission or demand response Gap Solution identified pursuant to Section 31.2.11.8.2 of the ISO OATT can be available for a </w:t>
      </w:r>
      <w:r>
        <w:t>period during the term of the RMR Agreement; and (iii) absent the circumstances</w:t>
      </w:r>
      <w:r>
        <w:t xml:space="preserve"> described in Section 23.4.5.8.2.1</w:t>
      </w:r>
      <w:r>
        <w:t>.  In the event that the conditions under either Subsection (a) or (b) of this Section 23.4.5.8.2 are met</w:t>
      </w:r>
      <w:r>
        <w:t xml:space="preserve">, </w:t>
      </w:r>
      <w:r w:rsidRPr="00C61657">
        <w:t>the RMR UCAP Offer Price shall be th</w:t>
      </w:r>
      <w:r w:rsidRPr="00C61657">
        <w:t xml:space="preserve">e value computed by the ISO </w:t>
      </w:r>
      <w:r>
        <w:t xml:space="preserve">for that RMR Generator </w:t>
      </w:r>
      <w:r w:rsidRPr="00C61657">
        <w:t>that is the RMR Avoidable Costs, net of likely projected annual Energy and Ancillary Services revenues, translated into a seasonally adjusted $/kW-</w:t>
      </w:r>
      <w:r>
        <w:t>month UCAP value beginning with the month following the in</w:t>
      </w:r>
      <w:r>
        <w:t xml:space="preserve"> service date of</w:t>
      </w:r>
      <w:r>
        <w:t xml:space="preserve"> the distinctly higher net present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A3465D" w:rsidP="00FA518B">
      <w:pPr>
        <w:pStyle w:val="alphapara"/>
      </w:pPr>
      <w:r>
        <w:t>23.4.5.8.2.1</w:t>
      </w:r>
      <w:r>
        <w:tab/>
      </w:r>
      <w:r>
        <w:t>Circu</w:t>
      </w:r>
      <w:r>
        <w:t>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w:t>
      </w:r>
      <w:r>
        <w:t xml:space="preserve">d in order to be available by the date it identified in its response to the ISO’s request for Gap Solutions (as modified from time to time,) or it was not able to timely obtain necessary permits, governmental authorizations, or financing.   </w:t>
      </w:r>
      <w:bookmarkStart w:id="7" w:name="_Toc261252176"/>
    </w:p>
    <w:bookmarkEnd w:id="7"/>
    <w:bookmarkEnd w:id="1"/>
    <w:p w:rsidR="00B641E5" w:rsidRDefault="00A3465D">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65D">
      <w:r>
        <w:separator/>
      </w:r>
    </w:p>
  </w:endnote>
  <w:endnote w:type="continuationSeparator" w:id="0">
    <w:p w:rsidR="00000000" w:rsidRDefault="00A3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jc w:val="right"/>
      <w:rPr>
        <w:rFonts w:ascii="Arial" w:eastAsia="Arial" w:hAnsi="Arial" w:cs="Arial"/>
        <w:color w:val="000000"/>
        <w:sz w:val="16"/>
      </w:rPr>
    </w:pPr>
    <w:r>
      <w:rPr>
        <w:rFonts w:ascii="Arial" w:eastAsia="Arial" w:hAnsi="Arial" w:cs="Arial"/>
        <w:color w:val="000000"/>
        <w:sz w:val="16"/>
      </w:rPr>
      <w:t xml:space="preserve">Effective Date: 12/31/9998 -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65D">
      <w:r>
        <w:separator/>
      </w:r>
    </w:p>
  </w:footnote>
  <w:footnote w:type="continuationSeparator" w:id="0">
    <w:p w:rsidR="00000000" w:rsidRDefault="00A3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A" w:rsidRDefault="00A346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9A8E124">
      <w:start w:val="1"/>
      <w:numFmt w:val="bullet"/>
      <w:pStyle w:val="Bulletpara"/>
      <w:lvlText w:val=""/>
      <w:lvlJc w:val="left"/>
      <w:pPr>
        <w:tabs>
          <w:tab w:val="num" w:pos="720"/>
        </w:tabs>
        <w:ind w:left="720" w:hanging="360"/>
      </w:pPr>
      <w:rPr>
        <w:rFonts w:ascii="Symbol" w:hAnsi="Symbol" w:hint="default"/>
      </w:rPr>
    </w:lvl>
    <w:lvl w:ilvl="1" w:tplc="B02E4978" w:tentative="1">
      <w:start w:val="1"/>
      <w:numFmt w:val="bullet"/>
      <w:lvlText w:val="o"/>
      <w:lvlJc w:val="left"/>
      <w:pPr>
        <w:tabs>
          <w:tab w:val="num" w:pos="1440"/>
        </w:tabs>
        <w:ind w:left="1440" w:hanging="360"/>
      </w:pPr>
      <w:rPr>
        <w:rFonts w:ascii="Courier New" w:hAnsi="Courier New" w:cs="Courier New" w:hint="default"/>
      </w:rPr>
    </w:lvl>
    <w:lvl w:ilvl="2" w:tplc="F7505B9E" w:tentative="1">
      <w:start w:val="1"/>
      <w:numFmt w:val="bullet"/>
      <w:lvlText w:val=""/>
      <w:lvlJc w:val="left"/>
      <w:pPr>
        <w:tabs>
          <w:tab w:val="num" w:pos="2160"/>
        </w:tabs>
        <w:ind w:left="2160" w:hanging="360"/>
      </w:pPr>
      <w:rPr>
        <w:rFonts w:ascii="Wingdings" w:hAnsi="Wingdings" w:hint="default"/>
      </w:rPr>
    </w:lvl>
    <w:lvl w:ilvl="3" w:tplc="3148F41A" w:tentative="1">
      <w:start w:val="1"/>
      <w:numFmt w:val="bullet"/>
      <w:lvlText w:val=""/>
      <w:lvlJc w:val="left"/>
      <w:pPr>
        <w:tabs>
          <w:tab w:val="num" w:pos="2880"/>
        </w:tabs>
        <w:ind w:left="2880" w:hanging="360"/>
      </w:pPr>
      <w:rPr>
        <w:rFonts w:ascii="Symbol" w:hAnsi="Symbol" w:hint="default"/>
      </w:rPr>
    </w:lvl>
    <w:lvl w:ilvl="4" w:tplc="3D682F06" w:tentative="1">
      <w:start w:val="1"/>
      <w:numFmt w:val="bullet"/>
      <w:lvlText w:val="o"/>
      <w:lvlJc w:val="left"/>
      <w:pPr>
        <w:tabs>
          <w:tab w:val="num" w:pos="3600"/>
        </w:tabs>
        <w:ind w:left="3600" w:hanging="360"/>
      </w:pPr>
      <w:rPr>
        <w:rFonts w:ascii="Courier New" w:hAnsi="Courier New" w:cs="Courier New" w:hint="default"/>
      </w:rPr>
    </w:lvl>
    <w:lvl w:ilvl="5" w:tplc="440CDFC4" w:tentative="1">
      <w:start w:val="1"/>
      <w:numFmt w:val="bullet"/>
      <w:lvlText w:val=""/>
      <w:lvlJc w:val="left"/>
      <w:pPr>
        <w:tabs>
          <w:tab w:val="num" w:pos="4320"/>
        </w:tabs>
        <w:ind w:left="4320" w:hanging="360"/>
      </w:pPr>
      <w:rPr>
        <w:rFonts w:ascii="Wingdings" w:hAnsi="Wingdings" w:hint="default"/>
      </w:rPr>
    </w:lvl>
    <w:lvl w:ilvl="6" w:tplc="273A6386" w:tentative="1">
      <w:start w:val="1"/>
      <w:numFmt w:val="bullet"/>
      <w:lvlText w:val=""/>
      <w:lvlJc w:val="left"/>
      <w:pPr>
        <w:tabs>
          <w:tab w:val="num" w:pos="5040"/>
        </w:tabs>
        <w:ind w:left="5040" w:hanging="360"/>
      </w:pPr>
      <w:rPr>
        <w:rFonts w:ascii="Symbol" w:hAnsi="Symbol" w:hint="default"/>
      </w:rPr>
    </w:lvl>
    <w:lvl w:ilvl="7" w:tplc="92544A94" w:tentative="1">
      <w:start w:val="1"/>
      <w:numFmt w:val="bullet"/>
      <w:lvlText w:val="o"/>
      <w:lvlJc w:val="left"/>
      <w:pPr>
        <w:tabs>
          <w:tab w:val="num" w:pos="5760"/>
        </w:tabs>
        <w:ind w:left="5760" w:hanging="360"/>
      </w:pPr>
      <w:rPr>
        <w:rFonts w:ascii="Courier New" w:hAnsi="Courier New" w:cs="Courier New" w:hint="default"/>
      </w:rPr>
    </w:lvl>
    <w:lvl w:ilvl="8" w:tplc="9B9897F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224DA"/>
    <w:rsid w:val="00A3465D"/>
    <w:rsid w:val="00C2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074AF-A5F3-4658-980E-25644E7D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11607</Words>
  <Characters>66163</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