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F7743B">
      <w:pPr>
        <w:pStyle w:val="Heading2"/>
      </w:pPr>
      <w:bookmarkStart w:id="0" w:name="_Toc261444323"/>
      <w:bookmarkStart w:id="1" w:name="_Toc261445993"/>
      <w:r w:rsidRPr="00D04425">
        <w:t>2.1</w:t>
      </w:r>
      <w:r w:rsidRPr="00D04425">
        <w:tab/>
        <w:t>Definitions - A</w:t>
      </w:r>
      <w:bookmarkEnd w:id="0"/>
      <w:bookmarkEnd w:id="1"/>
    </w:p>
    <w:p w:rsidR="008A5387" w:rsidRDefault="00F7743B">
      <w:pPr>
        <w:pStyle w:val="Definition"/>
      </w:pPr>
      <w:r>
        <w:rPr>
          <w:b/>
        </w:rPr>
        <w:t xml:space="preserve">Actual Energy Injections: </w:t>
      </w:r>
      <w:r>
        <w:t>Energy injections which are measured using a revenue-quality real-time meter.</w:t>
      </w:r>
    </w:p>
    <w:p w:rsidR="008A5387" w:rsidRDefault="00F7743B">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F7743B">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F7743B">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F7743B">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F7743B">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F7743B">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F7743B">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F7743B">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F7743B">
      <w:pPr>
        <w:pStyle w:val="Definition"/>
        <w:rPr>
          <w:ins w:id="2" w:author="bissellge" w:date="2015-08-14T16:57:00Z"/>
        </w:rPr>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F7743B">
      <w:pPr>
        <w:pStyle w:val="Definition"/>
      </w:pPr>
      <w:ins w:id="3" w:author="bissellge" w:date="2015-08-14T16:57:00Z">
        <w:r w:rsidRPr="007F36A1">
          <w:rPr>
            <w:b/>
            <w:snapToGrid w:val="0"/>
          </w:rPr>
          <w:t>Available Operating Capacity:</w:t>
        </w:r>
        <w:r w:rsidRPr="007F36A1">
          <w:rPr>
            <w:snapToGrid w:val="0"/>
          </w:rPr>
          <w:t xml:space="preserve"> For purposes of determining</w:t>
        </w:r>
      </w:ins>
      <w:ins w:id="4" w:author="bissellge" w:date="2015-09-10T16:57:00Z">
        <w:r w:rsidRPr="007F36A1">
          <w:rPr>
            <w:snapToGrid w:val="0"/>
          </w:rPr>
          <w:t xml:space="preserve"> </w:t>
        </w:r>
      </w:ins>
      <w:ins w:id="5" w:author="bissellge" w:date="2015-09-10T16:50:00Z">
        <w:r w:rsidRPr="007F36A1">
          <w:rPr>
            <w:snapToGrid w:val="0"/>
          </w:rPr>
          <w:t>a Scarcity Reserve Requirement</w:t>
        </w:r>
      </w:ins>
      <w:ins w:id="6" w:author="bissellge" w:date="2015-08-14T16:57:00Z">
        <w:r w:rsidRPr="007F36A1">
          <w:rPr>
            <w:snapToGrid w:val="0"/>
          </w:rPr>
          <w:t xml:space="preserve">, the </w:t>
        </w:r>
      </w:ins>
      <w:ins w:id="7" w:author="bissellge" w:date="2015-09-10T16:55:00Z">
        <w:r w:rsidRPr="007F36A1">
          <w:rPr>
            <w:snapToGrid w:val="0"/>
          </w:rPr>
          <w:t xml:space="preserve">capability </w:t>
        </w:r>
      </w:ins>
      <w:ins w:id="8" w:author="bissellge" w:date="2015-08-14T16:57:00Z">
        <w:r w:rsidRPr="007F36A1">
          <w:rPr>
            <w:snapToGrid w:val="0"/>
          </w:rPr>
          <w:t>of all Suppliers</w:t>
        </w:r>
      </w:ins>
      <w:ins w:id="9" w:author="bissellge" w:date="2015-08-28T11:52:00Z">
        <w:r w:rsidRPr="007F36A1">
          <w:rPr>
            <w:snapToGrid w:val="0"/>
          </w:rPr>
          <w:t xml:space="preserve"> </w:t>
        </w:r>
      </w:ins>
      <w:ins w:id="10" w:author="bissellge" w:date="2015-08-14T16:57:00Z">
        <w:r w:rsidRPr="007F36A1">
          <w:rPr>
            <w:snapToGrid w:val="0"/>
          </w:rPr>
          <w:t xml:space="preserve">that </w:t>
        </w:r>
      </w:ins>
      <w:ins w:id="11" w:author="bissellge" w:date="2015-08-21T09:41:00Z">
        <w:r w:rsidRPr="007F36A1">
          <w:rPr>
            <w:snapToGrid w:val="0"/>
          </w:rPr>
          <w:t xml:space="preserve">are eligible to provide Operating Reserves and </w:t>
        </w:r>
      </w:ins>
      <w:ins w:id="12" w:author="bissellge" w:date="2015-09-10T16:59:00Z">
        <w:r w:rsidRPr="007F36A1">
          <w:rPr>
            <w:snapToGrid w:val="0"/>
          </w:rPr>
          <w:t xml:space="preserve">have </w:t>
        </w:r>
      </w:ins>
      <w:ins w:id="13" w:author="bissellge" w:date="2015-08-14T16:57:00Z">
        <w:r w:rsidRPr="007F36A1">
          <w:rPr>
            <w:snapToGrid w:val="0"/>
          </w:rPr>
          <w:t>submit</w:t>
        </w:r>
      </w:ins>
      <w:ins w:id="14" w:author="bissellge" w:date="2015-09-10T16:59:00Z">
        <w:r w:rsidRPr="007F36A1">
          <w:rPr>
            <w:snapToGrid w:val="0"/>
          </w:rPr>
          <w:t>ted</w:t>
        </w:r>
      </w:ins>
      <w:ins w:id="15" w:author="bissellge" w:date="2015-08-14T16:57:00Z">
        <w:r w:rsidRPr="007F36A1">
          <w:rPr>
            <w:snapToGrid w:val="0"/>
          </w:rPr>
          <w:t xml:space="preserve"> Energy Bids</w:t>
        </w:r>
      </w:ins>
      <w:ins w:id="16" w:author="bissellge" w:date="2015-09-10T16:54:00Z">
        <w:r w:rsidRPr="007F36A1">
          <w:rPr>
            <w:snapToGrid w:val="0"/>
          </w:rPr>
          <w:t xml:space="preserve"> in the Real-Time Market</w:t>
        </w:r>
      </w:ins>
      <w:ins w:id="17" w:author="bissellge" w:date="2015-08-14T16:57:00Z">
        <w:r w:rsidRPr="007F36A1">
          <w:rPr>
            <w:snapToGrid w:val="0"/>
          </w:rPr>
          <w:t xml:space="preserve"> to provide Energy in greater than 30 minutes but less than or equal to 60 minutes</w:t>
        </w:r>
      </w:ins>
      <w:ins w:id="18" w:author="bissellge" w:date="2015-09-09T08:52:00Z">
        <w:r w:rsidRPr="007F36A1">
          <w:rPr>
            <w:snapToGrid w:val="0"/>
          </w:rPr>
          <w:t>; provided, however</w:t>
        </w:r>
      </w:ins>
      <w:ins w:id="19" w:author="bissellge" w:date="2015-08-17T08:12:00Z">
        <w:r w:rsidRPr="007F36A1">
          <w:rPr>
            <w:snapToGrid w:val="0"/>
          </w:rPr>
          <w:t xml:space="preserve">, </w:t>
        </w:r>
      </w:ins>
      <w:ins w:id="20" w:author="bissellge" w:date="2015-09-09T08:53:00Z">
        <w:r w:rsidRPr="007F36A1">
          <w:rPr>
            <w:snapToGrid w:val="0"/>
          </w:rPr>
          <w:t xml:space="preserve">that this value shall not include </w:t>
        </w:r>
      </w:ins>
      <w:ins w:id="21" w:author="bissellge" w:date="2015-09-09T08:54:00Z">
        <w:r w:rsidRPr="007F36A1">
          <w:rPr>
            <w:snapToGrid w:val="0"/>
          </w:rPr>
          <w:t xml:space="preserve">any </w:t>
        </w:r>
      </w:ins>
      <w:ins w:id="22" w:author="bissellge" w:date="2015-08-17T08:12:00Z">
        <w:r w:rsidRPr="007F36A1">
          <w:rPr>
            <w:snapToGrid w:val="0"/>
          </w:rPr>
          <w:t xml:space="preserve">quantity of Energy and </w:t>
        </w:r>
      </w:ins>
      <w:ins w:id="23" w:author="bissellge" w:date="2015-08-17T08:15:00Z">
        <w:r>
          <w:rPr>
            <w:snapToGrid w:val="0"/>
          </w:rPr>
          <w:t xml:space="preserve">Operating Reserves scheduled to be provided by all </w:t>
        </w:r>
      </w:ins>
      <w:ins w:id="24" w:author="bissellge" w:date="2015-08-17T08:17:00Z">
        <w:r>
          <w:rPr>
            <w:snapToGrid w:val="0"/>
          </w:rPr>
          <w:t xml:space="preserve">such </w:t>
        </w:r>
      </w:ins>
      <w:ins w:id="25" w:author="bissellge" w:date="2015-08-17T08:15:00Z">
        <w:r>
          <w:rPr>
            <w:snapToGrid w:val="0"/>
          </w:rPr>
          <w:t>Suppliers</w:t>
        </w:r>
      </w:ins>
      <w:ins w:id="26" w:author="bissellge" w:date="2015-08-14T16:57:00Z">
        <w:r>
          <w:rPr>
            <w:snapToGrid w:val="0"/>
          </w:rPr>
          <w:t xml:space="preserve">.  The Available Operating Capacity value (in MW) shall be calculated by the RTD software for each </w:t>
        </w:r>
      </w:ins>
      <w:ins w:id="27" w:author="bissellge" w:date="2015-08-26T11:20:00Z">
        <w:r>
          <w:rPr>
            <w:snapToGrid w:val="0"/>
          </w:rPr>
          <w:t xml:space="preserve">normal </w:t>
        </w:r>
      </w:ins>
      <w:ins w:id="28" w:author="bissellge" w:date="2015-08-14T16:57:00Z">
        <w:r>
          <w:rPr>
            <w:snapToGrid w:val="0"/>
          </w:rPr>
          <w:t xml:space="preserve">RTD run. </w:t>
        </w:r>
        <w:r>
          <w:rPr>
            <w:snapToGrid w:val="0"/>
          </w:rPr>
          <w:t xml:space="preserve"> For purposes of calculating</w:t>
        </w:r>
      </w:ins>
      <w:ins w:id="29" w:author="bissellge" w:date="2015-11-03T10:14:00Z">
        <w:r>
          <w:rPr>
            <w:snapToGrid w:val="0"/>
          </w:rPr>
          <w:t xml:space="preserve"> a </w:t>
        </w:r>
      </w:ins>
      <w:ins w:id="30" w:author="bissellge" w:date="2015-08-14T16:57:00Z">
        <w:r>
          <w:rPr>
            <w:snapToGrid w:val="0"/>
          </w:rPr>
          <w:t>Scarcity Reserve Requirement in accordance with Section 15.4.6.2 of Rate Schedule 4 of th</w:t>
        </w:r>
      </w:ins>
      <w:ins w:id="31" w:author="bissellge" w:date="2015-08-21T09:42:00Z">
        <w:r>
          <w:rPr>
            <w:snapToGrid w:val="0"/>
          </w:rPr>
          <w:t>is</w:t>
        </w:r>
      </w:ins>
      <w:ins w:id="32" w:author="bissellge" w:date="2015-08-14T16:57:00Z">
        <w:r>
          <w:rPr>
            <w:snapToGrid w:val="0"/>
          </w:rPr>
          <w:t xml:space="preserve"> ISO Services Tarif</w:t>
        </w:r>
        <w:r>
          <w:rPr>
            <w:snapToGrid w:val="0"/>
          </w:rPr>
          <w:t>f, each RTD run shall utilize the</w:t>
        </w:r>
      </w:ins>
      <w:ins w:id="33" w:author="bissellge" w:date="2015-08-28T11:48:00Z">
        <w:r>
          <w:rPr>
            <w:snapToGrid w:val="0"/>
          </w:rPr>
          <w:t xml:space="preserve"> </w:t>
        </w:r>
      </w:ins>
      <w:ins w:id="34" w:author="bissellge" w:date="2015-08-14T16:57:00Z">
        <w:r>
          <w:rPr>
            <w:snapToGrid w:val="0"/>
          </w:rPr>
          <w:t xml:space="preserve">value of Available Operating Capacity calculated during the immediately preceding </w:t>
        </w:r>
      </w:ins>
      <w:ins w:id="35" w:author="bissellge" w:date="2015-08-26T11:20:00Z">
        <w:r>
          <w:rPr>
            <w:snapToGrid w:val="0"/>
          </w:rPr>
          <w:t xml:space="preserve">normal </w:t>
        </w:r>
      </w:ins>
      <w:ins w:id="36" w:author="bissellge" w:date="2015-08-14T16:57:00Z">
        <w:r>
          <w:rPr>
            <w:snapToGrid w:val="0"/>
          </w:rPr>
          <w:t>RTD run and each RTC run shall utilize the</w:t>
        </w:r>
      </w:ins>
      <w:ins w:id="37" w:author="bissellge" w:date="2015-08-28T11:48:00Z">
        <w:r>
          <w:rPr>
            <w:snapToGrid w:val="0"/>
          </w:rPr>
          <w:t xml:space="preserve"> </w:t>
        </w:r>
      </w:ins>
      <w:ins w:id="38" w:author="bissellge" w:date="2015-08-14T16:57:00Z">
        <w:r>
          <w:rPr>
            <w:snapToGrid w:val="0"/>
          </w:rPr>
          <w:t xml:space="preserve">value of Available Operating Capacity calculated during the most recently-completed </w:t>
        </w:r>
      </w:ins>
      <w:ins w:id="39" w:author="bissellge" w:date="2015-08-26T11:21:00Z">
        <w:r>
          <w:rPr>
            <w:snapToGrid w:val="0"/>
          </w:rPr>
          <w:t>normal</w:t>
        </w:r>
        <w:r>
          <w:rPr>
            <w:snapToGrid w:val="0"/>
          </w:rPr>
          <w:t xml:space="preserve"> </w:t>
        </w:r>
      </w:ins>
      <w:ins w:id="40" w:author="bissellge" w:date="2015-08-14T16:57:00Z">
        <w:r>
          <w:rPr>
            <w:snapToGrid w:val="0"/>
          </w:rPr>
          <w:t>RTD run prior to the RTC run.</w:t>
        </w:r>
      </w:ins>
    </w:p>
    <w:p w:rsidR="008A5387" w:rsidRDefault="00F7743B">
      <w:pPr>
        <w:pStyle w:val="Definition"/>
        <w:rPr>
          <w:del w:id="41" w:author="bissellge" w:date="2015-08-14T16:57:00Z"/>
        </w:rPr>
      </w:pPr>
      <w:del w:id="42" w:author="bissellge" w:date="2015-08-14T16:57:00Z">
        <w:r w:rsidRPr="00DD3320">
          <w:rPr>
            <w:b/>
          </w:rPr>
          <w:delText>Available</w:delText>
        </w:r>
        <w:r w:rsidRPr="00DD3320">
          <w:rPr>
            <w:b/>
            <w:bCs/>
          </w:rPr>
          <w:delText xml:space="preserve"> </w:delText>
        </w:r>
        <w:r w:rsidRPr="00DD3320">
          <w:rPr>
            <w:b/>
            <w:bCs/>
            <w:iCs/>
          </w:rPr>
          <w:delText xml:space="preserve">Reserves: </w:delText>
        </w:r>
        <w:r w:rsidRPr="00DD3320">
          <w:delText xml:space="preserve">For purposes of determining the Real-Time Locational Based Marginal Price in any </w:delText>
        </w:r>
        <w:r w:rsidRPr="00DD3320">
          <w:rPr>
            <w:iCs/>
          </w:rPr>
          <w:delText xml:space="preserve">Real-Time </w:delText>
        </w:r>
        <w:r w:rsidRPr="00DD3320">
          <w:delText xml:space="preserve">Dispatch interval:  the capability of all Suppliers </w:delText>
        </w:r>
        <w:r w:rsidRPr="00DD3320">
          <w:delText xml:space="preserve">to provide Operating Reserves </w:delText>
        </w:r>
        <w:r w:rsidRPr="00DD3320">
          <w:delText xml:space="preserve">in that interval </w:delText>
        </w:r>
        <w:r w:rsidRPr="00DD3320">
          <w:rPr>
            <w:iCs/>
          </w:rPr>
          <w:delText xml:space="preserve">and in the relevant location, </w:delText>
        </w:r>
        <w:r w:rsidRPr="00DD3320">
          <w:delText xml:space="preserve">minus </w:delText>
        </w:r>
        <w:r w:rsidRPr="00DD3320">
          <w:delText xml:space="preserve">the quantity of </w:delText>
        </w:r>
        <w:r w:rsidRPr="00DD3320">
          <w:delText xml:space="preserve">Scheduled Operating Reserves </w:delText>
        </w:r>
        <w:r w:rsidRPr="00DD3320">
          <w:delText>in that interval.</w:delText>
        </w:r>
      </w:del>
    </w:p>
    <w:p w:rsidR="008B0549" w:rsidRPr="006252C6" w:rsidRDefault="00F7743B"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w:t>
      </w:r>
      <w:r>
        <w:t>n</w:t>
      </w:r>
      <w:r>
        <w:noBreakHyphen/>
        <w:t xml:space="preserve">service. </w:t>
      </w:r>
    </w:p>
    <w:p w:rsidR="00924FA0" w:rsidRDefault="00F7743B">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 each Special Case Resource</w:t>
      </w:r>
      <w:r w:rsidRPr="0013728A">
        <w:t>, except those that are eligible to report a Provisional Average Coincident Load,</w:t>
      </w:r>
      <w:r>
        <w:t xml:space="preserve"> that is equal to the average of the </w:t>
      </w:r>
      <w:r>
        <w:t>SCR</w:t>
      </w:r>
      <w:r>
        <w:t>’s metered ho</w:t>
      </w:r>
      <w:r>
        <w:t xml:space="preserve">urly Load that is supplied by the </w:t>
      </w:r>
      <w:r w:rsidRPr="00110ED1">
        <w:t xml:space="preserve">NYS Transmission System and/or the distribution system </w:t>
      </w:r>
      <w:r>
        <w:t xml:space="preserve">during the </w:t>
      </w:r>
      <w:r>
        <w:t xml:space="preserve">Capability Period </w:t>
      </w:r>
      <w:r>
        <w:t xml:space="preserve">SCR Load Zone Peak Hours applicable to such </w:t>
      </w:r>
      <w:r>
        <w:t>SCR</w:t>
      </w:r>
      <w:r>
        <w:t xml:space="preserve">, and computed and reported in accordance with Section 5.12.11.1.1 of this Services Tariff </w:t>
      </w:r>
      <w:r>
        <w:t xml:space="preserve">and ISO Procedures.  </w:t>
      </w:r>
      <w:r w:rsidRPr="00110ED1">
        <w:t xml:space="preserve">Any Load supported by generation produced from a Local Generator, other behind-the-meter generator, or other supply </w:t>
      </w:r>
      <w:r w:rsidRPr="00110ED1">
        <w:lastRenderedPageBreak/>
        <w:t>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Hours may not be includ</w:t>
      </w:r>
      <w:r w:rsidRPr="00110ED1">
        <w:t xml:space="preserve">ed in the </w:t>
      </w:r>
      <w:r>
        <w:t>SCR</w:t>
      </w:r>
      <w:r w:rsidRPr="00110ED1">
        <w:t xml:space="preserve">’s metered Load values reported for the </w:t>
      </w:r>
      <w:r>
        <w:t>ACL</w:t>
      </w:r>
      <w:r w:rsidRPr="00110ED1">
        <w:t>.</w:t>
      </w:r>
    </w:p>
    <w:p w:rsidR="008A5387" w:rsidRDefault="00F7743B">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w:t>
      </w:r>
      <w:r>
        <w:t xml:space="preserve">gregation, assigned by the Responsible Interface Party to an SCR Aggregation in a single Load Zone,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A01" w:rsidRDefault="001B3A01" w:rsidP="001B3A01">
      <w:r>
        <w:separator/>
      </w:r>
    </w:p>
  </w:endnote>
  <w:endnote w:type="continuationSeparator" w:id="0">
    <w:p w:rsidR="001B3A01" w:rsidRDefault="001B3A01" w:rsidP="001B3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1" w:rsidRDefault="00F7743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B3A01">
      <w:rPr>
        <w:rFonts w:ascii="Arial" w:eastAsia="Arial" w:hAnsi="Arial" w:cs="Arial"/>
        <w:color w:val="000000"/>
        <w:sz w:val="16"/>
      </w:rPr>
      <w:fldChar w:fldCharType="begin"/>
    </w:r>
    <w:r>
      <w:rPr>
        <w:rFonts w:ascii="Arial" w:eastAsia="Arial" w:hAnsi="Arial" w:cs="Arial"/>
        <w:color w:val="000000"/>
        <w:sz w:val="16"/>
      </w:rPr>
      <w:instrText>PAGE</w:instrText>
    </w:r>
    <w:r w:rsidR="001B3A0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1" w:rsidRDefault="00F7743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B3A0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3A0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1" w:rsidRDefault="00F7743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B3A01">
      <w:rPr>
        <w:rFonts w:ascii="Arial" w:eastAsia="Arial" w:hAnsi="Arial" w:cs="Arial"/>
        <w:color w:val="000000"/>
        <w:sz w:val="16"/>
      </w:rPr>
      <w:fldChar w:fldCharType="begin"/>
    </w:r>
    <w:r>
      <w:rPr>
        <w:rFonts w:ascii="Arial" w:eastAsia="Arial" w:hAnsi="Arial" w:cs="Arial"/>
        <w:color w:val="000000"/>
        <w:sz w:val="16"/>
      </w:rPr>
      <w:instrText>PAGE</w:instrText>
    </w:r>
    <w:r w:rsidR="001B3A0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A01" w:rsidRDefault="001B3A01" w:rsidP="001B3A01">
      <w:r>
        <w:separator/>
      </w:r>
    </w:p>
  </w:footnote>
  <w:footnote w:type="continuationSeparator" w:id="0">
    <w:p w:rsidR="001B3A01" w:rsidRDefault="001B3A01" w:rsidP="001B3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1" w:rsidRDefault="00F774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1" w:rsidRDefault="00F774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1" w:rsidRDefault="00F774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w:t>
    </w:r>
    <w:r>
      <w:rPr>
        <w:rFonts w:ascii="Arial" w:eastAsia="Arial" w:hAnsi="Arial" w:cs="Arial"/>
        <w:color w:val="000000"/>
        <w:sz w:val="16"/>
      </w:rPr>
      <w:t>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F4CBE0C">
      <w:start w:val="1"/>
      <w:numFmt w:val="bullet"/>
      <w:pStyle w:val="Bulletpara"/>
      <w:lvlText w:val=""/>
      <w:lvlJc w:val="left"/>
      <w:pPr>
        <w:tabs>
          <w:tab w:val="num" w:pos="720"/>
        </w:tabs>
        <w:ind w:left="720" w:hanging="360"/>
      </w:pPr>
      <w:rPr>
        <w:rFonts w:ascii="Symbol" w:hAnsi="Symbol" w:hint="default"/>
      </w:rPr>
    </w:lvl>
    <w:lvl w:ilvl="1" w:tplc="5EE4BFEA" w:tentative="1">
      <w:start w:val="1"/>
      <w:numFmt w:val="bullet"/>
      <w:lvlText w:val="o"/>
      <w:lvlJc w:val="left"/>
      <w:pPr>
        <w:tabs>
          <w:tab w:val="num" w:pos="1440"/>
        </w:tabs>
        <w:ind w:left="1440" w:hanging="360"/>
      </w:pPr>
      <w:rPr>
        <w:rFonts w:ascii="Courier New" w:hAnsi="Courier New" w:hint="default"/>
      </w:rPr>
    </w:lvl>
    <w:lvl w:ilvl="2" w:tplc="1EB2F548" w:tentative="1">
      <w:start w:val="1"/>
      <w:numFmt w:val="bullet"/>
      <w:lvlText w:val=""/>
      <w:lvlJc w:val="left"/>
      <w:pPr>
        <w:tabs>
          <w:tab w:val="num" w:pos="2160"/>
        </w:tabs>
        <w:ind w:left="2160" w:hanging="360"/>
      </w:pPr>
      <w:rPr>
        <w:rFonts w:ascii="Wingdings" w:hAnsi="Wingdings" w:hint="default"/>
      </w:rPr>
    </w:lvl>
    <w:lvl w:ilvl="3" w:tplc="5DF4BA6A" w:tentative="1">
      <w:start w:val="1"/>
      <w:numFmt w:val="bullet"/>
      <w:lvlText w:val=""/>
      <w:lvlJc w:val="left"/>
      <w:pPr>
        <w:tabs>
          <w:tab w:val="num" w:pos="2880"/>
        </w:tabs>
        <w:ind w:left="2880" w:hanging="360"/>
      </w:pPr>
      <w:rPr>
        <w:rFonts w:ascii="Symbol" w:hAnsi="Symbol" w:hint="default"/>
      </w:rPr>
    </w:lvl>
    <w:lvl w:ilvl="4" w:tplc="FE7C9E44" w:tentative="1">
      <w:start w:val="1"/>
      <w:numFmt w:val="bullet"/>
      <w:lvlText w:val="o"/>
      <w:lvlJc w:val="left"/>
      <w:pPr>
        <w:tabs>
          <w:tab w:val="num" w:pos="3600"/>
        </w:tabs>
        <w:ind w:left="3600" w:hanging="360"/>
      </w:pPr>
      <w:rPr>
        <w:rFonts w:ascii="Courier New" w:hAnsi="Courier New" w:hint="default"/>
      </w:rPr>
    </w:lvl>
    <w:lvl w:ilvl="5" w:tplc="2ED064C2" w:tentative="1">
      <w:start w:val="1"/>
      <w:numFmt w:val="bullet"/>
      <w:lvlText w:val=""/>
      <w:lvlJc w:val="left"/>
      <w:pPr>
        <w:tabs>
          <w:tab w:val="num" w:pos="4320"/>
        </w:tabs>
        <w:ind w:left="4320" w:hanging="360"/>
      </w:pPr>
      <w:rPr>
        <w:rFonts w:ascii="Wingdings" w:hAnsi="Wingdings" w:hint="default"/>
      </w:rPr>
    </w:lvl>
    <w:lvl w:ilvl="6" w:tplc="EA9E3AB0" w:tentative="1">
      <w:start w:val="1"/>
      <w:numFmt w:val="bullet"/>
      <w:lvlText w:val=""/>
      <w:lvlJc w:val="left"/>
      <w:pPr>
        <w:tabs>
          <w:tab w:val="num" w:pos="5040"/>
        </w:tabs>
        <w:ind w:left="5040" w:hanging="360"/>
      </w:pPr>
      <w:rPr>
        <w:rFonts w:ascii="Symbol" w:hAnsi="Symbol" w:hint="default"/>
      </w:rPr>
    </w:lvl>
    <w:lvl w:ilvl="7" w:tplc="0658AFFE" w:tentative="1">
      <w:start w:val="1"/>
      <w:numFmt w:val="bullet"/>
      <w:lvlText w:val="o"/>
      <w:lvlJc w:val="left"/>
      <w:pPr>
        <w:tabs>
          <w:tab w:val="num" w:pos="5760"/>
        </w:tabs>
        <w:ind w:left="5760" w:hanging="360"/>
      </w:pPr>
      <w:rPr>
        <w:rFonts w:ascii="Courier New" w:hAnsi="Courier New" w:hint="default"/>
      </w:rPr>
    </w:lvl>
    <w:lvl w:ilvl="8" w:tplc="4C141A4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882B91C">
      <w:start w:val="1"/>
      <w:numFmt w:val="lowerRoman"/>
      <w:lvlText w:val="(%1)"/>
      <w:lvlJc w:val="left"/>
      <w:pPr>
        <w:tabs>
          <w:tab w:val="num" w:pos="2448"/>
        </w:tabs>
        <w:ind w:left="2448" w:hanging="648"/>
      </w:pPr>
      <w:rPr>
        <w:rFonts w:cs="Times New Roman" w:hint="default"/>
        <w:b w:val="0"/>
        <w:i w:val="0"/>
        <w:u w:val="none"/>
      </w:rPr>
    </w:lvl>
    <w:lvl w:ilvl="1" w:tplc="DF24F2F8" w:tentative="1">
      <w:start w:val="1"/>
      <w:numFmt w:val="lowerLetter"/>
      <w:lvlText w:val="%2."/>
      <w:lvlJc w:val="left"/>
      <w:pPr>
        <w:tabs>
          <w:tab w:val="num" w:pos="1440"/>
        </w:tabs>
        <w:ind w:left="1440" w:hanging="360"/>
      </w:pPr>
      <w:rPr>
        <w:rFonts w:cs="Times New Roman"/>
      </w:rPr>
    </w:lvl>
    <w:lvl w:ilvl="2" w:tplc="BA7E255E" w:tentative="1">
      <w:start w:val="1"/>
      <w:numFmt w:val="lowerRoman"/>
      <w:lvlText w:val="%3."/>
      <w:lvlJc w:val="right"/>
      <w:pPr>
        <w:tabs>
          <w:tab w:val="num" w:pos="2160"/>
        </w:tabs>
        <w:ind w:left="2160" w:hanging="180"/>
      </w:pPr>
      <w:rPr>
        <w:rFonts w:cs="Times New Roman"/>
      </w:rPr>
    </w:lvl>
    <w:lvl w:ilvl="3" w:tplc="ED74220C" w:tentative="1">
      <w:start w:val="1"/>
      <w:numFmt w:val="decimal"/>
      <w:lvlText w:val="%4."/>
      <w:lvlJc w:val="left"/>
      <w:pPr>
        <w:tabs>
          <w:tab w:val="num" w:pos="2880"/>
        </w:tabs>
        <w:ind w:left="2880" w:hanging="360"/>
      </w:pPr>
      <w:rPr>
        <w:rFonts w:cs="Times New Roman"/>
      </w:rPr>
    </w:lvl>
    <w:lvl w:ilvl="4" w:tplc="ADB4863C" w:tentative="1">
      <w:start w:val="1"/>
      <w:numFmt w:val="lowerLetter"/>
      <w:lvlText w:val="%5."/>
      <w:lvlJc w:val="left"/>
      <w:pPr>
        <w:tabs>
          <w:tab w:val="num" w:pos="3600"/>
        </w:tabs>
        <w:ind w:left="3600" w:hanging="360"/>
      </w:pPr>
      <w:rPr>
        <w:rFonts w:cs="Times New Roman"/>
      </w:rPr>
    </w:lvl>
    <w:lvl w:ilvl="5" w:tplc="3ACE4144" w:tentative="1">
      <w:start w:val="1"/>
      <w:numFmt w:val="lowerRoman"/>
      <w:lvlText w:val="%6."/>
      <w:lvlJc w:val="right"/>
      <w:pPr>
        <w:tabs>
          <w:tab w:val="num" w:pos="4320"/>
        </w:tabs>
        <w:ind w:left="4320" w:hanging="180"/>
      </w:pPr>
      <w:rPr>
        <w:rFonts w:cs="Times New Roman"/>
      </w:rPr>
    </w:lvl>
    <w:lvl w:ilvl="6" w:tplc="4C3623A0" w:tentative="1">
      <w:start w:val="1"/>
      <w:numFmt w:val="decimal"/>
      <w:lvlText w:val="%7."/>
      <w:lvlJc w:val="left"/>
      <w:pPr>
        <w:tabs>
          <w:tab w:val="num" w:pos="5040"/>
        </w:tabs>
        <w:ind w:left="5040" w:hanging="360"/>
      </w:pPr>
      <w:rPr>
        <w:rFonts w:cs="Times New Roman"/>
      </w:rPr>
    </w:lvl>
    <w:lvl w:ilvl="7" w:tplc="FD229108" w:tentative="1">
      <w:start w:val="1"/>
      <w:numFmt w:val="lowerLetter"/>
      <w:lvlText w:val="%8."/>
      <w:lvlJc w:val="left"/>
      <w:pPr>
        <w:tabs>
          <w:tab w:val="num" w:pos="5760"/>
        </w:tabs>
        <w:ind w:left="5760" w:hanging="360"/>
      </w:pPr>
      <w:rPr>
        <w:rFonts w:cs="Times New Roman"/>
      </w:rPr>
    </w:lvl>
    <w:lvl w:ilvl="8" w:tplc="6EC0502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20C3CD2">
      <w:start w:val="1"/>
      <w:numFmt w:val="decimal"/>
      <w:lvlText w:val="%1."/>
      <w:lvlJc w:val="left"/>
      <w:pPr>
        <w:tabs>
          <w:tab w:val="num" w:pos="720"/>
        </w:tabs>
        <w:ind w:left="720" w:hanging="360"/>
      </w:pPr>
      <w:rPr>
        <w:rFonts w:cs="Times New Roman"/>
      </w:rPr>
    </w:lvl>
    <w:lvl w:ilvl="1" w:tplc="C298BC70" w:tentative="1">
      <w:start w:val="1"/>
      <w:numFmt w:val="lowerLetter"/>
      <w:lvlText w:val="%2."/>
      <w:lvlJc w:val="left"/>
      <w:pPr>
        <w:tabs>
          <w:tab w:val="num" w:pos="1440"/>
        </w:tabs>
        <w:ind w:left="1440" w:hanging="360"/>
      </w:pPr>
      <w:rPr>
        <w:rFonts w:cs="Times New Roman"/>
      </w:rPr>
    </w:lvl>
    <w:lvl w:ilvl="2" w:tplc="B6E612A4" w:tentative="1">
      <w:start w:val="1"/>
      <w:numFmt w:val="lowerRoman"/>
      <w:lvlText w:val="%3."/>
      <w:lvlJc w:val="right"/>
      <w:pPr>
        <w:tabs>
          <w:tab w:val="num" w:pos="2160"/>
        </w:tabs>
        <w:ind w:left="2160" w:hanging="180"/>
      </w:pPr>
      <w:rPr>
        <w:rFonts w:cs="Times New Roman"/>
      </w:rPr>
    </w:lvl>
    <w:lvl w:ilvl="3" w:tplc="75A6D718" w:tentative="1">
      <w:start w:val="1"/>
      <w:numFmt w:val="decimal"/>
      <w:lvlText w:val="%4."/>
      <w:lvlJc w:val="left"/>
      <w:pPr>
        <w:tabs>
          <w:tab w:val="num" w:pos="2880"/>
        </w:tabs>
        <w:ind w:left="2880" w:hanging="360"/>
      </w:pPr>
      <w:rPr>
        <w:rFonts w:cs="Times New Roman"/>
      </w:rPr>
    </w:lvl>
    <w:lvl w:ilvl="4" w:tplc="3A900B08" w:tentative="1">
      <w:start w:val="1"/>
      <w:numFmt w:val="lowerLetter"/>
      <w:lvlText w:val="%5."/>
      <w:lvlJc w:val="left"/>
      <w:pPr>
        <w:tabs>
          <w:tab w:val="num" w:pos="3600"/>
        </w:tabs>
        <w:ind w:left="3600" w:hanging="360"/>
      </w:pPr>
      <w:rPr>
        <w:rFonts w:cs="Times New Roman"/>
      </w:rPr>
    </w:lvl>
    <w:lvl w:ilvl="5" w:tplc="9A16D1DA" w:tentative="1">
      <w:start w:val="1"/>
      <w:numFmt w:val="lowerRoman"/>
      <w:lvlText w:val="%6."/>
      <w:lvlJc w:val="right"/>
      <w:pPr>
        <w:tabs>
          <w:tab w:val="num" w:pos="4320"/>
        </w:tabs>
        <w:ind w:left="4320" w:hanging="180"/>
      </w:pPr>
      <w:rPr>
        <w:rFonts w:cs="Times New Roman"/>
      </w:rPr>
    </w:lvl>
    <w:lvl w:ilvl="6" w:tplc="2E189AEA" w:tentative="1">
      <w:start w:val="1"/>
      <w:numFmt w:val="decimal"/>
      <w:lvlText w:val="%7."/>
      <w:lvlJc w:val="left"/>
      <w:pPr>
        <w:tabs>
          <w:tab w:val="num" w:pos="5040"/>
        </w:tabs>
        <w:ind w:left="5040" w:hanging="360"/>
      </w:pPr>
      <w:rPr>
        <w:rFonts w:cs="Times New Roman"/>
      </w:rPr>
    </w:lvl>
    <w:lvl w:ilvl="7" w:tplc="8C701DCE" w:tentative="1">
      <w:start w:val="1"/>
      <w:numFmt w:val="lowerLetter"/>
      <w:lvlText w:val="%8."/>
      <w:lvlJc w:val="left"/>
      <w:pPr>
        <w:tabs>
          <w:tab w:val="num" w:pos="5760"/>
        </w:tabs>
        <w:ind w:left="5760" w:hanging="360"/>
      </w:pPr>
      <w:rPr>
        <w:rFonts w:cs="Times New Roman"/>
      </w:rPr>
    </w:lvl>
    <w:lvl w:ilvl="8" w:tplc="C562CDF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5222B02">
      <w:start w:val="1"/>
      <w:numFmt w:val="bullet"/>
      <w:lvlText w:val=""/>
      <w:lvlJc w:val="left"/>
      <w:pPr>
        <w:tabs>
          <w:tab w:val="num" w:pos="5760"/>
        </w:tabs>
        <w:ind w:left="5760" w:hanging="360"/>
      </w:pPr>
      <w:rPr>
        <w:rFonts w:ascii="Symbol" w:hAnsi="Symbol" w:hint="default"/>
        <w:color w:val="auto"/>
        <w:u w:val="none"/>
      </w:rPr>
    </w:lvl>
    <w:lvl w:ilvl="1" w:tplc="60C02396" w:tentative="1">
      <w:start w:val="1"/>
      <w:numFmt w:val="bullet"/>
      <w:lvlText w:val="o"/>
      <w:lvlJc w:val="left"/>
      <w:pPr>
        <w:tabs>
          <w:tab w:val="num" w:pos="3600"/>
        </w:tabs>
        <w:ind w:left="3600" w:hanging="360"/>
      </w:pPr>
      <w:rPr>
        <w:rFonts w:ascii="Courier New" w:hAnsi="Courier New" w:hint="default"/>
      </w:rPr>
    </w:lvl>
    <w:lvl w:ilvl="2" w:tplc="8AB6100E" w:tentative="1">
      <w:start w:val="1"/>
      <w:numFmt w:val="bullet"/>
      <w:lvlText w:val=""/>
      <w:lvlJc w:val="left"/>
      <w:pPr>
        <w:tabs>
          <w:tab w:val="num" w:pos="4320"/>
        </w:tabs>
        <w:ind w:left="4320" w:hanging="360"/>
      </w:pPr>
      <w:rPr>
        <w:rFonts w:ascii="Wingdings" w:hAnsi="Wingdings" w:hint="default"/>
      </w:rPr>
    </w:lvl>
    <w:lvl w:ilvl="3" w:tplc="252EB230">
      <w:start w:val="1"/>
      <w:numFmt w:val="bullet"/>
      <w:lvlText w:val=""/>
      <w:lvlJc w:val="left"/>
      <w:pPr>
        <w:tabs>
          <w:tab w:val="num" w:pos="5040"/>
        </w:tabs>
        <w:ind w:left="5040" w:hanging="360"/>
      </w:pPr>
      <w:rPr>
        <w:rFonts w:ascii="Symbol" w:hAnsi="Symbol" w:hint="default"/>
      </w:rPr>
    </w:lvl>
    <w:lvl w:ilvl="4" w:tplc="6106A4E6" w:tentative="1">
      <w:start w:val="1"/>
      <w:numFmt w:val="bullet"/>
      <w:lvlText w:val="o"/>
      <w:lvlJc w:val="left"/>
      <w:pPr>
        <w:tabs>
          <w:tab w:val="num" w:pos="5760"/>
        </w:tabs>
        <w:ind w:left="5760" w:hanging="360"/>
      </w:pPr>
      <w:rPr>
        <w:rFonts w:ascii="Courier New" w:hAnsi="Courier New" w:hint="default"/>
      </w:rPr>
    </w:lvl>
    <w:lvl w:ilvl="5" w:tplc="B5865FFC" w:tentative="1">
      <w:start w:val="1"/>
      <w:numFmt w:val="bullet"/>
      <w:lvlText w:val=""/>
      <w:lvlJc w:val="left"/>
      <w:pPr>
        <w:tabs>
          <w:tab w:val="num" w:pos="6480"/>
        </w:tabs>
        <w:ind w:left="6480" w:hanging="360"/>
      </w:pPr>
      <w:rPr>
        <w:rFonts w:ascii="Wingdings" w:hAnsi="Wingdings" w:hint="default"/>
      </w:rPr>
    </w:lvl>
    <w:lvl w:ilvl="6" w:tplc="D19284A2" w:tentative="1">
      <w:start w:val="1"/>
      <w:numFmt w:val="bullet"/>
      <w:lvlText w:val=""/>
      <w:lvlJc w:val="left"/>
      <w:pPr>
        <w:tabs>
          <w:tab w:val="num" w:pos="7200"/>
        </w:tabs>
        <w:ind w:left="7200" w:hanging="360"/>
      </w:pPr>
      <w:rPr>
        <w:rFonts w:ascii="Symbol" w:hAnsi="Symbol" w:hint="default"/>
      </w:rPr>
    </w:lvl>
    <w:lvl w:ilvl="7" w:tplc="997A4D70" w:tentative="1">
      <w:start w:val="1"/>
      <w:numFmt w:val="bullet"/>
      <w:lvlText w:val="o"/>
      <w:lvlJc w:val="left"/>
      <w:pPr>
        <w:tabs>
          <w:tab w:val="num" w:pos="7920"/>
        </w:tabs>
        <w:ind w:left="7920" w:hanging="360"/>
      </w:pPr>
      <w:rPr>
        <w:rFonts w:ascii="Courier New" w:hAnsi="Courier New" w:hint="default"/>
      </w:rPr>
    </w:lvl>
    <w:lvl w:ilvl="8" w:tplc="2D1CE1A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DD45E8A">
      <w:start w:val="1"/>
      <w:numFmt w:val="decimal"/>
      <w:lvlText w:val="(%1)"/>
      <w:lvlJc w:val="left"/>
      <w:pPr>
        <w:tabs>
          <w:tab w:val="num" w:pos="2520"/>
        </w:tabs>
        <w:ind w:left="2520" w:hanging="720"/>
      </w:pPr>
      <w:rPr>
        <w:rFonts w:cs="Times New Roman" w:hint="default"/>
      </w:rPr>
    </w:lvl>
    <w:lvl w:ilvl="1" w:tplc="678AA8CC">
      <w:start w:val="1"/>
      <w:numFmt w:val="lowerRoman"/>
      <w:lvlText w:val="(%2)"/>
      <w:lvlJc w:val="left"/>
      <w:pPr>
        <w:tabs>
          <w:tab w:val="num" w:pos="1800"/>
        </w:tabs>
        <w:ind w:left="1800" w:hanging="720"/>
      </w:pPr>
      <w:rPr>
        <w:rFonts w:cs="Times New Roman" w:hint="default"/>
        <w:b w:val="0"/>
      </w:rPr>
    </w:lvl>
    <w:lvl w:ilvl="2" w:tplc="460C85B0">
      <w:start w:val="1"/>
      <w:numFmt w:val="decimal"/>
      <w:lvlText w:val="(%3)"/>
      <w:lvlJc w:val="right"/>
      <w:pPr>
        <w:tabs>
          <w:tab w:val="num" w:pos="2160"/>
        </w:tabs>
        <w:ind w:left="2160" w:hanging="180"/>
      </w:pPr>
      <w:rPr>
        <w:rFonts w:ascii="Times New Roman" w:eastAsia="Times New Roman" w:hAnsi="Times New Roman" w:cs="Times New Roman"/>
        <w:b w:val="0"/>
      </w:rPr>
    </w:lvl>
    <w:lvl w:ilvl="3" w:tplc="42F06BA8">
      <w:start w:val="1"/>
      <w:numFmt w:val="lowerRoman"/>
      <w:lvlText w:val="(%4)"/>
      <w:lvlJc w:val="left"/>
      <w:pPr>
        <w:tabs>
          <w:tab w:val="num" w:pos="2520"/>
        </w:tabs>
        <w:ind w:left="2880" w:hanging="360"/>
      </w:pPr>
      <w:rPr>
        <w:rFonts w:cs="Times New Roman" w:hint="default"/>
        <w:b w:val="0"/>
      </w:rPr>
    </w:lvl>
    <w:lvl w:ilvl="4" w:tplc="9D926C8A" w:tentative="1">
      <w:start w:val="1"/>
      <w:numFmt w:val="lowerLetter"/>
      <w:lvlText w:val="%5."/>
      <w:lvlJc w:val="left"/>
      <w:pPr>
        <w:tabs>
          <w:tab w:val="num" w:pos="3600"/>
        </w:tabs>
        <w:ind w:left="3600" w:hanging="360"/>
      </w:pPr>
      <w:rPr>
        <w:rFonts w:cs="Times New Roman"/>
      </w:rPr>
    </w:lvl>
    <w:lvl w:ilvl="5" w:tplc="4DE22FF0" w:tentative="1">
      <w:start w:val="1"/>
      <w:numFmt w:val="lowerRoman"/>
      <w:lvlText w:val="%6."/>
      <w:lvlJc w:val="right"/>
      <w:pPr>
        <w:tabs>
          <w:tab w:val="num" w:pos="4320"/>
        </w:tabs>
        <w:ind w:left="4320" w:hanging="180"/>
      </w:pPr>
      <w:rPr>
        <w:rFonts w:cs="Times New Roman"/>
      </w:rPr>
    </w:lvl>
    <w:lvl w:ilvl="6" w:tplc="5A70CD82" w:tentative="1">
      <w:start w:val="1"/>
      <w:numFmt w:val="decimal"/>
      <w:lvlText w:val="%7."/>
      <w:lvlJc w:val="left"/>
      <w:pPr>
        <w:tabs>
          <w:tab w:val="num" w:pos="5040"/>
        </w:tabs>
        <w:ind w:left="5040" w:hanging="360"/>
      </w:pPr>
      <w:rPr>
        <w:rFonts w:cs="Times New Roman"/>
      </w:rPr>
    </w:lvl>
    <w:lvl w:ilvl="7" w:tplc="8EDAE7E2" w:tentative="1">
      <w:start w:val="1"/>
      <w:numFmt w:val="lowerLetter"/>
      <w:lvlText w:val="%8."/>
      <w:lvlJc w:val="left"/>
      <w:pPr>
        <w:tabs>
          <w:tab w:val="num" w:pos="5760"/>
        </w:tabs>
        <w:ind w:left="5760" w:hanging="360"/>
      </w:pPr>
      <w:rPr>
        <w:rFonts w:cs="Times New Roman"/>
      </w:rPr>
    </w:lvl>
    <w:lvl w:ilvl="8" w:tplc="817E40B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B3A01"/>
    <w:rsid w:val="001B3A01"/>
    <w:rsid w:val="00F77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