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84" w:rsidRDefault="000D473E">
      <w:pPr>
        <w:pStyle w:val="Heading2"/>
      </w:pPr>
      <w:bookmarkStart w:id="0" w:name="_Toc261344247"/>
      <w:bookmarkStart w:id="1" w:name="_GoBack"/>
      <w:bookmarkEnd w:id="1"/>
      <w:r>
        <w:t>30.4</w:t>
      </w:r>
      <w:r>
        <w:tab/>
        <w:t>Market Monitoring Unit</w:t>
      </w:r>
      <w:bookmarkEnd w:id="0"/>
    </w:p>
    <w:p w:rsidR="004C0984" w:rsidRDefault="000D473E">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4C0984" w:rsidRDefault="000D473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0D473E">
      <w:pPr>
        <w:pStyle w:val="Heading3"/>
      </w:pPr>
      <w:bookmarkStart w:id="3" w:name="_Toc261344249"/>
      <w:r>
        <w:t>30.4.2</w:t>
      </w:r>
      <w:r>
        <w:tab/>
        <w:t>Retention and Oversight of the</w:t>
      </w:r>
      <w:r>
        <w:t xml:space="preserve"> Market Monitoring Unit</w:t>
      </w:r>
      <w:bookmarkEnd w:id="3"/>
    </w:p>
    <w:p w:rsidR="004C0984" w:rsidRDefault="000D473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0D473E">
      <w:pPr>
        <w:pStyle w:val="Bodypara"/>
      </w:pPr>
      <w:r>
        <w:t>The Market Mon</w:t>
      </w:r>
      <w:r>
        <w:t xml:space="preserve">itoring Unit shall be accountable to the non-management members of the Board, and shall serve at the pleasure of the non-management members of the Board.  </w:t>
      </w:r>
    </w:p>
    <w:p w:rsidR="004C0984" w:rsidRDefault="000D473E">
      <w:pPr>
        <w:pStyle w:val="Heading3"/>
      </w:pPr>
      <w:bookmarkStart w:id="4" w:name="_Toc261344250"/>
      <w:r>
        <w:t>30.4.3</w:t>
      </w:r>
      <w:r>
        <w:tab/>
        <w:t>Market Monitoring Unit Ethics Standards</w:t>
      </w:r>
      <w:bookmarkEnd w:id="4"/>
    </w:p>
    <w:p w:rsidR="004C0984" w:rsidRDefault="000D473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0D473E" w:rsidP="007C6C8B">
      <w:pPr>
        <w:pStyle w:val="alphapara"/>
      </w:pPr>
      <w:r>
        <w:t>30.4.3.1</w:t>
      </w:r>
      <w:r>
        <w:tab/>
        <w:t>The Market Monitoring Unit and its employees must have no material affiliation with any Market Party or Affiliate of any Market Party.</w:t>
      </w:r>
    </w:p>
    <w:p w:rsidR="004C0984" w:rsidRDefault="000D473E" w:rsidP="007C6C8B">
      <w:pPr>
        <w:pStyle w:val="alphapara"/>
      </w:pPr>
      <w:r>
        <w:t>30.4.3.2</w:t>
      </w:r>
      <w:r>
        <w:tab/>
        <w:t>The Market Monitoring U</w:t>
      </w:r>
      <w:r>
        <w:t>nit and its employees must not serve as an officer, employee, or partner of a Market Party.</w:t>
      </w:r>
    </w:p>
    <w:p w:rsidR="004C0984" w:rsidRDefault="000D473E"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0D473E">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0D473E"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0D473E"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0D473E"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0D473E"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0D473E">
      <w:pPr>
        <w:pStyle w:val="Heading3"/>
      </w:pPr>
      <w:bookmarkStart w:id="5" w:name="_Toc261344251"/>
      <w:r>
        <w:t>30.4.4</w:t>
      </w:r>
      <w:r>
        <w:tab/>
        <w:t>Duties of the Market Monitoring Unit</w:t>
      </w:r>
      <w:bookmarkEnd w:id="5"/>
    </w:p>
    <w:p w:rsidR="004C0984" w:rsidRDefault="000D473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0D473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0D473E">
      <w:pPr>
        <w:pStyle w:val="Heading3"/>
      </w:pPr>
      <w:bookmarkStart w:id="6" w:name="_Toc261344252"/>
      <w:r>
        <w:t>30.4.5</w:t>
      </w:r>
      <w:r>
        <w:tab/>
        <w:t>Core Market Monitoring Functions</w:t>
      </w:r>
      <w:bookmarkEnd w:id="6"/>
    </w:p>
    <w:p w:rsidR="004C0984" w:rsidRDefault="000D473E">
      <w:pPr>
        <w:pStyle w:val="Bodypara"/>
      </w:pPr>
      <w:r>
        <w:t>The</w:t>
      </w:r>
      <w:r>
        <w:t xml:space="preserve"> Market Monitoring Unit shall be responsible for performing the following Core Functions:</w:t>
      </w:r>
    </w:p>
    <w:p w:rsidR="004C0984" w:rsidRDefault="000D473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0D473E">
      <w:pPr>
        <w:pStyle w:val="romannumeralpara"/>
      </w:pPr>
      <w:r>
        <w:t>30.4.5.1.1</w:t>
      </w:r>
      <w:r>
        <w:tab/>
        <w:t>The Market Monitoring Unit is</w:t>
      </w:r>
      <w:r>
        <w:t xml:space="preserve"> not responsible for systematic review of every tariff and market rule; its role is monitoring, not audit.</w:t>
      </w:r>
    </w:p>
    <w:p w:rsidR="004C0984" w:rsidRDefault="000D473E">
      <w:pPr>
        <w:pStyle w:val="romannumeralpara"/>
      </w:pPr>
      <w:r>
        <w:t>30.4.5.1.2</w:t>
      </w:r>
      <w:r>
        <w:tab/>
        <w:t>The Market Monitoring Unit is not to effectuate its proposed market design itself.</w:t>
      </w:r>
    </w:p>
    <w:p w:rsidR="004C0984" w:rsidRDefault="000D473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0D473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0D473E">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0D473E">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0D473E">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0D473E">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0D473E">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0D473E">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0D473E">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0D473E">
      <w:pPr>
        <w:pStyle w:val="alphapara"/>
        <w:rPr>
          <w:b/>
        </w:rPr>
      </w:pPr>
      <w:r>
        <w:t>30.4.5.3.2.2</w:t>
      </w:r>
      <w:r>
        <w:tab/>
        <w:t xml:space="preserve">Black Start performance that results in reduction or forfeitures of payments under Rate Schedule 5 to the ISO Services Tariff; </w:t>
      </w:r>
    </w:p>
    <w:p w:rsidR="004C0984" w:rsidRDefault="000D473E">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0D473E">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0D473E">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0D473E">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0D473E">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0D473E">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0D473E">
      <w:pPr>
        <w:pStyle w:val="romannumeralpara"/>
      </w:pPr>
      <w:r>
        <w:t>30.4.5.4</w:t>
      </w:r>
      <w:r>
        <w:tab/>
        <w:t>Identify and notify the Commission staff of perceived market design flaws that could be effectively remedied by rule or tariff</w:t>
      </w:r>
      <w:r>
        <w:t xml:space="preserve"> changes.</w:t>
      </w:r>
    </w:p>
    <w:p w:rsidR="004C0984" w:rsidRDefault="000D473E">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0D473E">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0D473E">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0D473E">
      <w:pPr>
        <w:pStyle w:val="Heading3"/>
      </w:pPr>
      <w:bookmarkStart w:id="7" w:name="_Toc261344253"/>
      <w:r>
        <w:t>30.4.6</w:t>
      </w:r>
      <w:r>
        <w:tab/>
        <w:t>Market Monitoring Unit Responsibilities Set Forth Elsewhere in the ISO’s Tariffs</w:t>
      </w:r>
      <w:bookmarkEnd w:id="7"/>
    </w:p>
    <w:p w:rsidR="004C0984" w:rsidRDefault="000D473E">
      <w:pPr>
        <w:pStyle w:val="Heading4"/>
      </w:pPr>
      <w:bookmarkStart w:id="8" w:name="_Toc261344254"/>
      <w:r>
        <w:t>30.4.6.1</w:t>
      </w:r>
      <w:r>
        <w:tab/>
        <w:t xml:space="preserve">Supremacy of </w:t>
      </w:r>
      <w:bookmarkEnd w:id="8"/>
      <w:r>
        <w:t>(Attachment O)</w:t>
      </w:r>
    </w:p>
    <w:p w:rsidR="004C0984" w:rsidRDefault="000D473E">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0D473E">
      <w:pPr>
        <w:pStyle w:val="Heading4"/>
      </w:pPr>
      <w:bookmarkStart w:id="9" w:name="_Toc261344255"/>
      <w:r>
        <w:t>30.4.6.2</w:t>
      </w:r>
      <w:r>
        <w:tab/>
        <w:t>Market Monitoring Unit responsibilities set forth in the Market Mitigation Measures</w:t>
      </w:r>
      <w:bookmarkEnd w:id="9"/>
    </w:p>
    <w:p w:rsidR="004C0984" w:rsidRDefault="000D473E">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w:t>
      </w:r>
      <w:r>
        <w:rPr>
          <w:color w:val="000000"/>
        </w:rPr>
        <w:t xml:space="preserve">nd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4C0984" w:rsidRDefault="000D473E">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0D473E">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0D473E">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0D473E">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0D473E">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 xml:space="preserve">a Market Party anticipates submitting bids </w:t>
      </w:r>
      <w:r>
        <w:rPr>
          <w:bCs/>
        </w:rPr>
        <w:t xml:space="preserve">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0D473E"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0D473E">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0D473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0D473E">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6216C" w:rsidRPr="00694A69" w:rsidRDefault="000D473E"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0D473E"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0D473E" w:rsidP="002711A0">
      <w:pPr>
        <w:pStyle w:val="romannumeralpara"/>
        <w:rPr>
          <w:ins w:id="18" w:author="Author" w:date="2015-10-12T10:53:00Z"/>
        </w:rPr>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7E6CF5" w:rsidRDefault="000D473E">
      <w:pPr>
        <w:pStyle w:val="romannumeralpara"/>
        <w:rPr>
          <w:ins w:id="19" w:author="Author" w:date="2015-10-12T10:53:00Z"/>
          <w:rFonts w:eastAsia="Calibri"/>
        </w:rPr>
        <w:pPrChange w:id="20" w:author="Author" w:date="2015-10-07T09:32:00Z">
          <w:pPr>
            <w:widowControl/>
            <w:spacing w:after="200" w:line="276" w:lineRule="auto"/>
          </w:pPr>
        </w:pPrChange>
      </w:pPr>
      <w:ins w:id="21" w:author="Author" w:date="2015-10-12T10:53:00Z">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ins>
    </w:p>
    <w:p w:rsidR="007E6CF5" w:rsidRDefault="000D473E">
      <w:pPr>
        <w:pStyle w:val="romannumeralpara"/>
        <w:rPr>
          <w:ins w:id="22" w:author="Author" w:date="2015-10-12T10:53:00Z"/>
          <w:rFonts w:eastAsia="Calibri"/>
        </w:rPr>
        <w:pPrChange w:id="23" w:author="Author" w:date="2015-10-07T09:36:00Z">
          <w:pPr>
            <w:widowControl/>
            <w:spacing w:after="200" w:line="276" w:lineRule="auto"/>
          </w:pPr>
        </w:pPrChange>
      </w:pPr>
      <w:ins w:id="24" w:author="Author" w:date="2015-10-12T10:53:00Z">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ins>
    </w:p>
    <w:p w:rsidR="007E6CF5" w:rsidRDefault="000D473E">
      <w:pPr>
        <w:pStyle w:val="romannumeralpara"/>
        <w:rPr>
          <w:ins w:id="25" w:author="Author" w:date="2015-10-12T10:53:00Z"/>
          <w:rFonts w:eastAsia="Calibri"/>
        </w:rPr>
        <w:pPrChange w:id="26" w:author="Author" w:date="2015-10-07T09:36:00Z">
          <w:pPr>
            <w:widowControl/>
            <w:spacing w:after="200" w:line="276" w:lineRule="auto"/>
          </w:pPr>
        </w:pPrChange>
      </w:pPr>
      <w:ins w:id="27" w:author="Author" w:date="2015-10-12T10:53:00Z">
        <w:r>
          <w:rPr>
            <w:rFonts w:eastAsia="Calibri"/>
          </w:rPr>
          <w:tab/>
        </w:r>
        <w:r>
          <w:rPr>
            <w:rFonts w:eastAsia="Calibri"/>
          </w:rPr>
          <w:tab/>
          <w:t>If a physical change to the RMR Generator occurs that alters the RMR Generator’s capabilities (</w:t>
        </w:r>
        <w:r>
          <w:rPr>
            <w:rFonts w:eastAsia="Calibri"/>
            <w:i/>
          </w:rPr>
          <w:t>e.g</w:t>
        </w:r>
      </w:ins>
      <w:ins w:id="28" w:author="GK Tuesday" w:date="2015-10-15T11:12:00Z">
        <w:r>
          <w:rPr>
            <w:rFonts w:eastAsia="Calibri"/>
            <w:i/>
          </w:rPr>
          <w:t>.</w:t>
        </w:r>
      </w:ins>
      <w:ins w:id="29" w:author="Author" w:date="2015-10-12T10:53:00Z">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ins>
    </w:p>
    <w:p w:rsidR="00C92811" w:rsidRPr="00C92811" w:rsidRDefault="000D473E" w:rsidP="00C92811">
      <w:pPr>
        <w:pStyle w:val="romannumeralpara"/>
      </w:pPr>
      <w:ins w:id="30" w:author="Author" w:date="2015-10-12T10:53:00Z">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 xml:space="preserve">Market Mitigation Measures </w:t>
        </w:r>
        <w:r>
          <w:rPr>
            <w:rFonts w:eastAsia="Calibri"/>
          </w:rPr>
          <w:t>Section 23.6.2.3.5.</w:t>
        </w:r>
      </w:ins>
    </w:p>
    <w:p w:rsidR="004C0984" w:rsidRDefault="000D473E">
      <w:pPr>
        <w:pStyle w:val="Heading4"/>
      </w:pPr>
      <w:bookmarkStart w:id="31" w:name="_Toc261344256"/>
      <w:r>
        <w:t>30.4.6.3</w:t>
      </w:r>
      <w:r>
        <w:tab/>
        <w:t>Market Monitoring Unit responsibilities set forth in the ISO Services Tariff</w:t>
      </w:r>
      <w:bookmarkEnd w:id="31"/>
    </w:p>
    <w:p w:rsidR="004C0984" w:rsidRDefault="000D473E">
      <w:pPr>
        <w:pStyle w:val="romannumeralpara"/>
      </w:pPr>
      <w:r>
        <w:t>30.4.6.3.1</w:t>
      </w:r>
      <w:r>
        <w:tab/>
        <w:t>The ICAP Demand Curve periodic review schedule and procedures shall provide an opportunity for the Market Monitoring Unit to review and com</w:t>
      </w:r>
      <w:r>
        <w:t xml:space="preserve">ment on the draft request for proposals, the independent consultant’s report, and the ISO’s proposed ICAP Demand Curves.  </w:t>
      </w:r>
      <w:r>
        <w:rPr>
          <w:i/>
        </w:rPr>
        <w:t>See</w:t>
      </w:r>
      <w:r>
        <w:t xml:space="preserve"> ISO Services Tariff Section 5.14.1.2.5.</w:t>
      </w:r>
    </w:p>
    <w:p w:rsidR="000E280C" w:rsidRDefault="000D473E">
      <w:pPr>
        <w:pStyle w:val="romannumeralpara"/>
      </w:pPr>
      <w:r w:rsidRPr="000E280C">
        <w:t xml:space="preserve">30.4.6.3.2  </w:t>
      </w:r>
      <w:r>
        <w:tab/>
      </w:r>
      <w:r w:rsidRPr="000E280C">
        <w:t>The new capacity zone periodic review shall provide an opportunity for the Ma</w:t>
      </w:r>
      <w:r w:rsidRPr="000E280C">
        <w:t xml:space="preserve">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0D473E">
      <w:pPr>
        <w:pStyle w:val="Heading4"/>
      </w:pPr>
      <w:bookmarkStart w:id="32" w:name="_Toc261344257"/>
      <w:r>
        <w:t>30.4.6.4</w:t>
      </w:r>
      <w:r>
        <w:tab/>
        <w:t>Market Monitoring Unit responsibilities set forth in the Rate Schedules to the ISO Services T</w:t>
      </w:r>
      <w:r>
        <w:t>ariff.</w:t>
      </w:r>
      <w:bookmarkEnd w:id="32"/>
    </w:p>
    <w:p w:rsidR="004C0984" w:rsidRDefault="000D473E">
      <w:pPr>
        <w:pStyle w:val="Heading4"/>
      </w:pPr>
      <w:bookmarkStart w:id="33" w:name="_Toc261344258"/>
      <w:r>
        <w:t>30.4.6.4.1</w:t>
      </w:r>
      <w:r>
        <w:tab/>
        <w:t>Responsibilities related to the Regulation Service Demand Curve</w:t>
      </w:r>
      <w:bookmarkEnd w:id="33"/>
    </w:p>
    <w:p w:rsidR="004C0984" w:rsidRDefault="000D473E">
      <w:pPr>
        <w:pStyle w:val="Bodypara"/>
      </w:pPr>
      <w:r>
        <w:t>In order to respond to operational or reliability problems that arise in real-time, the ISO may procure Regulation Service at a quantity and/or price point different than tho</w:t>
      </w:r>
      <w:r>
        <w:t>se specified in Section 15.3.7 of Rate Schedule 3 to the ISO Services Tariff.  The ISO shall post a notice of any such purchase as soon as reasonably possible and shall report on the reasons for such purchases at the next meeting of its Business Issues Com</w:t>
      </w:r>
      <w:r>
        <w:t>mittee.  The ISO shall also immediately initiate an investigation to determine whether it is necessary to modify the quantity and price points specified above to avoid future operational or reliability problems. The ISO will consult with its Market Monitor</w:t>
      </w:r>
      <w:r>
        <w:t>ing Unit when it conducts this investigation.</w:t>
      </w:r>
    </w:p>
    <w:p w:rsidR="004C0984" w:rsidRDefault="000D473E">
      <w:pPr>
        <w:pStyle w:val="Bodypara"/>
      </w:pPr>
      <w:r>
        <w:t xml:space="preserve">If the ISO determines that it is necessary to modify the quantity and/or price points specified above in order to avoid future operational or reliability problems it may temporarily modify them for a period of </w:t>
      </w:r>
      <w:r>
        <w:t xml:space="preserve">up to 90 days.  If circumstances reasonably allow, the ISO will consult with its Market Monitoring Unit, the Business Issues Committee, the Commission, and the PSC before implementing any such modification.  In all circumstances, the ISO will consult with </w:t>
      </w:r>
      <w:r>
        <w:t>those entities as soon as reasonably possible after implementing a temporary modification.</w:t>
      </w:r>
    </w:p>
    <w:p w:rsidR="004C0984" w:rsidRDefault="000D473E">
      <w:pPr>
        <w:pStyle w:val="Bodypara"/>
      </w:pPr>
      <w:r>
        <w:t>After the first year the Regulation Service Demand Curve is in place, the ISO shall perform periodic reviews, subject to the scope requirement specified in Section 1</w:t>
      </w:r>
      <w:r>
        <w:t xml:space="preserve">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w:t>
      </w:r>
      <w:r>
        <w:t xml:space="preserve"> Services Tariff.</w:t>
      </w:r>
    </w:p>
    <w:p w:rsidR="004C0984" w:rsidRDefault="000D473E">
      <w:pPr>
        <w:pStyle w:val="Heading4"/>
      </w:pPr>
      <w:bookmarkStart w:id="34" w:name="_Toc261344259"/>
      <w:r>
        <w:t>30.4.6.4.2</w:t>
      </w:r>
      <w:r>
        <w:tab/>
        <w:t>Responsibilities related to the Operating Reserves Demand Curves</w:t>
      </w:r>
      <w:bookmarkEnd w:id="34"/>
    </w:p>
    <w:p w:rsidR="004C0984" w:rsidRDefault="000D473E">
      <w:pPr>
        <w:pStyle w:val="Bodypara"/>
      </w:pPr>
      <w:r>
        <w:rPr>
          <w:rFonts w:eastAsia="Arial Unicode MS"/>
        </w:rPr>
        <w:t>In order to respond to operational or reliability problems that arise in real-time, the ISO may procure any Operating Reserve product at a quantity and/or price p</w:t>
      </w:r>
      <w:r>
        <w:rPr>
          <w:rFonts w:eastAsia="Arial Unicode MS"/>
        </w:rPr>
        <w:t xml:space="preserve">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w:t>
      </w:r>
      <w:r>
        <w:rPr>
          <w:rFonts w:eastAsia="Arial Unicode MS"/>
        </w:rPr>
        <w:t xml:space="preserve">its Business Issues Committee.  The ISO shall also </w:t>
      </w:r>
      <w:bookmarkStart w:id="35" w:name="_DV_C60"/>
      <w:r>
        <w:rPr>
          <w:rFonts w:eastAsia="Arial Unicode MS"/>
        </w:rPr>
        <w:t xml:space="preserve">immediately initiate an investigation to determine </w:t>
      </w:r>
      <w:bookmarkEnd w:id="35"/>
      <w:r>
        <w:rPr>
          <w:rFonts w:eastAsia="Arial Unicode MS"/>
        </w:rPr>
        <w:t>whether it is necessary to modify the quantity and price points specified above to avoid future operational or reliability problems.  The ISO will consult</w:t>
      </w:r>
      <w:r>
        <w:rPr>
          <w:rFonts w:eastAsia="Arial Unicode MS"/>
        </w:rPr>
        <w:t xml:space="preserve"> with its Market Monitoring Unit when it conducts this investigation.</w:t>
      </w:r>
    </w:p>
    <w:p w:rsidR="004C0984" w:rsidRDefault="000D473E">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w:t>
      </w:r>
      <w:r>
        <w:rPr>
          <w:rFonts w:eastAsia="Arial Unicode MS"/>
        </w:rPr>
        <w:t>perational or reliability problems it may temporarily modify them for a period of up to 90 days.  If circumstances reasonably allow, the ISO will consult with its Market Monitoring Unit, the Business Issues Committee, th</w:t>
      </w:r>
      <w:r>
        <w:t>e Commission, and the PSC before imp</w:t>
      </w:r>
      <w:r>
        <w:t>lementing any such modification.  In all circumsta</w:t>
      </w:r>
      <w:r>
        <w:rPr>
          <w:rFonts w:eastAsia="Arial Unicode MS"/>
        </w:rPr>
        <w:t>nces, the ISO will consult with those entities as soon as reasonably possible after implementing a temporary modification.</w:t>
      </w:r>
    </w:p>
    <w:p w:rsidR="004C0984" w:rsidRDefault="000D473E">
      <w:pPr>
        <w:pStyle w:val="Bodypara"/>
      </w:pPr>
      <w:r>
        <w:rPr>
          <w:rFonts w:eastAsia="Arial Unicode MS"/>
        </w:rPr>
        <w:t xml:space="preserve">After the first year the </w:t>
      </w:r>
      <w:r>
        <w:t>Operating Reserves Demand Curves are in place</w:t>
      </w:r>
      <w:r>
        <w:rPr>
          <w:rFonts w:eastAsia="Arial Unicode MS"/>
        </w:rPr>
        <w:t>, the ISO sha</w:t>
      </w:r>
      <w:r>
        <w:rPr>
          <w:rFonts w:eastAsia="Arial Unicode MS"/>
        </w:rPr>
        <w:t xml:space="preserve">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reviews of th</w:t>
      </w:r>
      <w:r>
        <w:t xml:space="preserve">e </w:t>
      </w:r>
      <w:r>
        <w:rPr>
          <w:rFonts w:eastAsia="Arial Unicode MS"/>
        </w:rPr>
        <w:t xml:space="preserve">Operating Reserve Demand Curves.  </w:t>
      </w:r>
      <w:r>
        <w:rPr>
          <w:i/>
        </w:rPr>
        <w:t>See</w:t>
      </w:r>
      <w:r>
        <w:t xml:space="preserve"> Section 15.4.7 of Rate Schedule 4 to the ISO Services Tariff.</w:t>
      </w:r>
    </w:p>
    <w:p w:rsidR="004C0984" w:rsidRDefault="000D473E">
      <w:pPr>
        <w:pStyle w:val="Heading4"/>
      </w:pPr>
      <w:bookmarkStart w:id="36" w:name="_Toc261344260"/>
      <w:r>
        <w:t>30.4.6.5</w:t>
      </w:r>
      <w:r>
        <w:tab/>
        <w:t>Market Monitoring Unit responsibilities set forth in the Attachments to the ISO Services Tariff (other than the Market Mitigation Measures).</w:t>
      </w:r>
      <w:bookmarkEnd w:id="36"/>
    </w:p>
    <w:p w:rsidR="004C0984" w:rsidRDefault="000D473E">
      <w:pPr>
        <w:pStyle w:val="Heading4"/>
      </w:pPr>
      <w:bookmarkStart w:id="37" w:name="_Toc261344261"/>
      <w:r>
        <w:t>30.4</w:t>
      </w:r>
      <w:r>
        <w:t>.6.5.1</w:t>
      </w:r>
      <w:r>
        <w:tab/>
        <w:t>Responsibilities related to Transmission Shortage Cost</w:t>
      </w:r>
      <w:bookmarkEnd w:id="37"/>
    </w:p>
    <w:p w:rsidR="004C0984" w:rsidRDefault="000D473E">
      <w:pPr>
        <w:pStyle w:val="Bodypara"/>
      </w:pPr>
      <w:r>
        <w:t>The ISO may periodically evaluate the Transmission Shortage Cost to determine whether it is necessary to modify the Transmission Shortage Cost to avoid future operational or reliability problems</w:t>
      </w:r>
      <w:r>
        <w:t>.  The ISO will consult with its Market Monitoring Unit after it conducts this evaluation.</w:t>
      </w:r>
    </w:p>
    <w:p w:rsidR="004C0984" w:rsidRDefault="000D473E">
      <w:pPr>
        <w:pStyle w:val="Bodypara"/>
      </w:pPr>
      <w:r>
        <w:t>If the ISO determines that it is necessary to modify the Transmission Shortage Cost in order to avoid future operational or reliability problems the resolution of wh</w:t>
      </w:r>
      <w:r>
        <w:t>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w:t>
      </w:r>
      <w:r>
        <w:t>emporarily modify it for a period of up to 90 days, provided however the ISO shall file such change with the Commission pursuant to § 205 of the Federal Power Act within 45 days of such modification.  If circumstances reasonably allow, the ISO will consult</w:t>
      </w:r>
      <w:r>
        <w:t xml:space="preserve"> with its Market Monitoring Unit, the Business Issues Committee, the Commission, and the PSC before implementing any such modification.  In all circumstances, the ISO will consult with those entities as soon as reasonably possible after implementing a temp</w:t>
      </w:r>
      <w:r>
        <w:t xml:space="preserve">orary modification and shall explain the reasons for the change.  </w:t>
      </w:r>
      <w:r>
        <w:rPr>
          <w:i/>
        </w:rPr>
        <w:t>See</w:t>
      </w:r>
      <w:r>
        <w:t xml:space="preserve"> Section 17.1.4 of Attachment B to the ISO Services Tariff.</w:t>
      </w:r>
    </w:p>
    <w:p w:rsidR="004C0984" w:rsidRDefault="000D473E">
      <w:pPr>
        <w:pStyle w:val="Heading4"/>
      </w:pPr>
      <w:bookmarkStart w:id="38" w:name="_Toc261344263"/>
      <w:r>
        <w:t>30.4.6.6</w:t>
      </w:r>
      <w:r>
        <w:tab/>
        <w:t>Market Monitoring Unit responsibilities set forth in the ISO OATT</w:t>
      </w:r>
      <w:bookmarkEnd w:id="38"/>
    </w:p>
    <w:p w:rsidR="004C0984" w:rsidRDefault="000D473E">
      <w:pPr>
        <w:pStyle w:val="Heading4"/>
      </w:pPr>
      <w:bookmarkStart w:id="39" w:name="_Toc261344264"/>
      <w:r>
        <w:t>30.4.6.7</w:t>
      </w:r>
      <w:r>
        <w:tab/>
        <w:t>Market Monitoring Unit responsibilities set</w:t>
      </w:r>
      <w:r>
        <w:t xml:space="preserve"> forth in the Rate Schedules to the ISO OATT</w:t>
      </w:r>
      <w:bookmarkEnd w:id="39"/>
    </w:p>
    <w:p w:rsidR="004C0984" w:rsidRDefault="000D473E">
      <w:pPr>
        <w:pStyle w:val="Heading4"/>
      </w:pPr>
      <w:bookmarkStart w:id="40" w:name="_Toc261344265"/>
      <w:r>
        <w:t>30.4.6.8</w:t>
      </w:r>
      <w:r>
        <w:tab/>
        <w:t>Market Monitoring Unit responsibilities set forth in the Attachments to the ISO OATT</w:t>
      </w:r>
      <w:bookmarkEnd w:id="40"/>
    </w:p>
    <w:p w:rsidR="004C0984" w:rsidRDefault="000D473E" w:rsidP="007D54D7">
      <w:pPr>
        <w:pStyle w:val="Heading4"/>
      </w:pPr>
      <w:bookmarkStart w:id="41" w:name="_Toc261344266"/>
      <w:r>
        <w:t>30.4.6.8.1</w:t>
      </w:r>
      <w:r>
        <w:tab/>
      </w:r>
      <w:bookmarkEnd w:id="41"/>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0D473E" w:rsidP="007D54D7">
      <w:pPr>
        <w:pStyle w:val="Bodypara"/>
      </w:pPr>
      <w:r>
        <w:t>If the ISO, acting in consultati</w:t>
      </w:r>
      <w:r>
        <w:t xml:space="preserve">on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w:t>
      </w:r>
      <w:r w:rsidRPr="0041300A">
        <w:t>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w:t>
      </w:r>
      <w:r>
        <w:t>sition regarding the ISO’s proposal to add a new prohibited scheduling path or new prohibited scheduling paths.  The Market Monitoring Unit’s position may be explained in the ISO’s filing letter, be set forth in an accompanying affidavit, or be submitted b</w:t>
      </w:r>
      <w:r>
        <w:t xml:space="preserve">y the Market Monitoring Unit as a companion filing or as comments on the ISO’s compliance filing in Docket No. ER13-780.  </w:t>
      </w:r>
      <w:r>
        <w:rPr>
          <w:i/>
        </w:rPr>
        <w:t xml:space="preserve">See </w:t>
      </w:r>
      <w:r>
        <w:t>Section 16.3.3.8 of Attachment J to the ISO OATT.</w:t>
      </w:r>
    </w:p>
    <w:p w:rsidR="007D54D7" w:rsidRDefault="000D473E"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0D473E" w:rsidP="007D54D7">
      <w:pPr>
        <w:pStyle w:val="Bodypara"/>
      </w:pPr>
      <w:r>
        <w:t>Fo</w:t>
      </w:r>
      <w:r>
        <w:t xml:space="preserve">llowing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w:t>
      </w:r>
      <w:r>
        <w:t xml:space="preserve">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0D473E" w:rsidP="007D54D7">
      <w:pPr>
        <w:pStyle w:val="Heading4"/>
      </w:pPr>
      <w:r>
        <w:t>30.</w:t>
      </w:r>
      <w:r>
        <w:t>4.6.8.3</w:t>
      </w:r>
      <w:r>
        <w:tab/>
      </w:r>
      <w:r w:rsidRPr="00121356">
        <w:t xml:space="preserve">Responsibilities </w:t>
      </w:r>
      <w:r>
        <w:t>r</w:t>
      </w:r>
      <w:r w:rsidRPr="00121356">
        <w:t xml:space="preserve">elated to the </w:t>
      </w:r>
      <w:r>
        <w:t>d</w:t>
      </w:r>
      <w:r w:rsidRPr="00121356">
        <w:t>raft Comprehensive Reliability Plan</w:t>
      </w:r>
    </w:p>
    <w:p w:rsidR="004C0984" w:rsidRDefault="000D473E"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w:t>
      </w:r>
      <w:r>
        <w:rPr>
          <w:color w:val="000000"/>
        </w:rPr>
        <w:t xml:space="preserve"> to the ISO Board for review and action. </w:t>
      </w:r>
      <w:r>
        <w:rPr>
          <w:color w:val="000000"/>
        </w:rPr>
        <w:t xml:space="preserve"> </w:t>
      </w:r>
      <w:r>
        <w:rPr>
          <w:color w:val="000000"/>
        </w:rPr>
        <w:t xml:space="preserve">Concurrently, the draft CRP will also be provided to the Market Monitoring Unit for its review and consideration of whether market rule changes are necessary to address an identified failure, if any, in one of the </w:t>
      </w:r>
      <w:r>
        <w:rPr>
          <w:color w:val="000000"/>
        </w:rPr>
        <w:t>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0D473E"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0D473E"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0D473E"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0D473E" w:rsidP="00D35D6B">
      <w:pPr>
        <w:pStyle w:val="Bodypara"/>
        <w:rPr>
          <w:ins w:id="42" w:author="Author" w:date="2015-10-12T10:56:00Z"/>
        </w:rPr>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E32B00" w:rsidRPr="00E32B00" w:rsidRDefault="000D473E" w:rsidP="00E32B00">
      <w:pPr>
        <w:pStyle w:val="Heading4"/>
        <w:rPr>
          <w:ins w:id="43" w:author="zimberlin" w:date="2015-10-18T15:39:00Z"/>
          <w:rPrChange w:id="44" w:author="zimberlin" w:date="2015-10-18T15:39:00Z">
            <w:rPr>
              <w:ins w:id="45" w:author="zimberlin" w:date="2015-10-18T15:39:00Z"/>
            </w:rPr>
          </w:rPrChange>
        </w:rPr>
        <w:pPrChange w:id="46" w:author="zimberlin" w:date="2015-10-18T15:39:00Z">
          <w:pPr>
            <w:pStyle w:val="Bodypara3"/>
          </w:pPr>
        </w:pPrChange>
      </w:pPr>
      <w:ins w:id="47" w:author="Author" w:date="2015-10-12T10:56:00Z">
        <w:r>
          <w:t>30.4.6.8.6</w:t>
        </w:r>
        <w:r>
          <w:tab/>
          <w:t>Responsibilities Related to Market Monitoring Unit Review of Relia</w:t>
        </w:r>
        <w:r>
          <w:t>bility Must Run Costs and RMR Avoidable Cost Determinations</w:t>
        </w:r>
      </w:ins>
    </w:p>
    <w:p w:rsidR="007E6CF5" w:rsidRDefault="000D473E">
      <w:pPr>
        <w:pStyle w:val="Bodypara"/>
        <w:rPr>
          <w:ins w:id="48" w:author="Author" w:date="2015-10-12T10:56:00Z"/>
          <w:bCs/>
        </w:rPr>
        <w:pPrChange w:id="49" w:author="Author" w:date="2015-10-06T18:54:00Z">
          <w:pPr>
            <w:pStyle w:val="romannumeralpara"/>
          </w:pPr>
        </w:pPrChange>
      </w:pPr>
      <w:ins w:id="50" w:author="Author" w:date="2015-10-12T10:56:00Z">
        <w:r>
          <w:t xml:space="preserve">The ISO shall seek comment from the Market Monitoring Unit when (i) </w:t>
        </w:r>
        <w:r w:rsidRPr="00375DC8">
          <w:rPr>
            <w:szCs w:val="24"/>
          </w:rPr>
          <w:t xml:space="preserve">making </w:t>
        </w:r>
        <w:r w:rsidRPr="007E6CF5">
          <w:rPr>
            <w:szCs w:val="24"/>
            <w:rPrChange w:id="51" w:author="Author" w:date="2015-10-08T13:12:00Z">
              <w:rPr>
                <w:rFonts w:ascii="Calibri" w:hAnsi="Calibri"/>
                <w:sz w:val="22"/>
                <w:szCs w:val="22"/>
              </w:rPr>
            </w:rPrChange>
          </w:rPr>
          <w:t>determinations under Section 31.2.11.8</w:t>
        </w:r>
        <w:r w:rsidRPr="00375DC8">
          <w:rPr>
            <w:szCs w:val="24"/>
          </w:rPr>
          <w:t xml:space="preserve"> of Attachment Y to the OATT</w:t>
        </w:r>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ins>
      <w:ins w:id="52" w:author="kavanah" w:date="2015-10-12T15:40:00Z">
        <w:r>
          <w:rPr>
            <w:bCs/>
          </w:rPr>
          <w:t xml:space="preserve">an estimated </w:t>
        </w:r>
      </w:ins>
      <w:ins w:id="53" w:author="Author" w:date="2015-10-12T10:56:00Z">
        <w:r>
          <w:rPr>
            <w:bCs/>
          </w:rPr>
          <w:t xml:space="preserve">net present </w:t>
        </w:r>
        <w:r w:rsidRPr="007C6C8B">
          <w:t>value</w:t>
        </w:r>
        <w:r>
          <w:rPr>
            <w:bCs/>
          </w:rPr>
          <w:t xml:space="preserve"> that is distinctly </w:t>
        </w:r>
      </w:ins>
      <w:ins w:id="54" w:author="kavanah" w:date="2015-10-12T15:41:00Z">
        <w:r>
          <w:rPr>
            <w:bCs/>
          </w:rPr>
          <w:t>higher than the</w:t>
        </w:r>
      </w:ins>
      <w:ins w:id="55" w:author="Author" w:date="2015-10-12T10:56:00Z">
        <w:r>
          <w:rPr>
            <w:bCs/>
          </w:rPr>
          <w:t xml:space="preserve"> net present value </w:t>
        </w:r>
      </w:ins>
      <w:ins w:id="56" w:author="kavanah" w:date="2015-10-12T15:41:00Z">
        <w:r>
          <w:rPr>
            <w:bCs/>
          </w:rPr>
          <w:t xml:space="preserve">of any </w:t>
        </w:r>
      </w:ins>
      <w:ins w:id="57" w:author="Author" w:date="2015-10-12T10:56:00Z">
        <w:r>
          <w:rPr>
            <w:bCs/>
          </w:rPr>
          <w:t>Initiating Generator or Generator that is a</w:t>
        </w:r>
      </w:ins>
      <w:ins w:id="58" w:author="kavanah" w:date="2015-10-12T15:48:00Z">
        <w:r>
          <w:rPr>
            <w:bCs/>
          </w:rPr>
          <w:t xml:space="preserve"> </w:t>
        </w:r>
      </w:ins>
      <w:ins w:id="59" w:author="Author" w:date="2015-10-12T10:56:00Z">
        <w:r>
          <w:rPr>
            <w:bCs/>
          </w:rPr>
          <w:t>Viable and Sufficient Gap Solution</w:t>
        </w:r>
      </w:ins>
      <w:ins w:id="60" w:author="kavanah" w:date="2015-10-12T15:41:00Z">
        <w:r>
          <w:rPr>
            <w:bCs/>
          </w:rPr>
          <w:t xml:space="preserve"> </w:t>
        </w:r>
      </w:ins>
      <w:ins w:id="61" w:author="kavanah" w:date="2015-10-12T15:42:00Z">
        <w:r>
          <w:t>(</w:t>
        </w:r>
        <w:r w:rsidRPr="00180212">
          <w:rPr>
            <w:i/>
          </w:rPr>
          <w:t>i.e.</w:t>
        </w:r>
        <w:r>
          <w:t xml:space="preserve">, the </w:t>
        </w:r>
        <w:r>
          <w:t>non-generation Viable and Sufficient Gap Solution has a lower net cost</w:t>
        </w:r>
      </w:ins>
      <w:ins w:id="62" w:author="Author" w:date="2015-10-12T10:56:00Z">
        <w:r>
          <w:rPr>
            <w:bCs/>
          </w:rPr>
          <w:t>,</w:t>
        </w:r>
      </w:ins>
      <w:ins w:id="63" w:author="kavanah" w:date="2015-10-12T15:42:00Z">
        <w:r>
          <w:rPr>
            <w:bCs/>
          </w:rPr>
          <w:t>) if any,</w:t>
        </w:r>
      </w:ins>
      <w:ins w:id="64" w:author="Author" w:date="2015-10-12T10:56:00Z">
        <w:r>
          <w:rPr>
            <w:bCs/>
          </w:rPr>
          <w:t xml:space="preserve"> (iv) reviewing Proposed Additional Costs, and (v) determining Substantiated Additional Costs.  </w:t>
        </w:r>
        <w:r>
          <w:rPr>
            <w:bCs/>
            <w:i/>
          </w:rPr>
          <w:t xml:space="preserve">See </w:t>
        </w:r>
        <w:r>
          <w:rPr>
            <w:bCs/>
          </w:rPr>
          <w:t>Section 31.2.11.1</w:t>
        </w:r>
      </w:ins>
      <w:ins w:id="65" w:author="GK Tuesday" w:date="2015-10-15T11:09:00Z">
        <w:r>
          <w:rPr>
            <w:bCs/>
          </w:rPr>
          <w:t>8</w:t>
        </w:r>
      </w:ins>
      <w:ins w:id="66" w:author="Author" w:date="2015-10-12T10:56:00Z">
        <w:r>
          <w:rPr>
            <w:bCs/>
          </w:rPr>
          <w:t>.1</w:t>
        </w:r>
      </w:ins>
      <w:ins w:id="67" w:author="GK Tuesday" w:date="2015-10-15T11:09:00Z">
        <w:r>
          <w:rPr>
            <w:bCs/>
          </w:rPr>
          <w:t xml:space="preserve"> </w:t>
        </w:r>
      </w:ins>
      <w:ins w:id="68" w:author="Author" w:date="2015-10-12T10:56:00Z">
        <w:r>
          <w:rPr>
            <w:bCs/>
          </w:rPr>
          <w:t>of Attachment Y to the ISO OATT.</w:t>
        </w:r>
      </w:ins>
    </w:p>
    <w:p w:rsidR="00C92811" w:rsidRDefault="000D473E" w:rsidP="007C6C8B">
      <w:pPr>
        <w:pStyle w:val="Bodypara"/>
        <w:rPr>
          <w:ins w:id="69" w:author="Author" w:date="2015-10-12T10:56:00Z"/>
        </w:rPr>
      </w:pPr>
      <w:ins w:id="70" w:author="zimberlin" w:date="2015-10-18T15:40:00Z">
        <w:r>
          <w:t xml:space="preserve">If </w:t>
        </w:r>
      </w:ins>
      <w:ins w:id="71" w:author="Author" w:date="2015-10-12T10:56:00Z">
        <w:r>
          <w:t>the ISO</w:t>
        </w:r>
      </w:ins>
      <w:ins w:id="72" w:author="kavanah" w:date="2015-10-12T14:34:00Z">
        <w:r>
          <w:t xml:space="preserve"> identifie</w:t>
        </w:r>
      </w:ins>
      <w:ins w:id="73" w:author="kavanah" w:date="2015-10-12T14:35:00Z">
        <w:r>
          <w:t xml:space="preserve">s </w:t>
        </w:r>
        <w:r>
          <w:t>a</w:t>
        </w:r>
      </w:ins>
      <w:r>
        <w:t xml:space="preserve"> </w:t>
      </w:r>
      <w:ins w:id="74" w:author="Author" w:date="2015-10-12T10:56:00Z">
        <w:r>
          <w:t xml:space="preserve">non-generation Viable and Sufficient Gap Solution with </w:t>
        </w:r>
      </w:ins>
      <w:ins w:id="75" w:author="kavanah" w:date="2015-10-12T14:36:00Z">
        <w:r>
          <w:t>an estimated</w:t>
        </w:r>
      </w:ins>
      <w:ins w:id="76" w:author="Author" w:date="2015-10-12T10:56:00Z">
        <w:r>
          <w:t xml:space="preserve"> net present value</w:t>
        </w:r>
      </w:ins>
      <w:ins w:id="77" w:author="kavanah" w:date="2015-10-12T14:36:00Z">
        <w:r>
          <w:t xml:space="preserve"> that is distinctly higher than the </w:t>
        </w:r>
      </w:ins>
      <w:ins w:id="78" w:author="kavanah" w:date="2015-10-12T14:37:00Z">
        <w:r>
          <w:t xml:space="preserve">estimated net present value of any </w:t>
        </w:r>
      </w:ins>
      <w:ins w:id="79" w:author="kavanah" w:date="2015-10-12T14:38:00Z">
        <w:r>
          <w:t>Initiating</w:t>
        </w:r>
      </w:ins>
      <w:ins w:id="80" w:author="kavanah" w:date="2015-10-12T14:37:00Z">
        <w:r>
          <w:t xml:space="preserve"> Generator or Generator that is a Viable and Sufficient Gap Solution for a Reliability Need</w:t>
        </w:r>
      </w:ins>
      <w:ins w:id="81" w:author="kavanah" w:date="2015-10-12T15:23:00Z">
        <w:r>
          <w:t xml:space="preserve"> (</w:t>
        </w:r>
        <w:r w:rsidRPr="007E6CF5">
          <w:rPr>
            <w:i/>
            <w:rPrChange w:id="82" w:author="kavanah" w:date="2015-10-12T15:23:00Z">
              <w:rPr/>
            </w:rPrChange>
          </w:rPr>
          <w:t>i.e.</w:t>
        </w:r>
        <w:r>
          <w:t>, the non-generation Viable and Sufficient Gap Solution has a lower net cost</w:t>
        </w:r>
      </w:ins>
      <w:ins w:id="83" w:author="Author" w:date="2015-10-12T10:56:00Z">
        <w:r>
          <w:t>,</w:t>
        </w:r>
      </w:ins>
      <w:ins w:id="84" w:author="kavanah" w:date="2015-10-12T15:23:00Z">
        <w:r>
          <w:t>)</w:t>
        </w:r>
      </w:ins>
      <w:ins w:id="85" w:author="Author" w:date="2015-10-12T10:56:00Z">
        <w:r>
          <w:t xml:space="preserve"> in accordance with Section </w:t>
        </w:r>
        <w:r w:rsidRPr="007E6CF5">
          <w:rPr>
            <w:snapToGrid/>
            <w:szCs w:val="24"/>
            <w:rPrChange w:id="86" w:author="zimberlin" w:date="2015-10-18T15:40:00Z">
              <w:rPr>
                <w:rFonts w:ascii="TimesNewRoman" w:hAnsi="TimesNewRoman" w:cs="TimesNewRoman"/>
                <w:snapToGrid/>
                <w:color w:val="0000FF"/>
                <w:szCs w:val="24"/>
              </w:rPr>
            </w:rPrChange>
          </w:rPr>
          <w:t>31.2.11.8.2</w:t>
        </w:r>
        <w:r>
          <w:t>, the Market Monitoring Unit shall publish</w:t>
        </w:r>
        <w:r>
          <w:t xml:space="preserve"> a report.  The report shall review the ISO’s cost determinations for non-generation Viable and Sufficient Gap Solutions and RMR Avoidable Costs for Ini</w:t>
        </w:r>
      </w:ins>
      <w:ins w:id="87" w:author="kavanah" w:date="2015-10-12T14:38:00Z">
        <w:r>
          <w:t>ti</w:t>
        </w:r>
      </w:ins>
      <w:ins w:id="88" w:author="Author" w:date="2015-10-12T10:56:00Z">
        <w:r>
          <w:t>ating Generators and Generators that are Viable and Sufficient Gap Solutions for a Reliability Need</w:t>
        </w:r>
      </w:ins>
      <w:ins w:id="89" w:author="kavanah" w:date="2015-10-12T14:39:00Z">
        <w:r>
          <w:t xml:space="preserve"> to</w:t>
        </w:r>
        <w:r>
          <w:t xml:space="preserve"> the extent necessary to report on the ISO’s identification of the </w:t>
        </w:r>
      </w:ins>
      <w:ins w:id="90" w:author="GK Tuesday" w:date="2015-10-15T09:56:00Z">
        <w:r>
          <w:t>highest</w:t>
        </w:r>
      </w:ins>
      <w:ins w:id="91" w:author="kavanah" w:date="2015-10-12T14:39:00Z">
        <w:r>
          <w:t xml:space="preserve"> net</w:t>
        </w:r>
        <w:r>
          <w:t xml:space="preserve"> present value of non-generation Viable and Sufficient Gap Solution</w:t>
        </w:r>
      </w:ins>
      <w:ins w:id="92" w:author="Author" w:date="2015-10-12T10:56:00Z">
        <w:r>
          <w:t xml:space="preserve">.  </w:t>
        </w:r>
        <w:r>
          <w:rPr>
            <w:bCs/>
            <w:i/>
          </w:rPr>
          <w:t xml:space="preserve">See </w:t>
        </w:r>
        <w:r>
          <w:rPr>
            <w:bCs/>
          </w:rPr>
          <w:t>Section 31.2.11.1</w:t>
        </w:r>
      </w:ins>
      <w:ins w:id="93" w:author="GK Tuesday" w:date="2015-10-15T11:05:00Z">
        <w:r>
          <w:rPr>
            <w:bCs/>
          </w:rPr>
          <w:t>8</w:t>
        </w:r>
      </w:ins>
      <w:ins w:id="94" w:author="Author" w:date="2015-10-12T10:56:00Z">
        <w:r>
          <w:rPr>
            <w:bCs/>
          </w:rPr>
          <w:t>.2 of Attachment Y to the ISO OATT.</w:t>
        </w:r>
      </w:ins>
    </w:p>
    <w:p w:rsidR="00C92811" w:rsidRPr="00D35D6B" w:rsidRDefault="000D473E" w:rsidP="00C92811">
      <w:pPr>
        <w:pStyle w:val="Bodypara"/>
      </w:pPr>
      <w:ins w:id="95" w:author="Author" w:date="2015-10-12T10:56:00Z">
        <w:r>
          <w:t>Concurrent with the ISO or a Generator filing with</w:t>
        </w:r>
        <w:r>
          <w:t xml:space="preserve"> the Commission an RMR Agreement pursuant to Section</w:t>
        </w:r>
      </w:ins>
      <w:ins w:id="96" w:author="GK Tuesday" w:date="2015-10-15T10:33:00Z">
        <w:r>
          <w:t>s</w:t>
        </w:r>
      </w:ins>
      <w:ins w:id="97" w:author="Author" w:date="2015-10-12T10:56:00Z">
        <w:r>
          <w:t xml:space="preserve"> </w:t>
        </w:r>
      </w:ins>
      <w:ins w:id="98" w:author="GK Tuesday" w:date="2015-10-15T10:32:00Z">
        <w:r>
          <w:rPr>
            <w:rFonts w:eastAsia="Calibri"/>
          </w:rPr>
          <w:t>31.2.11.11.3,</w:t>
        </w:r>
        <w:r>
          <w:t xml:space="preserve"> </w:t>
        </w:r>
        <w:r>
          <w:rPr>
            <w:rFonts w:eastAsia="Calibri"/>
          </w:rPr>
          <w:t>31.2.11.11.4, or 31.2.11.11.5</w:t>
        </w:r>
      </w:ins>
      <w:ins w:id="99" w:author="Author" w:date="2015-10-12T10:56:00Z">
        <w:r>
          <w:t xml:space="preserve">, the Market Monitoring Unit shall publish a report.  The report shall review the ISO’s determination of the </w:t>
        </w:r>
      </w:ins>
      <w:ins w:id="100" w:author="GK Tuesday" w:date="2015-10-15T10:54:00Z">
        <w:r>
          <w:t>highest net present value</w:t>
        </w:r>
      </w:ins>
      <w:r>
        <w:t xml:space="preserve"> </w:t>
      </w:r>
      <w:ins w:id="101" w:author="Author" w:date="2015-10-12T10:56:00Z">
        <w:r>
          <w:t xml:space="preserve">offer (or more than one offer) to provide RMR </w:t>
        </w:r>
      </w:ins>
      <w:ins w:id="102" w:author="GK Tuesday" w:date="2015-10-15T10:57:00Z">
        <w:r>
          <w:t>s</w:t>
        </w:r>
      </w:ins>
      <w:ins w:id="103" w:author="Author" w:date="2015-10-12T10:56:00Z">
        <w:r>
          <w:t xml:space="preserve">ervice in accordance with </w:t>
        </w:r>
      </w:ins>
      <w:ins w:id="104" w:author="zimberlin" w:date="2015-10-18T15:44:00Z">
        <w:r>
          <w:t>S</w:t>
        </w:r>
      </w:ins>
      <w:ins w:id="105" w:author="Author" w:date="2015-10-12T10:56:00Z">
        <w:r>
          <w:t xml:space="preserve">ection </w:t>
        </w:r>
        <w:r w:rsidRPr="007E6CF5">
          <w:rPr>
            <w:snapToGrid/>
            <w:szCs w:val="24"/>
            <w:rPrChange w:id="106" w:author="zimberlin" w:date="2015-10-18T15:40:00Z">
              <w:rPr>
                <w:rFonts w:ascii="TimesNewRoman" w:hAnsi="TimesNewRoman" w:cs="TimesNewRoman"/>
                <w:snapToGrid/>
                <w:color w:val="0000FF"/>
                <w:szCs w:val="24"/>
              </w:rPr>
            </w:rPrChange>
          </w:rPr>
          <w:t>31.2.11.</w:t>
        </w:r>
      </w:ins>
      <w:ins w:id="107" w:author="GK Tuesday" w:date="2015-10-15T10:55:00Z">
        <w:r w:rsidRPr="007E6CF5">
          <w:rPr>
            <w:snapToGrid/>
            <w:szCs w:val="24"/>
            <w:rPrChange w:id="108" w:author="zimberlin" w:date="2015-10-18T15:40:00Z">
              <w:rPr>
                <w:snapToGrid/>
                <w:color w:val="0000FF"/>
                <w:szCs w:val="24"/>
              </w:rPr>
            </w:rPrChange>
          </w:rPr>
          <w:t>10</w:t>
        </w:r>
      </w:ins>
      <w:ins w:id="109" w:author="Author" w:date="2015-10-12T10:56:00Z">
        <w:r w:rsidRPr="007E6CF5">
          <w:rPr>
            <w:snapToGrid/>
            <w:szCs w:val="24"/>
            <w:rPrChange w:id="110" w:author="zimberlin" w:date="2015-10-18T15:40:00Z">
              <w:rPr>
                <w:rFonts w:ascii="TimesNewRoman" w:hAnsi="TimesNewRoman" w:cs="TimesNewRoman"/>
                <w:snapToGrid/>
                <w:color w:val="0000FF"/>
                <w:szCs w:val="24"/>
              </w:rPr>
            </w:rPrChange>
          </w:rPr>
          <w:t>.</w:t>
        </w:r>
      </w:ins>
      <w:ins w:id="111" w:author="GK Tuesday" w:date="2015-10-15T10:55:00Z">
        <w:r w:rsidRPr="007E6CF5">
          <w:rPr>
            <w:snapToGrid/>
            <w:szCs w:val="24"/>
            <w:rPrChange w:id="112" w:author="zimberlin" w:date="2015-10-18T15:40:00Z">
              <w:rPr>
                <w:snapToGrid/>
                <w:color w:val="0000FF"/>
                <w:szCs w:val="24"/>
              </w:rPr>
            </w:rPrChange>
          </w:rPr>
          <w:t>6</w:t>
        </w:r>
      </w:ins>
      <w:ins w:id="113" w:author="Author" w:date="2015-10-12T10:56:00Z">
        <w:r w:rsidRPr="007E6CF5">
          <w:rPr>
            <w:snapToGrid/>
            <w:szCs w:val="24"/>
            <w:rPrChange w:id="114" w:author="zimberlin" w:date="2015-10-18T15:40:00Z">
              <w:rPr>
                <w:rFonts w:ascii="TimesNewRoman" w:hAnsi="TimesNewRoman" w:cs="TimesNewRoman"/>
                <w:snapToGrid/>
                <w:color w:val="0000FF"/>
                <w:szCs w:val="24"/>
              </w:rPr>
            </w:rPrChange>
          </w:rPr>
          <w:t xml:space="preserve"> </w:t>
        </w:r>
        <w:r>
          <w:t>o</w:t>
        </w:r>
        <w:r>
          <w:t xml:space="preserve">f Attachment Y to the ISO OATT.  </w:t>
        </w:r>
      </w:ins>
      <w:ins w:id="115" w:author="GK Tuesday" w:date="2015-10-15T10:58:00Z">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review th</w:t>
        </w:r>
        <w:r>
          <w:rPr>
            <w:color w:val="000000"/>
          </w:rPr>
          <w:t xml:space="preserve">e ISO’s consideration the size of the Generators in an effort to minimize </w:t>
        </w:r>
        <w:r w:rsidRPr="0065264D">
          <w:rPr>
            <w:color w:val="000000"/>
          </w:rPr>
          <w:t>impacts to markets</w:t>
        </w:r>
        <w:r>
          <w:rPr>
            <w:color w:val="000000"/>
          </w:rPr>
          <w:t xml:space="preserve">.  </w:t>
        </w:r>
      </w:ins>
      <w:ins w:id="116" w:author="Author" w:date="2015-10-12T10:56:00Z">
        <w:r>
          <w:t xml:space="preserve">If the </w:t>
        </w:r>
      </w:ins>
      <w:ins w:id="117" w:author="GK Tuesday" w:date="2015-10-15T10:58:00Z">
        <w:r>
          <w:t>RMR A</w:t>
        </w:r>
      </w:ins>
      <w:ins w:id="118" w:author="Author" w:date="2015-10-12T10:56:00Z">
        <w:r>
          <w:t xml:space="preserve">greement contains RMR Costs and an Availability and Performance Rate; </w:t>
        </w:r>
      </w:ins>
      <w:ins w:id="119" w:author="kavanah" w:date="2015-10-12T14:40:00Z">
        <w:r>
          <w:t xml:space="preserve">the report shall also review </w:t>
        </w:r>
      </w:ins>
      <w:ins w:id="120" w:author="Author" w:date="2015-10-12T10:56:00Z">
        <w:r>
          <w:t>the inputs to and ISO’s calculation of the RMR Avo</w:t>
        </w:r>
        <w:r>
          <w:t xml:space="preserve">idable Costs; and the Availability and Performance Rate.  </w:t>
        </w:r>
        <w:r>
          <w:rPr>
            <w:bCs/>
            <w:i/>
          </w:rPr>
          <w:t xml:space="preserve">See </w:t>
        </w:r>
        <w:r>
          <w:rPr>
            <w:bCs/>
          </w:rPr>
          <w:t>Section 31.2.11.1</w:t>
        </w:r>
      </w:ins>
      <w:ins w:id="121" w:author="GK Tuesday" w:date="2015-10-15T11:05:00Z">
        <w:r>
          <w:rPr>
            <w:bCs/>
          </w:rPr>
          <w:t>8</w:t>
        </w:r>
      </w:ins>
      <w:ins w:id="122" w:author="Author" w:date="2015-10-12T10:56:00Z">
        <w:r>
          <w:rPr>
            <w:bCs/>
          </w:rPr>
          <w:t>.3 of Attachment Y to the ISO OATT.</w:t>
        </w:r>
      </w:ins>
    </w:p>
    <w:p w:rsidR="004C0984" w:rsidRDefault="000D473E" w:rsidP="00F148C8">
      <w:pPr>
        <w:pStyle w:val="Heading4"/>
        <w:rPr>
          <w:ins w:id="123" w:author="Author" w:date="2015-10-12T10:58:00Z"/>
        </w:rPr>
      </w:pPr>
      <w:r>
        <w:t>30.4.6.9</w:t>
      </w:r>
      <w:r>
        <w:tab/>
        <w:t>Market Monitoring Unit responsibilities set forth in other documents that have been formally filed with the Commission</w:t>
      </w:r>
      <w:del w:id="124" w:author="zimberlin" w:date="2015-10-18T15:59:00Z">
        <w:r>
          <w:delText>.</w:delText>
        </w:r>
      </w:del>
    </w:p>
    <w:p w:rsidR="007E6CF5" w:rsidRDefault="000D473E">
      <w:pPr>
        <w:pStyle w:val="Heading4"/>
        <w:rPr>
          <w:ins w:id="125" w:author="Author" w:date="2015-10-12T11:00:00Z"/>
        </w:rPr>
      </w:pPr>
      <w:ins w:id="126" w:author="Author" w:date="2015-10-12T10:58:00Z">
        <w:r>
          <w:t>30.4.6.10</w:t>
        </w:r>
        <w:r>
          <w:tab/>
        </w:r>
        <w:r>
          <w:t xml:space="preserve">Market Monitoring Unit responsibilities set forth in the </w:t>
        </w:r>
        <w:r>
          <w:rPr>
            <w:i/>
          </w:rPr>
          <w:t>Form of Reliability Must Run Agreement</w:t>
        </w:r>
      </w:ins>
      <w:ins w:id="127" w:author="zimberlin" w:date="2015-10-18T15:59:00Z">
        <w:r>
          <w:rPr>
            <w:i/>
          </w:rPr>
          <w:t>, Appendix G to Attachment Y of the ISO OATT</w:t>
        </w:r>
      </w:ins>
    </w:p>
    <w:p w:rsidR="007E6CF5" w:rsidRDefault="000D473E">
      <w:pPr>
        <w:pStyle w:val="Bodypara"/>
        <w:widowControl/>
        <w:rPr>
          <w:ins w:id="128" w:author="Author" w:date="2015-10-12T11:00:00Z"/>
          <w:szCs w:val="24"/>
        </w:rPr>
        <w:pPrChange w:id="129" w:author="zimberlin" w:date="2015-10-18T16:09:00Z">
          <w:pPr>
            <w:spacing w:line="480" w:lineRule="auto"/>
          </w:pPr>
        </w:pPrChange>
      </w:pPr>
      <w:ins w:id="130" w:author="Author" w:date="2015-10-12T11:00:00Z">
        <w:r>
          <w:rPr>
            <w:szCs w:val="24"/>
          </w:rPr>
          <w:t>The ISO and the Market Monitoring Unit shall monitor deviations from each RMR Generator’s historic planned outage sc</w:t>
        </w:r>
        <w:r>
          <w:rPr>
            <w:szCs w:val="24"/>
          </w:rPr>
          <w:t xml:space="preserve">hedules.  Owner shall promptly respond to ISO and Market Monitoring </w:t>
        </w:r>
        <w:r w:rsidRPr="007C6C8B">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ins>
    </w:p>
    <w:p w:rsidR="00C92811" w:rsidRDefault="000D473E" w:rsidP="007C6C8B">
      <w:pPr>
        <w:pStyle w:val="Bodypara"/>
        <w:rPr>
          <w:ins w:id="131" w:author="Author" w:date="2015-10-12T11:00:00Z"/>
          <w:szCs w:val="24"/>
        </w:rPr>
      </w:pPr>
      <w:ins w:id="132" w:author="Author" w:date="2015-10-12T11:00:00Z">
        <w:r>
          <w:rPr>
            <w:szCs w:val="24"/>
          </w:rPr>
          <w:t xml:space="preserve">The ISO </w:t>
        </w:r>
        <w:r w:rsidRPr="007C6C8B">
          <w:t>and</w:t>
        </w:r>
        <w:r>
          <w:rPr>
            <w:szCs w:val="24"/>
          </w:rPr>
          <w:t xml:space="preserve"> the Market Mon</w:t>
        </w:r>
        <w:r>
          <w:rPr>
            <w:szCs w:val="24"/>
          </w:rPr>
          <w:t>itoring Unit shall monitor deviations from each RMR Generator’s historic forced outage rate.  Owner shall promptly respond to ISO and Market Monitoring Unit requests for explanations, information and data regarding or supporting forced outages, including t</w:t>
        </w:r>
        <w:r>
          <w:rPr>
            <w:szCs w:val="24"/>
          </w:rPr>
          <w:t xml:space="preserve">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ins>
    </w:p>
    <w:p w:rsidR="00C92811" w:rsidRDefault="000D473E" w:rsidP="00C92811">
      <w:pPr>
        <w:pStyle w:val="Heading41"/>
        <w:rPr>
          <w:ins w:id="133" w:author="Author" w:date="2015-10-12T11:00:00Z"/>
          <w:b w:val="0"/>
        </w:rPr>
      </w:pPr>
      <w:ins w:id="134" w:author="Author" w:date="2015-10-12T11:00:00Z">
        <w:r>
          <w:t>30.4.6.11</w:t>
        </w:r>
        <w:r>
          <w:tab/>
          <w:t xml:space="preserve">Additional Market Monitoring Unit responsibilities related to Reliability Must Run Agreements </w:t>
        </w:r>
      </w:ins>
    </w:p>
    <w:p w:rsidR="007E6CF5" w:rsidRDefault="000D473E">
      <w:pPr>
        <w:pStyle w:val="Bodypara"/>
        <w:rPr>
          <w:szCs w:val="24"/>
        </w:rPr>
        <w:pPrChange w:id="135" w:author="Author" w:date="2015-10-12T11:00:00Z">
          <w:pPr>
            <w:pStyle w:val="Heading4"/>
          </w:pPr>
        </w:pPrChange>
      </w:pPr>
      <w:ins w:id="136" w:author="Author" w:date="2015-10-12T11:00:00Z">
        <w:r>
          <w:rPr>
            <w:szCs w:val="24"/>
          </w:rPr>
          <w:t>The Market Monitoring Unit shall re</w:t>
        </w:r>
        <w:r>
          <w:rPr>
            <w:szCs w:val="24"/>
          </w:rPr>
          <w:t>view any Owner-Developed Rate that is filed with the Commission as described in Section 4.</w:t>
        </w:r>
      </w:ins>
      <w:ins w:id="137" w:author="zimberlin" w:date="2015-10-18T16:00:00Z">
        <w:r>
          <w:rPr>
            <w:szCs w:val="24"/>
          </w:rPr>
          <w:t>5</w:t>
        </w:r>
      </w:ins>
      <w:ins w:id="138" w:author="Author" w:date="2015-10-12T11:00:00Z">
        <w:r>
          <w:rPr>
            <w:szCs w:val="24"/>
          </w:rPr>
          <w:t xml:space="preserve"> of the </w:t>
        </w:r>
        <w:r>
          <w:rPr>
            <w:i/>
            <w:szCs w:val="24"/>
          </w:rPr>
          <w:t xml:space="preserve">Form of Reliability </w:t>
        </w:r>
      </w:ins>
      <w:ins w:id="139" w:author="zimberlin" w:date="2015-10-16T14:01:00Z">
        <w:r w:rsidRPr="007E6CF5">
          <w:rPr>
            <w:b/>
            <w:i/>
            <w:szCs w:val="24"/>
            <w:rPrChange w:id="140" w:author="zimberlin" w:date="2015-10-16T14:07:00Z">
              <w:rPr>
                <w:szCs w:val="24"/>
              </w:rPr>
            </w:rPrChange>
          </w:rPr>
          <w:t xml:space="preserve">Must Run </w:t>
        </w:r>
      </w:ins>
      <w:ins w:id="141" w:author="Author" w:date="2015-10-12T11:00:00Z">
        <w:r>
          <w:rPr>
            <w:i/>
            <w:szCs w:val="24"/>
          </w:rPr>
          <w:t>Agreement</w:t>
        </w:r>
        <w:r w:rsidRPr="007E6CF5">
          <w:rPr>
            <w:b/>
            <w:szCs w:val="24"/>
            <w:rPrChange w:id="142" w:author="Author" w:date="2015-10-12T11:00:00Z">
              <w:rPr>
                <w:i/>
                <w:szCs w:val="24"/>
              </w:rPr>
            </w:rPrChange>
          </w:rPr>
          <w:t xml:space="preserve">.  </w:t>
        </w:r>
        <w:r>
          <w:rPr>
            <w:szCs w:val="24"/>
          </w:rPr>
          <w:t xml:space="preserve">The Market Monitoring Unit shall intervene and participate in Commission proceedings concerning such filings.  </w:t>
        </w:r>
      </w:ins>
      <w:ins w:id="143" w:author="kavanah" w:date="2015-10-12T14:40:00Z">
        <w:r>
          <w:rPr>
            <w:szCs w:val="24"/>
          </w:rPr>
          <w:t>It</w:t>
        </w:r>
      </w:ins>
      <w:ins w:id="144" w:author="Author" w:date="2015-10-12T11:00:00Z">
        <w:r>
          <w:rPr>
            <w:szCs w:val="24"/>
          </w:rPr>
          <w:t xml:space="preserve"> shall submit, as appropriate, comments or a protest in such a proceeding describing its review and informing the Commission of whether it has found a proposed Owner Developed Rate to be consistent with, or in excess of, an RMR Generator’s full cost of ser</w:t>
        </w:r>
        <w:r>
          <w:rPr>
            <w:szCs w:val="24"/>
          </w:rPr>
          <w:t>vice.  The Market Monitoring Unit shall also inform the Commission of whether: (i) it believes the proposed Owner Developed Rate, including its terms and conditions of service, is or is not just and reasonable; and (ii) it has any other concerns with the p</w:t>
        </w:r>
        <w:r>
          <w:rPr>
            <w:szCs w:val="24"/>
          </w:rPr>
          <w:t>roposed Owner Developed Rate.</w:t>
        </w:r>
      </w:ins>
    </w:p>
    <w:p w:rsidR="004C0984" w:rsidRDefault="000D473E">
      <w:pPr>
        <w:pStyle w:val="Heading3"/>
      </w:pPr>
      <w:bookmarkStart w:id="145" w:name="_Toc261344267"/>
      <w:r>
        <w:t>30.4.7</w:t>
      </w:r>
      <w:r>
        <w:tab/>
        <w:t>Availability of Data and Resources to Market Monitoring Unit</w:t>
      </w:r>
      <w:bookmarkEnd w:id="145"/>
    </w:p>
    <w:p w:rsidR="004C0984" w:rsidRDefault="000D473E">
      <w:pPr>
        <w:pStyle w:val="romannumeralpara"/>
      </w:pPr>
      <w:r>
        <w:t>30.4.7.1</w:t>
      </w:r>
      <w:r>
        <w:tab/>
        <w:t xml:space="preserve">The ISO shall ensure that the Market Monitoring Unit has sufficient access to ISO resources, personnel and market data to enable the Market </w:t>
      </w:r>
      <w:r>
        <w:t>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0D473E">
      <w:pPr>
        <w:pStyle w:val="romannumeralpara"/>
      </w:pPr>
      <w:r>
        <w:t>30.4.7.2</w:t>
      </w:r>
      <w:r>
        <w:tab/>
        <w:t>Any data created by the Market Mo</w:t>
      </w:r>
      <w:r>
        <w:t>nitoring Unit, including but not limited to reconfiguration of the ISO’s data, will be kept within the exclusive control of the Market Monitoring Unit.  The Market Monitoring Unit may share the data it creates, subject to the limitations on distribution of</w:t>
      </w:r>
      <w:r>
        <w:t xml:space="preserve"> and obligation to protect the confidentiality of Protected Information that are contained in Attachment O, the ISO Services Tariff, and the ISO’s Code of Conduct.</w:t>
      </w:r>
    </w:p>
    <w:p w:rsidR="004C0984" w:rsidRDefault="000D473E">
      <w:pPr>
        <w:pStyle w:val="romannumeralpara"/>
      </w:pPr>
      <w:r>
        <w:t>30.4.7.3</w:t>
      </w:r>
      <w:r>
        <w:tab/>
        <w:t>Where data outside the ISO’s geographic footprint would be helpful to the Market Mo</w:t>
      </w:r>
      <w:r>
        <w:t>nitoring Unit in carrying out its duties, the Market Monitoring Unit should seek out that data (with assistance from the ISO, where appropriate).</w:t>
      </w:r>
    </w:p>
    <w:sectPr w:rsidR="004C0984" w:rsidSect="00DF60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73E">
      <w:r>
        <w:separator/>
      </w:r>
    </w:p>
  </w:endnote>
  <w:endnote w:type="continuationSeparator" w:id="0">
    <w:p w:rsidR="00000000" w:rsidRDefault="000D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73E">
      <w:r>
        <w:separator/>
      </w:r>
    </w:p>
  </w:footnote>
  <w:footnote w:type="continuationSeparator" w:id="0">
    <w:p w:rsidR="00000000" w:rsidRDefault="000D4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w:t>
    </w:r>
    <w:r>
      <w:rPr>
        <w:rFonts w:ascii="Arial" w:eastAsia="Arial" w:hAnsi="Arial" w:cs="Arial"/>
        <w:color w:val="000000"/>
        <w:sz w:val="16"/>
      </w:rPr>
      <w:t>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00" w:rsidRDefault="000D47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DE26A36">
      <w:start w:val="1"/>
      <w:numFmt w:val="bullet"/>
      <w:pStyle w:val="Bulletpara"/>
      <w:lvlText w:val=""/>
      <w:lvlJc w:val="left"/>
      <w:pPr>
        <w:tabs>
          <w:tab w:val="num" w:pos="720"/>
        </w:tabs>
        <w:ind w:left="720" w:hanging="360"/>
      </w:pPr>
      <w:rPr>
        <w:rFonts w:ascii="Symbol" w:hAnsi="Symbol" w:hint="default"/>
      </w:rPr>
    </w:lvl>
    <w:lvl w:ilvl="1" w:tplc="357E70DA" w:tentative="1">
      <w:start w:val="1"/>
      <w:numFmt w:val="bullet"/>
      <w:lvlText w:val="o"/>
      <w:lvlJc w:val="left"/>
      <w:pPr>
        <w:tabs>
          <w:tab w:val="num" w:pos="1440"/>
        </w:tabs>
        <w:ind w:left="1440" w:hanging="360"/>
      </w:pPr>
      <w:rPr>
        <w:rFonts w:ascii="Courier New" w:hAnsi="Courier New" w:cs="Courier New" w:hint="default"/>
      </w:rPr>
    </w:lvl>
    <w:lvl w:ilvl="2" w:tplc="CD524A0C" w:tentative="1">
      <w:start w:val="1"/>
      <w:numFmt w:val="bullet"/>
      <w:lvlText w:val=""/>
      <w:lvlJc w:val="left"/>
      <w:pPr>
        <w:tabs>
          <w:tab w:val="num" w:pos="2160"/>
        </w:tabs>
        <w:ind w:left="2160" w:hanging="360"/>
      </w:pPr>
      <w:rPr>
        <w:rFonts w:ascii="Wingdings" w:hAnsi="Wingdings" w:hint="default"/>
      </w:rPr>
    </w:lvl>
    <w:lvl w:ilvl="3" w:tplc="2E80622C" w:tentative="1">
      <w:start w:val="1"/>
      <w:numFmt w:val="bullet"/>
      <w:lvlText w:val=""/>
      <w:lvlJc w:val="left"/>
      <w:pPr>
        <w:tabs>
          <w:tab w:val="num" w:pos="2880"/>
        </w:tabs>
        <w:ind w:left="2880" w:hanging="360"/>
      </w:pPr>
      <w:rPr>
        <w:rFonts w:ascii="Symbol" w:hAnsi="Symbol" w:hint="default"/>
      </w:rPr>
    </w:lvl>
    <w:lvl w:ilvl="4" w:tplc="8E12E19E" w:tentative="1">
      <w:start w:val="1"/>
      <w:numFmt w:val="bullet"/>
      <w:lvlText w:val="o"/>
      <w:lvlJc w:val="left"/>
      <w:pPr>
        <w:tabs>
          <w:tab w:val="num" w:pos="3600"/>
        </w:tabs>
        <w:ind w:left="3600" w:hanging="360"/>
      </w:pPr>
      <w:rPr>
        <w:rFonts w:ascii="Courier New" w:hAnsi="Courier New" w:cs="Courier New" w:hint="default"/>
      </w:rPr>
    </w:lvl>
    <w:lvl w:ilvl="5" w:tplc="F4A863F4" w:tentative="1">
      <w:start w:val="1"/>
      <w:numFmt w:val="bullet"/>
      <w:lvlText w:val=""/>
      <w:lvlJc w:val="left"/>
      <w:pPr>
        <w:tabs>
          <w:tab w:val="num" w:pos="4320"/>
        </w:tabs>
        <w:ind w:left="4320" w:hanging="360"/>
      </w:pPr>
      <w:rPr>
        <w:rFonts w:ascii="Wingdings" w:hAnsi="Wingdings" w:hint="default"/>
      </w:rPr>
    </w:lvl>
    <w:lvl w:ilvl="6" w:tplc="2594F972" w:tentative="1">
      <w:start w:val="1"/>
      <w:numFmt w:val="bullet"/>
      <w:lvlText w:val=""/>
      <w:lvlJc w:val="left"/>
      <w:pPr>
        <w:tabs>
          <w:tab w:val="num" w:pos="5040"/>
        </w:tabs>
        <w:ind w:left="5040" w:hanging="360"/>
      </w:pPr>
      <w:rPr>
        <w:rFonts w:ascii="Symbol" w:hAnsi="Symbol" w:hint="default"/>
      </w:rPr>
    </w:lvl>
    <w:lvl w:ilvl="7" w:tplc="4D60EEB8" w:tentative="1">
      <w:start w:val="1"/>
      <w:numFmt w:val="bullet"/>
      <w:lvlText w:val="o"/>
      <w:lvlJc w:val="left"/>
      <w:pPr>
        <w:tabs>
          <w:tab w:val="num" w:pos="5760"/>
        </w:tabs>
        <w:ind w:left="5760" w:hanging="360"/>
      </w:pPr>
      <w:rPr>
        <w:rFonts w:ascii="Courier New" w:hAnsi="Courier New" w:cs="Courier New" w:hint="default"/>
      </w:rPr>
    </w:lvl>
    <w:lvl w:ilvl="8" w:tplc="CB6CA3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7B2F668">
      <w:start w:val="1"/>
      <w:numFmt w:val="bullet"/>
      <w:lvlText w:val="­"/>
      <w:lvlJc w:val="left"/>
      <w:pPr>
        <w:tabs>
          <w:tab w:val="num" w:pos="720"/>
        </w:tabs>
        <w:ind w:left="720" w:hanging="360"/>
      </w:pPr>
      <w:rPr>
        <w:rFonts w:ascii="Courier New" w:hAnsi="Courier New" w:hint="default"/>
      </w:rPr>
    </w:lvl>
    <w:lvl w:ilvl="1" w:tplc="B0EA7368" w:tentative="1">
      <w:start w:val="1"/>
      <w:numFmt w:val="bullet"/>
      <w:lvlText w:val="o"/>
      <w:lvlJc w:val="left"/>
      <w:pPr>
        <w:tabs>
          <w:tab w:val="num" w:pos="1440"/>
        </w:tabs>
        <w:ind w:left="1440" w:hanging="360"/>
      </w:pPr>
      <w:rPr>
        <w:rFonts w:ascii="Courier New" w:hAnsi="Courier New" w:cs="Courier New" w:hint="default"/>
      </w:rPr>
    </w:lvl>
    <w:lvl w:ilvl="2" w:tplc="CEA2C8D8" w:tentative="1">
      <w:start w:val="1"/>
      <w:numFmt w:val="bullet"/>
      <w:lvlText w:val=""/>
      <w:lvlJc w:val="left"/>
      <w:pPr>
        <w:tabs>
          <w:tab w:val="num" w:pos="2160"/>
        </w:tabs>
        <w:ind w:left="2160" w:hanging="360"/>
      </w:pPr>
      <w:rPr>
        <w:rFonts w:ascii="Wingdings" w:hAnsi="Wingdings" w:hint="default"/>
      </w:rPr>
    </w:lvl>
    <w:lvl w:ilvl="3" w:tplc="BCF49592" w:tentative="1">
      <w:start w:val="1"/>
      <w:numFmt w:val="bullet"/>
      <w:lvlText w:val=""/>
      <w:lvlJc w:val="left"/>
      <w:pPr>
        <w:tabs>
          <w:tab w:val="num" w:pos="2880"/>
        </w:tabs>
        <w:ind w:left="2880" w:hanging="360"/>
      </w:pPr>
      <w:rPr>
        <w:rFonts w:ascii="Symbol" w:hAnsi="Symbol" w:hint="default"/>
      </w:rPr>
    </w:lvl>
    <w:lvl w:ilvl="4" w:tplc="99165D3E" w:tentative="1">
      <w:start w:val="1"/>
      <w:numFmt w:val="bullet"/>
      <w:lvlText w:val="o"/>
      <w:lvlJc w:val="left"/>
      <w:pPr>
        <w:tabs>
          <w:tab w:val="num" w:pos="3600"/>
        </w:tabs>
        <w:ind w:left="3600" w:hanging="360"/>
      </w:pPr>
      <w:rPr>
        <w:rFonts w:ascii="Courier New" w:hAnsi="Courier New" w:cs="Courier New" w:hint="default"/>
      </w:rPr>
    </w:lvl>
    <w:lvl w:ilvl="5" w:tplc="85C2FD28" w:tentative="1">
      <w:start w:val="1"/>
      <w:numFmt w:val="bullet"/>
      <w:lvlText w:val=""/>
      <w:lvlJc w:val="left"/>
      <w:pPr>
        <w:tabs>
          <w:tab w:val="num" w:pos="4320"/>
        </w:tabs>
        <w:ind w:left="4320" w:hanging="360"/>
      </w:pPr>
      <w:rPr>
        <w:rFonts w:ascii="Wingdings" w:hAnsi="Wingdings" w:hint="default"/>
      </w:rPr>
    </w:lvl>
    <w:lvl w:ilvl="6" w:tplc="A4C8389C" w:tentative="1">
      <w:start w:val="1"/>
      <w:numFmt w:val="bullet"/>
      <w:lvlText w:val=""/>
      <w:lvlJc w:val="left"/>
      <w:pPr>
        <w:tabs>
          <w:tab w:val="num" w:pos="5040"/>
        </w:tabs>
        <w:ind w:left="5040" w:hanging="360"/>
      </w:pPr>
      <w:rPr>
        <w:rFonts w:ascii="Symbol" w:hAnsi="Symbol" w:hint="default"/>
      </w:rPr>
    </w:lvl>
    <w:lvl w:ilvl="7" w:tplc="42B81630" w:tentative="1">
      <w:start w:val="1"/>
      <w:numFmt w:val="bullet"/>
      <w:lvlText w:val="o"/>
      <w:lvlJc w:val="left"/>
      <w:pPr>
        <w:tabs>
          <w:tab w:val="num" w:pos="5760"/>
        </w:tabs>
        <w:ind w:left="5760" w:hanging="360"/>
      </w:pPr>
      <w:rPr>
        <w:rFonts w:ascii="Courier New" w:hAnsi="Courier New" w:cs="Courier New" w:hint="default"/>
      </w:rPr>
    </w:lvl>
    <w:lvl w:ilvl="8" w:tplc="8F646DA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3445054">
      <w:start w:val="1"/>
      <w:numFmt w:val="lowerRoman"/>
      <w:lvlText w:val="(%1)"/>
      <w:lvlJc w:val="left"/>
      <w:pPr>
        <w:tabs>
          <w:tab w:val="num" w:pos="2448"/>
        </w:tabs>
        <w:ind w:left="2448" w:hanging="648"/>
      </w:pPr>
      <w:rPr>
        <w:rFonts w:hint="default"/>
        <w:b w:val="0"/>
        <w:i w:val="0"/>
        <w:u w:val="none"/>
      </w:rPr>
    </w:lvl>
    <w:lvl w:ilvl="1" w:tplc="298068EA" w:tentative="1">
      <w:start w:val="1"/>
      <w:numFmt w:val="lowerLetter"/>
      <w:lvlText w:val="%2."/>
      <w:lvlJc w:val="left"/>
      <w:pPr>
        <w:tabs>
          <w:tab w:val="num" w:pos="1440"/>
        </w:tabs>
        <w:ind w:left="1440" w:hanging="360"/>
      </w:pPr>
    </w:lvl>
    <w:lvl w:ilvl="2" w:tplc="5346FA60" w:tentative="1">
      <w:start w:val="1"/>
      <w:numFmt w:val="lowerRoman"/>
      <w:lvlText w:val="%3."/>
      <w:lvlJc w:val="right"/>
      <w:pPr>
        <w:tabs>
          <w:tab w:val="num" w:pos="2160"/>
        </w:tabs>
        <w:ind w:left="2160" w:hanging="180"/>
      </w:pPr>
    </w:lvl>
    <w:lvl w:ilvl="3" w:tplc="F7ECA7D8" w:tentative="1">
      <w:start w:val="1"/>
      <w:numFmt w:val="decimal"/>
      <w:lvlText w:val="%4."/>
      <w:lvlJc w:val="left"/>
      <w:pPr>
        <w:tabs>
          <w:tab w:val="num" w:pos="2880"/>
        </w:tabs>
        <w:ind w:left="2880" w:hanging="360"/>
      </w:pPr>
    </w:lvl>
    <w:lvl w:ilvl="4" w:tplc="86DC3B84" w:tentative="1">
      <w:start w:val="1"/>
      <w:numFmt w:val="lowerLetter"/>
      <w:lvlText w:val="%5."/>
      <w:lvlJc w:val="left"/>
      <w:pPr>
        <w:tabs>
          <w:tab w:val="num" w:pos="3600"/>
        </w:tabs>
        <w:ind w:left="3600" w:hanging="360"/>
      </w:pPr>
    </w:lvl>
    <w:lvl w:ilvl="5" w:tplc="A7283342" w:tentative="1">
      <w:start w:val="1"/>
      <w:numFmt w:val="lowerRoman"/>
      <w:lvlText w:val="%6."/>
      <w:lvlJc w:val="right"/>
      <w:pPr>
        <w:tabs>
          <w:tab w:val="num" w:pos="4320"/>
        </w:tabs>
        <w:ind w:left="4320" w:hanging="180"/>
      </w:pPr>
    </w:lvl>
    <w:lvl w:ilvl="6" w:tplc="B498D400" w:tentative="1">
      <w:start w:val="1"/>
      <w:numFmt w:val="decimal"/>
      <w:lvlText w:val="%7."/>
      <w:lvlJc w:val="left"/>
      <w:pPr>
        <w:tabs>
          <w:tab w:val="num" w:pos="5040"/>
        </w:tabs>
        <w:ind w:left="5040" w:hanging="360"/>
      </w:pPr>
    </w:lvl>
    <w:lvl w:ilvl="7" w:tplc="8690CF4A" w:tentative="1">
      <w:start w:val="1"/>
      <w:numFmt w:val="lowerLetter"/>
      <w:lvlText w:val="%8."/>
      <w:lvlJc w:val="left"/>
      <w:pPr>
        <w:tabs>
          <w:tab w:val="num" w:pos="5760"/>
        </w:tabs>
        <w:ind w:left="5760" w:hanging="360"/>
      </w:pPr>
    </w:lvl>
    <w:lvl w:ilvl="8" w:tplc="FA22A0B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B13E0C16">
      <w:start w:val="1"/>
      <w:numFmt w:val="decimal"/>
      <w:lvlText w:val="%1."/>
      <w:lvlJc w:val="left"/>
      <w:pPr>
        <w:tabs>
          <w:tab w:val="num" w:pos="720"/>
        </w:tabs>
        <w:ind w:left="720" w:hanging="360"/>
      </w:pPr>
    </w:lvl>
    <w:lvl w:ilvl="1" w:tplc="190ADA66" w:tentative="1">
      <w:start w:val="1"/>
      <w:numFmt w:val="lowerLetter"/>
      <w:lvlText w:val="%2."/>
      <w:lvlJc w:val="left"/>
      <w:pPr>
        <w:tabs>
          <w:tab w:val="num" w:pos="1440"/>
        </w:tabs>
        <w:ind w:left="1440" w:hanging="360"/>
      </w:pPr>
    </w:lvl>
    <w:lvl w:ilvl="2" w:tplc="244A7FD8" w:tentative="1">
      <w:start w:val="1"/>
      <w:numFmt w:val="lowerRoman"/>
      <w:lvlText w:val="%3."/>
      <w:lvlJc w:val="right"/>
      <w:pPr>
        <w:tabs>
          <w:tab w:val="num" w:pos="2160"/>
        </w:tabs>
        <w:ind w:left="2160" w:hanging="180"/>
      </w:pPr>
    </w:lvl>
    <w:lvl w:ilvl="3" w:tplc="E1DA0FDA" w:tentative="1">
      <w:start w:val="1"/>
      <w:numFmt w:val="decimal"/>
      <w:lvlText w:val="%4."/>
      <w:lvlJc w:val="left"/>
      <w:pPr>
        <w:tabs>
          <w:tab w:val="num" w:pos="2880"/>
        </w:tabs>
        <w:ind w:left="2880" w:hanging="360"/>
      </w:pPr>
    </w:lvl>
    <w:lvl w:ilvl="4" w:tplc="5BB6F31E" w:tentative="1">
      <w:start w:val="1"/>
      <w:numFmt w:val="lowerLetter"/>
      <w:lvlText w:val="%5."/>
      <w:lvlJc w:val="left"/>
      <w:pPr>
        <w:tabs>
          <w:tab w:val="num" w:pos="3600"/>
        </w:tabs>
        <w:ind w:left="3600" w:hanging="360"/>
      </w:pPr>
    </w:lvl>
    <w:lvl w:ilvl="5" w:tplc="4D02D456" w:tentative="1">
      <w:start w:val="1"/>
      <w:numFmt w:val="lowerRoman"/>
      <w:lvlText w:val="%6."/>
      <w:lvlJc w:val="right"/>
      <w:pPr>
        <w:tabs>
          <w:tab w:val="num" w:pos="4320"/>
        </w:tabs>
        <w:ind w:left="4320" w:hanging="180"/>
      </w:pPr>
    </w:lvl>
    <w:lvl w:ilvl="6" w:tplc="7F4851F4" w:tentative="1">
      <w:start w:val="1"/>
      <w:numFmt w:val="decimal"/>
      <w:lvlText w:val="%7."/>
      <w:lvlJc w:val="left"/>
      <w:pPr>
        <w:tabs>
          <w:tab w:val="num" w:pos="5040"/>
        </w:tabs>
        <w:ind w:left="5040" w:hanging="360"/>
      </w:pPr>
    </w:lvl>
    <w:lvl w:ilvl="7" w:tplc="88E66FA8" w:tentative="1">
      <w:start w:val="1"/>
      <w:numFmt w:val="lowerLetter"/>
      <w:lvlText w:val="%8."/>
      <w:lvlJc w:val="left"/>
      <w:pPr>
        <w:tabs>
          <w:tab w:val="num" w:pos="5760"/>
        </w:tabs>
        <w:ind w:left="5760" w:hanging="360"/>
      </w:pPr>
    </w:lvl>
    <w:lvl w:ilvl="8" w:tplc="E540781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2B6BEB0">
      <w:start w:val="1"/>
      <w:numFmt w:val="bullet"/>
      <w:lvlText w:val=""/>
      <w:lvlJc w:val="left"/>
      <w:pPr>
        <w:tabs>
          <w:tab w:val="num" w:pos="5760"/>
        </w:tabs>
        <w:ind w:left="5760" w:hanging="360"/>
      </w:pPr>
      <w:rPr>
        <w:rFonts w:ascii="Symbol" w:hAnsi="Symbol" w:hint="default"/>
        <w:color w:val="auto"/>
        <w:u w:val="none"/>
      </w:rPr>
    </w:lvl>
    <w:lvl w:ilvl="1" w:tplc="EF4E39BC" w:tentative="1">
      <w:start w:val="1"/>
      <w:numFmt w:val="bullet"/>
      <w:lvlText w:val="o"/>
      <w:lvlJc w:val="left"/>
      <w:pPr>
        <w:tabs>
          <w:tab w:val="num" w:pos="3600"/>
        </w:tabs>
        <w:ind w:left="3600" w:hanging="360"/>
      </w:pPr>
      <w:rPr>
        <w:rFonts w:ascii="Courier New" w:hAnsi="Courier New" w:hint="default"/>
      </w:rPr>
    </w:lvl>
    <w:lvl w:ilvl="2" w:tplc="396EB7CC" w:tentative="1">
      <w:start w:val="1"/>
      <w:numFmt w:val="bullet"/>
      <w:lvlText w:val=""/>
      <w:lvlJc w:val="left"/>
      <w:pPr>
        <w:tabs>
          <w:tab w:val="num" w:pos="4320"/>
        </w:tabs>
        <w:ind w:left="4320" w:hanging="360"/>
      </w:pPr>
      <w:rPr>
        <w:rFonts w:ascii="Wingdings" w:hAnsi="Wingdings" w:hint="default"/>
      </w:rPr>
    </w:lvl>
    <w:lvl w:ilvl="3" w:tplc="AB9E7202">
      <w:start w:val="1"/>
      <w:numFmt w:val="bullet"/>
      <w:lvlText w:val=""/>
      <w:lvlJc w:val="left"/>
      <w:pPr>
        <w:tabs>
          <w:tab w:val="num" w:pos="5040"/>
        </w:tabs>
        <w:ind w:left="5040" w:hanging="360"/>
      </w:pPr>
      <w:rPr>
        <w:rFonts w:ascii="Symbol" w:hAnsi="Symbol" w:hint="default"/>
      </w:rPr>
    </w:lvl>
    <w:lvl w:ilvl="4" w:tplc="1EECB1D2" w:tentative="1">
      <w:start w:val="1"/>
      <w:numFmt w:val="bullet"/>
      <w:lvlText w:val="o"/>
      <w:lvlJc w:val="left"/>
      <w:pPr>
        <w:tabs>
          <w:tab w:val="num" w:pos="5760"/>
        </w:tabs>
        <w:ind w:left="5760" w:hanging="360"/>
      </w:pPr>
      <w:rPr>
        <w:rFonts w:ascii="Courier New" w:hAnsi="Courier New" w:hint="default"/>
      </w:rPr>
    </w:lvl>
    <w:lvl w:ilvl="5" w:tplc="3692FC06" w:tentative="1">
      <w:start w:val="1"/>
      <w:numFmt w:val="bullet"/>
      <w:lvlText w:val=""/>
      <w:lvlJc w:val="left"/>
      <w:pPr>
        <w:tabs>
          <w:tab w:val="num" w:pos="6480"/>
        </w:tabs>
        <w:ind w:left="6480" w:hanging="360"/>
      </w:pPr>
      <w:rPr>
        <w:rFonts w:ascii="Wingdings" w:hAnsi="Wingdings" w:hint="default"/>
      </w:rPr>
    </w:lvl>
    <w:lvl w:ilvl="6" w:tplc="367ECF6E" w:tentative="1">
      <w:start w:val="1"/>
      <w:numFmt w:val="bullet"/>
      <w:lvlText w:val=""/>
      <w:lvlJc w:val="left"/>
      <w:pPr>
        <w:tabs>
          <w:tab w:val="num" w:pos="7200"/>
        </w:tabs>
        <w:ind w:left="7200" w:hanging="360"/>
      </w:pPr>
      <w:rPr>
        <w:rFonts w:ascii="Symbol" w:hAnsi="Symbol" w:hint="default"/>
      </w:rPr>
    </w:lvl>
    <w:lvl w:ilvl="7" w:tplc="6AF6FE90" w:tentative="1">
      <w:start w:val="1"/>
      <w:numFmt w:val="bullet"/>
      <w:lvlText w:val="o"/>
      <w:lvlJc w:val="left"/>
      <w:pPr>
        <w:tabs>
          <w:tab w:val="num" w:pos="7920"/>
        </w:tabs>
        <w:ind w:left="7920" w:hanging="360"/>
      </w:pPr>
      <w:rPr>
        <w:rFonts w:ascii="Courier New" w:hAnsi="Courier New" w:hint="default"/>
      </w:rPr>
    </w:lvl>
    <w:lvl w:ilvl="8" w:tplc="868C349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D564D24">
      <w:start w:val="1"/>
      <w:numFmt w:val="decimal"/>
      <w:lvlText w:val="(%1)"/>
      <w:lvlJc w:val="left"/>
      <w:pPr>
        <w:tabs>
          <w:tab w:val="num" w:pos="2520"/>
        </w:tabs>
        <w:ind w:left="2520" w:hanging="720"/>
      </w:pPr>
      <w:rPr>
        <w:rFonts w:hint="default"/>
      </w:rPr>
    </w:lvl>
    <w:lvl w:ilvl="1" w:tplc="DF2404A8">
      <w:start w:val="1"/>
      <w:numFmt w:val="lowerRoman"/>
      <w:lvlText w:val="(%2)"/>
      <w:lvlJc w:val="left"/>
      <w:pPr>
        <w:tabs>
          <w:tab w:val="num" w:pos="1800"/>
        </w:tabs>
        <w:ind w:left="1800" w:hanging="720"/>
      </w:pPr>
      <w:rPr>
        <w:rFonts w:hint="default"/>
        <w:b w:val="0"/>
      </w:rPr>
    </w:lvl>
    <w:lvl w:ilvl="2" w:tplc="EAE27908">
      <w:start w:val="1"/>
      <w:numFmt w:val="decimal"/>
      <w:lvlText w:val="(%3)"/>
      <w:lvlJc w:val="right"/>
      <w:pPr>
        <w:tabs>
          <w:tab w:val="num" w:pos="2160"/>
        </w:tabs>
        <w:ind w:left="2160" w:hanging="180"/>
      </w:pPr>
      <w:rPr>
        <w:rFonts w:ascii="Times New Roman" w:eastAsia="Times New Roman" w:hAnsi="Times New Roman" w:cs="Times New Roman"/>
        <w:b w:val="0"/>
      </w:rPr>
    </w:lvl>
    <w:lvl w:ilvl="3" w:tplc="8A00A4A0">
      <w:start w:val="1"/>
      <w:numFmt w:val="lowerRoman"/>
      <w:lvlText w:val="(%4)"/>
      <w:lvlJc w:val="left"/>
      <w:pPr>
        <w:tabs>
          <w:tab w:val="num" w:pos="2520"/>
        </w:tabs>
        <w:ind w:left="2880" w:hanging="360"/>
      </w:pPr>
      <w:rPr>
        <w:rFonts w:hint="default"/>
        <w:b w:val="0"/>
      </w:rPr>
    </w:lvl>
    <w:lvl w:ilvl="4" w:tplc="3C088EA8" w:tentative="1">
      <w:start w:val="1"/>
      <w:numFmt w:val="lowerLetter"/>
      <w:lvlText w:val="%5."/>
      <w:lvlJc w:val="left"/>
      <w:pPr>
        <w:tabs>
          <w:tab w:val="num" w:pos="3600"/>
        </w:tabs>
        <w:ind w:left="3600" w:hanging="360"/>
      </w:pPr>
    </w:lvl>
    <w:lvl w:ilvl="5" w:tplc="42A04058" w:tentative="1">
      <w:start w:val="1"/>
      <w:numFmt w:val="lowerRoman"/>
      <w:lvlText w:val="%6."/>
      <w:lvlJc w:val="right"/>
      <w:pPr>
        <w:tabs>
          <w:tab w:val="num" w:pos="4320"/>
        </w:tabs>
        <w:ind w:left="4320" w:hanging="180"/>
      </w:pPr>
    </w:lvl>
    <w:lvl w:ilvl="6" w:tplc="ED349458" w:tentative="1">
      <w:start w:val="1"/>
      <w:numFmt w:val="decimal"/>
      <w:lvlText w:val="%7."/>
      <w:lvlJc w:val="left"/>
      <w:pPr>
        <w:tabs>
          <w:tab w:val="num" w:pos="5040"/>
        </w:tabs>
        <w:ind w:left="5040" w:hanging="360"/>
      </w:pPr>
    </w:lvl>
    <w:lvl w:ilvl="7" w:tplc="5DB4597A" w:tentative="1">
      <w:start w:val="1"/>
      <w:numFmt w:val="lowerLetter"/>
      <w:lvlText w:val="%8."/>
      <w:lvlJc w:val="left"/>
      <w:pPr>
        <w:tabs>
          <w:tab w:val="num" w:pos="5760"/>
        </w:tabs>
        <w:ind w:left="5760" w:hanging="360"/>
      </w:pPr>
    </w:lvl>
    <w:lvl w:ilvl="8" w:tplc="12F2419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2B00"/>
    <w:rsid w:val="000D473E"/>
    <w:rsid w:val="00E32B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1">
    <w:name w:val="TOC Heading1"/>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snapToGrid w:val="0"/>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2015-10-15T14:00:00Z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897362226</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REVISED: RMR MST Section 30.4</vt:lpwstr>
  </property>
  <property fmtid="{D5CDD505-2E9C-101B-9397-08002B2CF9AE}" pid="7" name="_NewReviewCycle">
    <vt:lpwstr/>
  </property>
  <property fmtid="{D5CDD505-2E9C-101B-9397-08002B2CF9AE}" pid="8" name="_PreviousAdHocReviewCycleID">
    <vt:i4>21578989</vt:i4>
  </property>
  <property fmtid="{D5CDD505-2E9C-101B-9397-08002B2CF9AE}" pid="9" name="_ReviewingToolsShownOnce">
    <vt:lpwstr/>
  </property>
</Properties>
</file>