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B1" w:rsidRDefault="00537CD2">
      <w:pPr>
        <w:pStyle w:val="Heading2"/>
      </w:pPr>
      <w:bookmarkStart w:id="0" w:name="_Toc261446089"/>
      <w:bookmarkStart w:id="1" w:name="_GoBack"/>
      <w:bookmarkEnd w:id="1"/>
      <w:r>
        <w:t>4.</w:t>
      </w:r>
      <w:r>
        <w:rPr>
          <w:iCs/>
        </w:rPr>
        <w:t>5</w:t>
      </w:r>
      <w:r>
        <w:tab/>
        <w:t>Real-Time Market Settlement</w:t>
      </w:r>
      <w:r>
        <w:rPr>
          <w:iCs/>
        </w:rPr>
        <w:t>s</w:t>
      </w:r>
      <w:bookmarkEnd w:id="0"/>
    </w:p>
    <w:p w:rsidR="007620B1" w:rsidRDefault="00537CD2">
      <w:pPr>
        <w:pStyle w:val="Bodypara"/>
      </w:pPr>
      <w:r>
        <w:t xml:space="preserve">Transmission Customers </w:t>
      </w:r>
      <w:ins w:id="2" w:author="Author" w:date="2010-09-09T13:21:00Z">
        <w:r>
          <w:t xml:space="preserve">and Customers </w:t>
        </w:r>
      </w:ins>
      <w:r>
        <w:t>taking service under th</w:t>
      </w:r>
      <w:del w:id="3" w:author="Author" w:date="2010-09-09T13:22:00Z">
        <w:r>
          <w:delText>e</w:delText>
        </w:r>
      </w:del>
      <w:ins w:id="4" w:author="Author" w:date="2010-09-09T13:22:00Z">
        <w:r>
          <w:t>is ISO Services</w:t>
        </w:r>
      </w:ins>
      <w:r>
        <w:t xml:space="preserve"> Tariff</w:t>
      </w:r>
      <w:ins w:id="5" w:author="Author" w:date="2010-09-09T13:22:00Z">
        <w:r>
          <w:t xml:space="preserve"> or the ISO OATT</w:t>
        </w:r>
      </w:ins>
      <w:r>
        <w:t xml:space="preserve">, shall be subject to the Real-Time Market Settlement.  </w:t>
      </w:r>
      <w:del w:id="6" w:author="Joy Zimberlin" w:date="2010-12-10T11:26:00Z">
        <w:r>
          <w:delText>S</w:delText>
        </w:r>
      </w:del>
      <w:del w:id="7" w:author="Author" w:date="2010-09-09T13:22:00Z">
        <w:r>
          <w:delText xml:space="preserve">ettlements for Limited Energy Storage Resources are governed by </w:delText>
        </w:r>
        <w:r>
          <w:delText>Rate Schedule 15.3 of this Services Tariff and are not governed by this Section 4.5</w:delText>
        </w:r>
      </w:del>
      <w:del w:id="8" w:author="Joy Zimberlin" w:date="2010-12-10T11:27:00Z">
        <w:r>
          <w:delText xml:space="preserve">.  </w:delText>
        </w:r>
      </w:del>
      <w:r>
        <w:t xml:space="preserve">All withdrawals and injections not scheduled on a Day-Ahead basis, including Real-Time deviations from any </w:t>
      </w:r>
      <w:ins w:id="9" w:author="Author" w:date="2010-09-09T13:22:00Z">
        <w:r>
          <w:t xml:space="preserve">Day-Ahead </w:t>
        </w:r>
      </w:ins>
      <w:del w:id="10" w:author="Author" w:date="2010-09-09T13:22:00Z">
        <w:r>
          <w:delText xml:space="preserve">Bilateral </w:delText>
        </w:r>
      </w:del>
      <w:ins w:id="11" w:author="Author" w:date="2010-09-09T13:22:00Z">
        <w:r>
          <w:t xml:space="preserve">External </w:t>
        </w:r>
      </w:ins>
      <w:r>
        <w:t>Transaction schedules, shall be su</w:t>
      </w:r>
      <w:r>
        <w:t>bject to the Real-Time Market Settlement.  Transmission Customers not taking service under this Tariff shall be subject to balancing charges as provided for under the ISO OATT.  Settlements with</w:t>
      </w:r>
      <w:ins w:id="12" w:author="Author" w:date="2010-09-14T13:14:00Z">
        <w:r>
          <w:t xml:space="preserve"> Suppliers scheduling</w:t>
        </w:r>
      </w:ins>
      <w:r>
        <w:t xml:space="preserve"> </w:t>
      </w:r>
      <w:ins w:id="13" w:author="Author" w:date="2010-09-14T13:15:00Z">
        <w:r>
          <w:t xml:space="preserve">service from </w:t>
        </w:r>
      </w:ins>
      <w:r>
        <w:t xml:space="preserve">External Suppliers </w:t>
      </w:r>
      <w:ins w:id="14" w:author="Author" w:date="2010-09-14T13:21:00Z">
        <w:r>
          <w:t>to the L</w:t>
        </w:r>
        <w:r>
          <w:t xml:space="preserve">BMP Market </w:t>
        </w:r>
      </w:ins>
      <w:r>
        <w:t xml:space="preserve">or </w:t>
      </w:r>
      <w:ins w:id="15" w:author="Author" w:date="2010-09-14T13:15:00Z">
        <w:r>
          <w:t xml:space="preserve">to </w:t>
        </w:r>
      </w:ins>
      <w:r>
        <w:t xml:space="preserve">External Loads </w:t>
      </w:r>
      <w:ins w:id="16" w:author="Author" w:date="2010-09-14T13:21:00Z">
        <w:r>
          <w:t xml:space="preserve">from the LBMP Market </w:t>
        </w:r>
      </w:ins>
      <w:r>
        <w:t xml:space="preserve">will be based upon </w:t>
      </w:r>
      <w:del w:id="17" w:author="Author" w:date="2010-09-09T13:23:00Z">
        <w:r>
          <w:delText>hourly</w:delText>
        </w:r>
      </w:del>
      <w:r>
        <w:t xml:space="preserve"> scheduled withdrawals or injections.  Real</w:t>
      </w:r>
      <w:r>
        <w:noBreakHyphen/>
        <w:t xml:space="preserve">Time Market Settlements for injections 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w:t>
      </w:r>
      <w:r>
        <w:t>e described in Rate Schedule</w:t>
      </w:r>
      <w:r>
        <w:rPr>
          <w:iCs/>
        </w:rPr>
        <w:t>s</w:t>
      </w:r>
      <w:r>
        <w:t xml:space="preserve"> 15.3</w:t>
      </w:r>
      <w:r>
        <w:rPr>
          <w:iCs/>
        </w:rPr>
        <w:t xml:space="preserve"> and 15.4, respectively</w:t>
      </w:r>
      <w:r>
        <w:t>.</w:t>
      </w:r>
    </w:p>
    <w:p w:rsidR="007620B1" w:rsidRDefault="00537CD2">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w:t>
      </w:r>
      <w:r>
        <w:t xml:space="preserve">in that </w:t>
      </w:r>
      <w:r>
        <w:rPr>
          <w:iCs/>
        </w:rPr>
        <w:t>RTD</w:t>
      </w:r>
      <w:r>
        <w:t xml:space="preserve"> interval:</w:t>
      </w:r>
    </w:p>
    <w:p w:rsidR="007620B1" w:rsidRDefault="00537CD2">
      <w:pPr>
        <w:pStyle w:val="romannumeralpara"/>
      </w:pPr>
      <w:r>
        <w:t>(i)</w:t>
      </w:r>
      <w:r>
        <w:tab/>
        <w:t>Generators providing Energy under contracts executed and effective on or before November 18, 1999 (including PURPA contracts) in which the power purchaser does not control the operation of the supply source but would be responsibl</w:t>
      </w:r>
      <w:r>
        <w:t>e for penalties for being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w:t>
      </w:r>
      <w:r>
        <w:t>articipate in the NYPP market, which will continue to be treated as TO Load modifiers under the ISO</w:t>
      </w:r>
      <w:r>
        <w:noBreakHyphen/>
        <w:t>administered markets;</w:t>
      </w:r>
    </w:p>
    <w:p w:rsidR="007620B1" w:rsidRDefault="00537CD2">
      <w:pPr>
        <w:pStyle w:val="romannumeralpara"/>
      </w:pPr>
      <w:r>
        <w:t>(ii)</w:t>
      </w:r>
      <w:r>
        <w:tab/>
        <w:t>Existing  topping turbine Generators and extraction turbine Generators producing electric Energy resulting from the supply of ste</w:t>
      </w:r>
      <w:r>
        <w:t xml:space="preserve">am to the district steam system located in </w:t>
      </w:r>
      <w:r>
        <w:lastRenderedPageBreak/>
        <w:t>New York City (LBMP Zone J) in operation on or before November 18, 1999 and/or topping or extraction turbine Generators utilized in replacing or repowering existing steam supplies from such units (in accordance wi</w:t>
      </w:r>
      <w:r>
        <w:t>th good engineering and economic design) that cannot follow schedules, up to a maximum total of 499 MW of such units.</w:t>
      </w:r>
    </w:p>
    <w:p w:rsidR="007620B1" w:rsidRDefault="00537CD2">
      <w:pPr>
        <w:pStyle w:val="Bodypara"/>
      </w:pPr>
      <w:r>
        <w:t>This procedure shall not apply to a Generator for those hours</w:t>
      </w:r>
      <w:r>
        <w:rPr>
          <w:i/>
          <w:iCs/>
        </w:rPr>
        <w:t xml:space="preserve"> </w:t>
      </w:r>
      <w:r>
        <w:t xml:space="preserve">it has </w:t>
      </w:r>
      <w:ins w:id="18" w:author="Author" w:date="2010-09-09T13:24:00Z">
        <w:r>
          <w:t xml:space="preserve">used the ISO-Committed Flexible or Self-Committed Flexible </w:t>
        </w:r>
      </w:ins>
      <w:r>
        <w:t xml:space="preserve">bid </w:t>
      </w:r>
      <w:del w:id="19" w:author="Author" w:date="2010-11-23T12:09:00Z">
        <w:r>
          <w:delText>in a m</w:delText>
        </w:r>
        <w:r>
          <w:delText>anner that indicates it is available to provide Regulation Service</w:delText>
        </w:r>
        <w:r>
          <w:rPr>
            <w:i/>
            <w:iCs/>
          </w:rPr>
          <w:delText xml:space="preserve"> </w:delText>
        </w:r>
        <w:r>
          <w:delText>or Operating Reserves</w:delText>
        </w:r>
      </w:del>
      <w:ins w:id="20" w:author="Author" w:date="2010-09-09T13:24:00Z">
        <w:r>
          <w:t>mode</w:t>
        </w:r>
      </w:ins>
      <w:r>
        <w:t xml:space="preserve">. </w:t>
      </w:r>
    </w:p>
    <w:p w:rsidR="007620B1" w:rsidRDefault="00537CD2">
      <w:pPr>
        <w:pStyle w:val="Bodypara"/>
        <w:rPr>
          <w:i/>
          <w:iCs/>
        </w:rPr>
      </w:pPr>
      <w:r>
        <w:t xml:space="preserve">In Sections 4.5.1, 4.5.2, 4.5.3, 4.5.4, 4.5.5 and 4.5.6 of this Tariff, references to Scheduled Energy Injections and Scheduled Energy Withdrawals shall </w:t>
      </w:r>
      <w:r>
        <w:t>encompass injections and withdrawals that are scheduled Day-Ahead, as well as injections and withdrawals that occur in connection with real-time</w:t>
      </w:r>
      <w:r>
        <w:rPr>
          <w:i/>
          <w:iCs/>
        </w:rPr>
        <w:t xml:space="preserve"> </w:t>
      </w:r>
      <w:r>
        <w:t>Bilateral Transactions.  In Sections 4.5.1, 4.5.3, 4.5.4 and 4.5.6 of this Tariff, references to Energy Withdra</w:t>
      </w:r>
      <w:r>
        <w:t>wals and Energy Injections shall not include Energy Withdrawals or Energy Injections in Virtual Transactions, or Energy Withdrawals or Energy Injections at Trading Hubs. Generators</w:t>
      </w:r>
      <w:ins w:id="21" w:author="Author" w:date="2010-09-09T13:25:00Z">
        <w:r>
          <w:t>, including Limited Energy Storage Resources</w:t>
        </w:r>
      </w:ins>
      <w:ins w:id="22" w:author="Joy Zimberlin" w:date="2010-12-10T11:29:00Z">
        <w:r>
          <w:t>,</w:t>
        </w:r>
      </w:ins>
      <w:r>
        <w:t xml:space="preserve"> that are providing Regulation </w:t>
      </w:r>
      <w:r>
        <w:t>Service shall not be subject to the real-time Energy market settlement provisions set forth in this Section, but shall instead be subject to the Energy settlement rules set forth in Section 15.4.6 of Rate Schedule 15.3 of this ISO Services Tariff</w:t>
      </w:r>
      <w:r>
        <w:rPr>
          <w:i/>
          <w:iCs/>
        </w:rPr>
        <w:t>.</w:t>
      </w:r>
    </w:p>
    <w:p w:rsidR="007620B1" w:rsidRDefault="00537CD2">
      <w:pPr>
        <w:pStyle w:val="Heading3"/>
      </w:pPr>
      <w:bookmarkStart w:id="23" w:name="_Toc261446090"/>
      <w:r>
        <w:t>4.5.1</w:t>
      </w:r>
      <w:r>
        <w:tab/>
        <w:t>Se</w:t>
      </w:r>
      <w:r>
        <w:t>ttlement When Actual Energy Withdrawals Exceed Scheduled Energy Withdrawals Other Than Scheduled or Actual Withdrawals in Virtual Transactions</w:t>
      </w:r>
      <w:bookmarkEnd w:id="23"/>
    </w:p>
    <w:p w:rsidR="007620B1" w:rsidRDefault="00537CD2">
      <w:pPr>
        <w:pStyle w:val="Bodypara"/>
      </w:pPr>
      <w:r>
        <w:t xml:space="preserve">When the Actual Energy Withdrawals by a Customer over an </w:t>
      </w:r>
      <w:r>
        <w:rPr>
          <w:iCs/>
        </w:rPr>
        <w:t xml:space="preserve">RTD </w:t>
      </w:r>
      <w:r>
        <w:t>interval exceed the Energy withdrawals scheduled ove</w:t>
      </w:r>
      <w:r>
        <w:t xml:space="preser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w:t>
      </w:r>
      <w:r>
        <w:t>eduled Energy Withdrawals at that Load Zone.</w:t>
      </w:r>
    </w:p>
    <w:p w:rsidR="007620B1" w:rsidRDefault="00537CD2">
      <w:pPr>
        <w:pStyle w:val="Heading3"/>
      </w:pPr>
      <w:bookmarkStart w:id="24" w:name="_Toc261446091"/>
      <w:r>
        <w:lastRenderedPageBreak/>
        <w:t>4.5.2</w:t>
      </w:r>
      <w:r>
        <w:tab/>
        <w:t>Settlement for Customers Scheduled To Sell Energy in Virtual Transactions in Load Zones</w:t>
      </w:r>
      <w:bookmarkEnd w:id="24"/>
    </w:p>
    <w:p w:rsidR="007620B1" w:rsidRDefault="00537CD2">
      <w:pPr>
        <w:pStyle w:val="Bodypara"/>
      </w:pPr>
      <w:r>
        <w:t xml:space="preserve">The Actual Energy Injection in a Load Zone by a Customer scheduled Day-Ahead to sell Energy in a Virtual Transaction </w:t>
      </w:r>
      <w:r>
        <w:t>is zero and the Customer shall pay a charge for the Energy imbalance equal to the product of: (a) the Real-Time LBMP calculated in that</w:t>
      </w:r>
      <w:r>
        <w:rPr>
          <w:u w:val="double"/>
        </w:rPr>
        <w:t xml:space="preserve"> </w:t>
      </w:r>
      <w:r>
        <w:t>hour for the applicable Load Zone; and (b) the scheduled Day-Ahead Energy Injection of the Customer for that Hour in tha</w:t>
      </w:r>
      <w:r>
        <w:t>t Load Zone.</w:t>
      </w:r>
    </w:p>
    <w:p w:rsidR="007620B1" w:rsidRDefault="00537CD2">
      <w:pPr>
        <w:pStyle w:val="Heading3"/>
      </w:pPr>
      <w:bookmarkStart w:id="25" w:name="_Toc261446092"/>
      <w:r>
        <w:t>4.5.3</w:t>
      </w:r>
      <w:r>
        <w:tab/>
        <w:t>Settlement When Actual Energy Injections are Less Than Scheduled Energy Injections or Actual Demand Reductions are Less Than Scheduled Demand Reductions</w:t>
      </w:r>
      <w:bookmarkEnd w:id="25"/>
    </w:p>
    <w:p w:rsidR="007620B1" w:rsidRDefault="00537CD2">
      <w:pPr>
        <w:pStyle w:val="Heading4"/>
      </w:pPr>
      <w:bookmarkStart w:id="26" w:name="_Toc261446093"/>
      <w:r>
        <w:t>4.5.3.1</w:t>
      </w:r>
      <w:r>
        <w:tab/>
        <w:t>General Rule</w:t>
      </w:r>
      <w:bookmarkEnd w:id="26"/>
    </w:p>
    <w:p w:rsidR="007620B1" w:rsidRDefault="00537CD2">
      <w:pPr>
        <w:pStyle w:val="Bodypara"/>
        <w:rPr>
          <w:iCs/>
        </w:rPr>
      </w:pPr>
      <w:r>
        <w:t xml:space="preserve">When the Actual Energy Injections by a Supplier over an </w:t>
      </w:r>
      <w:r>
        <w:rPr>
          <w:iCs/>
        </w:rPr>
        <w:t xml:space="preserve">RTD </w:t>
      </w:r>
      <w:r>
        <w:t>int</w:t>
      </w:r>
      <w:r>
        <w:t xml:space="preserve">erval are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w:t>
      </w:r>
      <w:r>
        <w:t>; and (b) the difference between the scheduled Day-Ahead Energy injections and the lesser of:  (i) the Actual Energy Injections at that bus; or (ii) the Supplier’s Real-Time Scheduled Energy Injection plus any Compensable Overgeneration.  If the Energy inj</w:t>
      </w:r>
      <w:r>
        <w:t xml:space="preserve">ections by a Supplier over an </w:t>
      </w:r>
      <w:r>
        <w:rPr>
          <w:iCs/>
        </w:rPr>
        <w:t xml:space="preserve">RTD </w:t>
      </w:r>
      <w:r>
        <w:t xml:space="preserve">interval are less than the Energy injections scheduled for the Supplier Day-Ahead, and if the Supplier reduced its Energy injections in response to instructions by the ISO or a Transmission Owner that were issued in order </w:t>
      </w:r>
      <w:r>
        <w:t>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7620B1" w:rsidRDefault="00537CD2">
      <w:pPr>
        <w:pStyle w:val="Heading4"/>
      </w:pPr>
      <w:bookmarkStart w:id="27" w:name="_Toc261446094"/>
      <w:r>
        <w:t>4.5.3.2</w:t>
      </w:r>
      <w:r>
        <w:tab/>
        <w:t>Failed Transactions</w:t>
      </w:r>
      <w:bookmarkEnd w:id="27"/>
    </w:p>
    <w:p w:rsidR="007620B1" w:rsidRDefault="00537CD2">
      <w:pPr>
        <w:pStyle w:val="Bodypara"/>
        <w:rPr>
          <w:iCs/>
        </w:rPr>
      </w:pPr>
      <w:r>
        <w:t xml:space="preserve">If </w:t>
      </w:r>
      <w:r>
        <w:rPr>
          <w:iCs/>
        </w:rPr>
        <w:t xml:space="preserve">an </w:t>
      </w:r>
      <w:r>
        <w:t xml:space="preserve">Energy injection scheduled by </w:t>
      </w:r>
      <w:r>
        <w:rPr>
          <w:iCs/>
        </w:rPr>
        <w:t>RTC</w:t>
      </w:r>
      <w:r>
        <w:t xml:space="preserve"> at a Proxy Generato</w:t>
      </w:r>
      <w:r>
        <w:t xml:space="preserve">r Bus </w:t>
      </w:r>
      <w:r>
        <w:rPr>
          <w:iCs/>
        </w:rPr>
        <w:t>fails in the ISO’s checkout process after RTC</w:t>
      </w:r>
      <w:r>
        <w:rPr>
          <w:iCs/>
          <w:vertAlign w:val="subscript"/>
        </w:rPr>
        <w:t>15</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In addition, if the checkout failure occurred fo</w:t>
      </w:r>
      <w:r>
        <w:rPr>
          <w:iCs/>
        </w:rPr>
        <w:t xml:space="preserve">r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w:t>
      </w:r>
      <w:r>
        <w:rPr>
          <w:iCs/>
        </w:rPr>
        <w:t xml:space="preserve">tion failed for reasons within a Supplier’s or Transmission </w:t>
      </w:r>
      <w:r>
        <w:t>Customer’s</w:t>
      </w:r>
      <w:r>
        <w:rPr>
          <w:iCs/>
        </w:rPr>
        <w:t xml:space="preserve"> control.</w:t>
      </w:r>
    </w:p>
    <w:p w:rsidR="007620B1" w:rsidRDefault="00537CD2">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w:t>
      </w:r>
      <w:r>
        <w:rPr>
          <w:iCs/>
        </w:rPr>
        <w:t>l equal:  (i) the difference computed by subtracting the actual real-time Energy injection from the amount of the Import scheduled by RTC; multiplied by (ii) the greater of the difference computed by subtracting the RTC price from the RTD price in the rele</w:t>
      </w:r>
      <w:r>
        <w:rPr>
          <w:iCs/>
        </w:rPr>
        <w:t>vant interval, or zero.</w:t>
      </w:r>
    </w:p>
    <w:p w:rsidR="007620B1" w:rsidRDefault="00537CD2">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7620B1" w:rsidRDefault="00537CD2">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the request of the ISO then the Supplier or Transmission Customer that is subjected to the Curtailment, in addition to</w:t>
      </w:r>
      <w:r>
        <w:t xml:space="preserve"> the charge for Energy Imbalance, shall be eligible to receive an Import Curtailment Guarantee Payment for its curtailed Import pursuant to Attachment J of this ISO Services Tariff.</w:t>
      </w:r>
    </w:p>
    <w:p w:rsidR="007620B1" w:rsidRDefault="00537CD2">
      <w:pPr>
        <w:pStyle w:val="Heading4"/>
      </w:pPr>
      <w:bookmarkStart w:id="28" w:name="_Toc261446095"/>
      <w:r>
        <w:t>4.5.3.3</w:t>
      </w:r>
      <w:r>
        <w:tab/>
        <w:t>Capacity Limited Resources and Energy Limited Resources</w:t>
      </w:r>
      <w:bookmarkEnd w:id="28"/>
    </w:p>
    <w:p w:rsidR="007620B1" w:rsidRDefault="00537CD2">
      <w:pPr>
        <w:pStyle w:val="Bodypara"/>
      </w:pPr>
      <w:r>
        <w:t>For any ho</w:t>
      </w:r>
      <w:r>
        <w:t>ur 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w:t>
      </w:r>
      <w:r>
        <w:t>ity Limited Resource requests a reduction for Capacity limitation reasons; and (iv) the ISO reduces the Capacity Limited Resource’s upper operating limit to a level equal to, or greater than, its bid-in upper operating limit; the imbalance charge for Energ</w:t>
      </w:r>
      <w:r>
        <w:t>y, Operating Reserve Service or Regulation Service imposed on that Capacity Limited Resource for that hour for its Day-Ahead Market obligations above its Capacity limited upper operating limit shall be equal to the product of: (a) the Real-Time price for E</w:t>
      </w:r>
      <w:r>
        <w:t>nergy, Operating Reserve Service and Regulation Service; and (b) the Capacity Limited Resource’s Day-Ahead schedule for each of these services minus the amount of these services that it has an obligation to supply pursuant to its ISO-approved schedule.  Wh</w:t>
      </w:r>
      <w:r>
        <w:t>en a Capacity Limited Resource’s Day-Ahead obligation above its Capacity limited upper operating limit is balanced as described above, any real-time variation from its obligation pursuant to its Capacity limited schedules shall be settled pursuant to the m</w:t>
      </w:r>
      <w:r>
        <w:t xml:space="preserve">ethodology set forth in </w:t>
      </w:r>
      <w:del w:id="29" w:author="Author" w:date="2010-09-09T13:27:00Z">
        <w:r>
          <w:delText xml:space="preserve">the first paragraph of this </w:delText>
        </w:r>
      </w:del>
      <w:r>
        <w:t>Section 4.5.3.</w:t>
      </w:r>
      <w:ins w:id="30" w:author="Author" w:date="2010-10-05T16:17:00Z">
        <w:r>
          <w:t>1.</w:t>
        </w:r>
      </w:ins>
    </w:p>
    <w:p w:rsidR="007620B1" w:rsidRDefault="00537CD2">
      <w:pPr>
        <w:pStyle w:val="Bodypara"/>
      </w:pPr>
      <w:r>
        <w:t>For any day in which: (i) an Energy Limited Resource is scheduled to supply Energy, Operating Reserves or Regulation Service in the Day-Ahead Market; (ii) the sum of its schedules to prov</w:t>
      </w:r>
      <w:r>
        <w:t>ide these services exceeds its bid-in Normal Upper Operating Limit; (iii) the Energy Limited Resource requests a reduction for Energy limitation reasons; and (iv) the ISO reduces the Energy Limited Resource’s Day-Ahead Emergency Upper Operating Limit</w:t>
      </w:r>
      <w:ins w:id="31" w:author="Author" w:date="2010-09-09T13:27:00Z">
        <w:r>
          <w:t xml:space="preserve"> </w:t>
        </w:r>
      </w:ins>
      <w:r>
        <w:t xml:space="preserve">to a </w:t>
      </w:r>
      <w:r>
        <w:t>limit no lower than the Normal Upper Operating Limit; the Resource may be eligible to receive a Day-Ahead Margin Assurance Payment pursuant to Attachment J of this ISO Services Tariff.</w:t>
      </w:r>
    </w:p>
    <w:p w:rsidR="007620B1" w:rsidRDefault="00537CD2">
      <w:pPr>
        <w:pStyle w:val="Heading4"/>
      </w:pPr>
      <w:bookmarkStart w:id="32" w:name="_Toc261446096"/>
      <w:r>
        <w:t>4.5.3.4</w:t>
      </w:r>
      <w:r>
        <w:tab/>
        <w:t>Demand Reductions</w:t>
      </w:r>
      <w:bookmarkEnd w:id="32"/>
    </w:p>
    <w:p w:rsidR="007620B1" w:rsidRDefault="00537CD2">
      <w:pPr>
        <w:pStyle w:val="Bodypara"/>
      </w:pPr>
      <w:r>
        <w:t>When actual Demand Reduction over an hour fro</w:t>
      </w:r>
      <w:r>
        <w:t>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33" w:name="_DV_C121"/>
      <w:r>
        <w:t>Reduction imbalance charge consist</w:t>
      </w:r>
      <w:r>
        <w:t>ing of the product of: (a) the greater of the Day-Ahead LBMP or the Real-Time LBMP for that hour and (b) the difference between the scheduled Demand Reduction and the actual Demand Reduction in that hour</w:t>
      </w:r>
      <w:r>
        <w:rPr>
          <w:iCs/>
        </w:rPr>
        <w:t>.</w:t>
      </w:r>
    </w:p>
    <w:p w:rsidR="007620B1" w:rsidRDefault="00537CD2">
      <w:pPr>
        <w:pStyle w:val="Bodypara"/>
      </w:pPr>
      <w:r>
        <w:t>When actual Demand Reduction over an hour from a De</w:t>
      </w:r>
      <w:r>
        <w:t>mand Reduction Provider that is not the LSE providing Energy service to the Demand Side Resource(s) that produced the reduction is less than the Demand Reduction scheduled over that hour, then (1) the LSE providing Energy service to the Demand Reduction Pr</w:t>
      </w:r>
      <w:r>
        <w:t>ovider’s Demand Side</w:t>
      </w:r>
      <w:r>
        <w:rPr>
          <w:rPrChange w:id="34" w:author="Joy Zimberlin" w:date="2010-12-17T15:30:00Z">
            <w:rPr>
              <w:u w:val="double"/>
            </w:rPr>
          </w:rPrChange>
        </w:rPr>
        <w:t xml:space="preserve"> </w:t>
      </w:r>
      <w:r>
        <w:t xml:space="preserve">Resource(s) shall pay a Demand Reduction imbalance charge equal to the product of (a) the Day-Ahead LBMP calculated for that hour for the applicable Load bus and (b) the difference between the scheduled Demand Reduction and the actual </w:t>
      </w:r>
      <w:r>
        <w:t>Demand Reduction at that bus in that hour, and (2) the Demand Reduction Provider will pay an amount equal to (a) the product of (i) the higher of the Day-Ahead LBMP or the Real-Time LBMP calculated for that hour for the applicable Load bus, and (ii) the di</w:t>
      </w:r>
      <w:r>
        <w:t>fference between the scheduled Demand Reduction and the actual Demand Reduction at that bus in that hour, and (b) minus the amount paid by the LSE providing service to the Demand Reduction Provider’s Demand Side Resource(s) under (1), above.</w:t>
      </w:r>
    </w:p>
    <w:p w:rsidR="007620B1" w:rsidRDefault="00537CD2">
      <w:pPr>
        <w:pStyle w:val="Heading3"/>
      </w:pPr>
      <w:bookmarkStart w:id="35" w:name="_Toc261446097"/>
      <w:r>
        <w:t>4.5.4</w:t>
      </w:r>
      <w:r>
        <w:tab/>
        <w:t>Settleme</w:t>
      </w:r>
      <w:r>
        <w:t>nt When Actual Energy Withdrawals are Less Than Scheduled Energy Withdrawals Other Than Actual or Scheduled Withdrawals in Virtual Transactions</w:t>
      </w:r>
      <w:bookmarkEnd w:id="35"/>
    </w:p>
    <w:p w:rsidR="007620B1" w:rsidRDefault="00537CD2">
      <w:pPr>
        <w:pStyle w:val="Heading4"/>
      </w:pPr>
      <w:bookmarkStart w:id="36" w:name="_Toc261446098"/>
      <w:r>
        <w:t>4.5.4.1</w:t>
      </w:r>
      <w:r>
        <w:tab/>
        <w:t>General Rules</w:t>
      </w:r>
      <w:bookmarkEnd w:id="36"/>
    </w:p>
    <w:p w:rsidR="007620B1" w:rsidRDefault="00537CD2">
      <w:pPr>
        <w:pStyle w:val="Bodypara"/>
        <w:rPr>
          <w:iCs/>
        </w:rPr>
      </w:pPr>
      <w:r>
        <w:t xml:space="preserve">When a Customer’s Actual Energy Withdrawals over an SCD interval are less than its Energy </w:t>
      </w:r>
      <w:r>
        <w:t xml:space="preserve">withdrawals scheduled Day-Ahead over that SCD interval, the Customer shall be paid the product of:  (a) the Real-Time LBMP calculated in that </w:t>
      </w:r>
      <w:r>
        <w:rPr>
          <w:iCs/>
        </w:rPr>
        <w:t xml:space="preserve">RTD </w:t>
      </w:r>
      <w:r>
        <w:t>interval for each applicable Load Zone; and (b) the difference between the Scheduled Energy Withdrawals and th</w:t>
      </w:r>
      <w:r>
        <w:t xml:space="preserve">e Actual Energy Withdrawals in that Load Zone.  </w:t>
      </w:r>
    </w:p>
    <w:p w:rsidR="007620B1" w:rsidRDefault="00537CD2">
      <w:pPr>
        <w:pStyle w:val="Heading4"/>
      </w:pPr>
      <w:bookmarkStart w:id="37" w:name="_Toc261446099"/>
      <w:r>
        <w:t>4.5.4.2</w:t>
      </w:r>
      <w:r>
        <w:tab/>
        <w:t>Failed Transactions</w:t>
      </w:r>
      <w:bookmarkEnd w:id="37"/>
    </w:p>
    <w:p w:rsidR="007620B1" w:rsidRDefault="00537CD2">
      <w:pPr>
        <w:pStyle w:val="Bodypara"/>
        <w:rPr>
          <w:iCs/>
        </w:rPr>
      </w:pPr>
      <w:r>
        <w:t xml:space="preserve">If </w:t>
      </w:r>
      <w:r>
        <w:rPr>
          <w:iCs/>
        </w:rPr>
        <w:t xml:space="preserve">an </w:t>
      </w:r>
      <w:r>
        <w:t xml:space="preserve">Energy withdrawal at a Proxy Generator Bus </w:t>
      </w:r>
      <w:r>
        <w:rPr>
          <w:iCs/>
        </w:rPr>
        <w:t>scheduled by RTC fails in the ISO’s checkout process after RTC</w:t>
      </w:r>
      <w:r>
        <w:rPr>
          <w:iCs/>
          <w:vertAlign w:val="subscript"/>
        </w:rPr>
        <w:t>15</w:t>
      </w:r>
      <w:r>
        <w:rPr>
          <w:iCs/>
        </w:rPr>
        <w:t xml:space="preserve">,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w:t>
      </w:r>
      <w:r>
        <w:rPr>
          <w:iCs/>
        </w:rPr>
        <w:t>ired to pay the “Financial Impact Charge” described below.  The ISO’s Market Mitigation and Analysis Department will determine whether the Transaction associated with a withdrawal failed for reasons within a Supplier’s or Transmission Customer’s control.</w:t>
      </w:r>
    </w:p>
    <w:p w:rsidR="007620B1" w:rsidRDefault="00537CD2">
      <w:pPr>
        <w:pStyle w:val="Bodypara"/>
        <w:rPr>
          <w:iCs/>
        </w:rPr>
      </w:pPr>
      <w:r>
        <w:rPr>
          <w:iCs/>
        </w:rPr>
        <w:t>I</w:t>
      </w:r>
      <w:r>
        <w:rPr>
          <w:iCs/>
        </w:rPr>
        <w:t xml:space="preserve">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t>
      </w:r>
      <w:r>
        <w:rPr>
          <w:iCs/>
        </w:rPr>
        <w:t>withdrawal from the amount of the Export scheduled by RTC; multiplied by (ii) the greater of the difference computed by subtracting the RTD price in the relevant interval from the RTC price, or zero.</w:t>
      </w:r>
    </w:p>
    <w:p w:rsidR="007620B1" w:rsidRDefault="00537CD2">
      <w:pPr>
        <w:pStyle w:val="Bodypara"/>
        <w:rPr>
          <w:iCs/>
        </w:rPr>
      </w:pPr>
      <w:r>
        <w:rPr>
          <w:iCs/>
        </w:rPr>
        <w:t>If a Wheel Through fails for reasons within a Supplier’s</w:t>
      </w:r>
      <w:r>
        <w:rPr>
          <w:iCs/>
        </w:rPr>
        <w:t xml:space="preserve"> or Transmission Customer’s control, the Financial Impact Charge will equal the sum of the Financial Impact Charge described in this subsection and the Financial Impact Charge described above in Section </w:t>
      </w:r>
      <w:r>
        <w:t>4.5.3.2</w:t>
      </w:r>
      <w:r>
        <w:rPr>
          <w:iCs/>
        </w:rPr>
        <w:t>.</w:t>
      </w:r>
    </w:p>
    <w:p w:rsidR="007620B1" w:rsidRDefault="00537CD2">
      <w:pPr>
        <w:pStyle w:val="Bodypara"/>
        <w:rPr>
          <w:iCs/>
        </w:rPr>
      </w:pPr>
      <w:r>
        <w:rPr>
          <w:iCs/>
        </w:rPr>
        <w:t>All Financial Impact Charges collected by th</w:t>
      </w:r>
      <w:r>
        <w:rPr>
          <w:iCs/>
        </w:rPr>
        <w:t>e ISO shall be used to reduce the charges assessed under Rate Schedule 15.1 of this ISO Services Tariff.</w:t>
      </w:r>
    </w:p>
    <w:p w:rsidR="007620B1" w:rsidRDefault="00537CD2">
      <w:pPr>
        <w:pStyle w:val="Heading3"/>
      </w:pPr>
      <w:bookmarkStart w:id="38" w:name="_Toc261446100"/>
      <w:r>
        <w:t>4.5.5</w:t>
      </w:r>
      <w:r>
        <w:tab/>
        <w:t>Settlement for Customers Scheduled To Purchase Energy in Virtual Transactions in Load Zones</w:t>
      </w:r>
      <w:bookmarkEnd w:id="38"/>
    </w:p>
    <w:p w:rsidR="007620B1" w:rsidRDefault="00537CD2">
      <w:pPr>
        <w:pStyle w:val="Bodypara"/>
      </w:pPr>
      <w:r>
        <w:t>The Actual Energy Withdrawal in a Load Zone by a Cust</w:t>
      </w:r>
      <w:r>
        <w:t>omer scheduled Day-Ahead to purchase Energy in a Virtual Transaction is zero and the Customer shall be paid the product of: (1) the Real-Time LBMP calculated in that hour for the applicable Load Zone; and (b) the scheduled Day-Ahead Energy Withdrawal of th</w:t>
      </w:r>
      <w:r>
        <w:t>e Customer for that Hour in that Load Zone.</w:t>
      </w:r>
    </w:p>
    <w:p w:rsidR="007620B1" w:rsidRDefault="00537CD2">
      <w:pPr>
        <w:pStyle w:val="Heading3"/>
      </w:pPr>
      <w:bookmarkStart w:id="39" w:name="_Toc261446101"/>
      <w:r>
        <w:t>4.5.6</w:t>
      </w:r>
      <w:r>
        <w:tab/>
        <w:t>Settlement When Actual Energy Injections Exceed Scheduled Energy Injections</w:t>
      </w:r>
      <w:bookmarkEnd w:id="39"/>
    </w:p>
    <w:p w:rsidR="007620B1" w:rsidRDefault="00537CD2">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40" w:name="_DV_M122"/>
      <w:bookmarkEnd w:id="33"/>
      <w:bookmarkEnd w:id="40"/>
      <w:r>
        <w:t>Real</w:t>
      </w:r>
      <w:r>
        <w:noBreakHyphen/>
        <w:t xml:space="preserve">Time LBMP calculated in that </w:t>
      </w:r>
      <w:r>
        <w:rPr>
          <w:iCs/>
        </w:rPr>
        <w:t xml:space="preserve">RTD </w:t>
      </w:r>
      <w:r>
        <w:t xml:space="preserve">interval for the applicable Generator bus and </w:t>
      </w:r>
      <w:bookmarkStart w:id="41" w:name="_DV_C124"/>
      <w:r>
        <w:t xml:space="preserve">(2) </w:t>
      </w:r>
      <w:bookmarkStart w:id="42" w:name="_DV_M123"/>
      <w:bookmarkEnd w:id="41"/>
      <w:bookmarkEnd w:id="42"/>
      <w:r>
        <w:t xml:space="preserve">the difference between the </w:t>
      </w:r>
      <w:bookmarkStart w:id="43" w:name="_DV_C126"/>
      <w:r>
        <w:t>lesser of (i) the Supplier’s</w:t>
      </w:r>
      <w:bookmarkStart w:id="44" w:name="_DV_M124"/>
      <w:bookmarkEnd w:id="43"/>
      <w:bookmarkEnd w:id="44"/>
      <w:r>
        <w:t xml:space="preserve"> Actual Energy </w:t>
      </w:r>
      <w:bookmarkStart w:id="45" w:name="_DV_C128"/>
      <w:r>
        <w:t>Injection or (ii) its Real-Time Schedu</w:t>
      </w:r>
      <w:r>
        <w:t xml:space="preserve">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46" w:name="_DV_M125"/>
      <w:bookmarkEnd w:id="45"/>
      <w:bookmarkEnd w:id="46"/>
      <w:r>
        <w:t xml:space="preserve"> unless</w:t>
      </w:r>
      <w:bookmarkStart w:id="47" w:name="_DV_C129"/>
      <w:r>
        <w:t xml:space="preserve"> the</w:t>
      </w:r>
      <w:bookmarkStart w:id="48" w:name="_DV_M126"/>
      <w:bookmarkEnd w:id="47"/>
      <w:bookmarkEnd w:id="48"/>
      <w:r>
        <w:t xml:space="preserve"> payment that the Supplier would receive for such injections would be negative (</w:t>
      </w:r>
      <w:r>
        <w:rPr>
          <w:u w:val="single"/>
        </w:rPr>
        <w:t>i.e.</w:t>
      </w:r>
      <w:r>
        <w:t>, u</w:t>
      </w:r>
      <w:r>
        <w:t xml:space="preserve">nless the LBMP calculated in that </w:t>
      </w:r>
      <w:r>
        <w:rPr>
          <w:iCs/>
        </w:rPr>
        <w:t xml:space="preserve">RTD </w:t>
      </w:r>
      <w:r>
        <w:t>interval at the applicable Generator’s bus is negative)</w:t>
      </w:r>
      <w:bookmarkStart w:id="49" w:name="_DV_C130"/>
      <w:r>
        <w:t xml:space="preserve"> in which case the Supplier shall be paid the product of:  (1) the Real-Time LBMP calculated in that </w:t>
      </w:r>
      <w:r>
        <w:rPr>
          <w:iCs/>
        </w:rPr>
        <w:t xml:space="preserve">RTD </w:t>
      </w:r>
      <w:r>
        <w:t>interval for the applicable Generator bus and (2) the diff</w:t>
      </w:r>
      <w:r>
        <w:t xml:space="preserve">erence between the Supplier’s Actual Energy Injection for that </w:t>
      </w:r>
      <w:r>
        <w:rPr>
          <w:iCs/>
        </w:rPr>
        <w:t xml:space="preserve">RTD </w:t>
      </w:r>
      <w:r>
        <w:t xml:space="preserve">interval and the Supplier’s Scheduled Energy Injection over that </w:t>
      </w:r>
      <w:r>
        <w:rPr>
          <w:iCs/>
        </w:rPr>
        <w:t xml:space="preserve">RTD </w:t>
      </w:r>
      <w:r>
        <w:t>interval</w:t>
      </w:r>
      <w:bookmarkStart w:id="50" w:name="_DV_M127"/>
      <w:bookmarkEnd w:id="49"/>
      <w:bookmarkEnd w:id="50"/>
      <w:r>
        <w:t xml:space="preserve">.  Suppliers shall not be compensated for Energy in excess of </w:t>
      </w:r>
      <w:bookmarkStart w:id="51" w:name="_DV_C132"/>
      <w:r>
        <w:t>their Real-Time Scheduled Energy Injections,</w:t>
      </w:r>
      <w:bookmarkStart w:id="52" w:name="_DV_M128"/>
      <w:bookmarkEnd w:id="51"/>
      <w:bookmarkEnd w:id="52"/>
      <w:r>
        <w:t xml:space="preserve"> excep</w:t>
      </w:r>
      <w:r>
        <w:t>t</w:t>
      </w:r>
      <w:bookmarkStart w:id="53" w:name="_DV_C133"/>
      <w:r>
        <w:t>:  (i) for Compensable Overgeneration; (ii)</w:t>
      </w:r>
      <w:bookmarkStart w:id="54" w:name="_DV_M129"/>
      <w:bookmarkEnd w:id="53"/>
      <w:bookmarkEnd w:id="54"/>
      <w:r>
        <w:t xml:space="preserve"> when the ISO initiates a </w:t>
      </w:r>
      <w:r>
        <w:rPr>
          <w:iCs/>
        </w:rPr>
        <w:t xml:space="preserve">large event </w:t>
      </w:r>
      <w:r>
        <w:t>reserve pickup</w:t>
      </w:r>
      <w:r>
        <w:rPr>
          <w:iCs/>
        </w:rPr>
        <w:t xml:space="preserve"> or a maximum generation pickup under RTD-CAM;</w:t>
      </w:r>
      <w:r>
        <w:t xml:space="preserve"> or</w:t>
      </w:r>
      <w:bookmarkStart w:id="55" w:name="_DV_C134"/>
      <w:r>
        <w:t xml:space="preserve"> (iii) when</w:t>
      </w:r>
      <w:bookmarkStart w:id="56" w:name="_DV_M130"/>
      <w:bookmarkEnd w:id="55"/>
      <w:bookmarkEnd w:id="56"/>
      <w:r>
        <w:t xml:space="preserve"> a Transmission Owner initiates a reserve pickup in accordance with a Reliability Rule, including a </w:t>
      </w:r>
      <w:r>
        <w:t xml:space="preserve">Local Reliability Rule.  When there is no </w:t>
      </w:r>
      <w:r>
        <w:rPr>
          <w:iCs/>
        </w:rPr>
        <w:t xml:space="preserve">large event </w:t>
      </w:r>
      <w:r>
        <w:t>reserve pickup</w:t>
      </w:r>
      <w:bookmarkStart w:id="57" w:name="_DV_C135"/>
      <w:r>
        <w:rPr>
          <w:iCs/>
        </w:rPr>
        <w:t xml:space="preserve"> or maximum generation pickup</w:t>
      </w:r>
      <w:r>
        <w:t>,</w:t>
      </w:r>
      <w:bookmarkStart w:id="58" w:name="_DV_M131"/>
      <w:bookmarkEnd w:id="57"/>
      <w:bookmarkEnd w:id="58"/>
      <w:r>
        <w:t xml:space="preserve"> or when there is </w:t>
      </w:r>
      <w:r>
        <w:rPr>
          <w:iCs/>
        </w:rPr>
        <w:t xml:space="preserve">such an instruction </w:t>
      </w:r>
      <w:r>
        <w:t xml:space="preserve">but a Supplier is not located in the area affected by the </w:t>
      </w:r>
      <w:r>
        <w:rPr>
          <w:iCs/>
        </w:rPr>
        <w:t xml:space="preserve">maximum generation </w:t>
      </w:r>
      <w:r>
        <w:t>pickup, that Supplier shall not be compensa</w:t>
      </w:r>
      <w:r>
        <w:t xml:space="preserve">ted for Energy in excess of </w:t>
      </w:r>
      <w:bookmarkStart w:id="59" w:name="_DV_C137"/>
      <w:r>
        <w:t>its</w:t>
      </w:r>
      <w:bookmarkStart w:id="60" w:name="_DV_M132"/>
      <w:bookmarkEnd w:id="59"/>
      <w:bookmarkEnd w:id="60"/>
      <w:r>
        <w:t xml:space="preserve"> Real</w:t>
      </w:r>
      <w:bookmarkStart w:id="61" w:name="_DV_C138"/>
      <w:r>
        <w:t>-</w:t>
      </w:r>
      <w:bookmarkStart w:id="62" w:name="_DV_M133"/>
      <w:bookmarkEnd w:id="61"/>
      <w:bookmarkEnd w:id="62"/>
      <w:r>
        <w:t xml:space="preserve">Time </w:t>
      </w:r>
      <w:bookmarkStart w:id="63" w:name="_DV_C140"/>
      <w:r>
        <w:t>Scheduled</w:t>
      </w:r>
      <w:bookmarkStart w:id="64" w:name="_DV_M134"/>
      <w:bookmarkEnd w:id="63"/>
      <w:bookmarkEnd w:id="64"/>
      <w:r>
        <w:t xml:space="preserve"> Energy </w:t>
      </w:r>
      <w:bookmarkStart w:id="65" w:name="_DV_C142"/>
      <w:r>
        <w:t>Injection plus any Compensable Overgeneration</w:t>
      </w:r>
      <w:bookmarkStart w:id="66" w:name="_DV_M135"/>
      <w:bookmarkEnd w:id="65"/>
      <w:bookmarkEnd w:id="66"/>
      <w:r>
        <w:t>.  When there is a reserve pickup</w:t>
      </w:r>
      <w:r>
        <w:rPr>
          <w:iCs/>
        </w:rPr>
        <w:t>, or when there is a maximum generation pickup</w:t>
      </w:r>
      <w:r>
        <w:t xml:space="preserve"> and a Supplier is </w:t>
      </w:r>
      <w:bookmarkStart w:id="67" w:name="_DV_IPM123"/>
      <w:bookmarkStart w:id="68" w:name="_DV_IPM124"/>
      <w:bookmarkStart w:id="69" w:name="_DV_IPM125"/>
      <w:bookmarkStart w:id="70" w:name="_DV_IPM126"/>
      <w:bookmarkStart w:id="71" w:name="_DV_IPM134"/>
      <w:bookmarkStart w:id="72" w:name="_DV_IPM135"/>
      <w:bookmarkStart w:id="73" w:name="_DV_M136"/>
      <w:bookmarkEnd w:id="67"/>
      <w:bookmarkEnd w:id="68"/>
      <w:bookmarkEnd w:id="69"/>
      <w:bookmarkEnd w:id="70"/>
      <w:bookmarkEnd w:id="71"/>
      <w:bookmarkEnd w:id="72"/>
      <w:bookmarkEnd w:id="73"/>
      <w:r>
        <w:t xml:space="preserve">located in the area affected by </w:t>
      </w:r>
      <w:r>
        <w:rPr>
          <w:iCs/>
        </w:rPr>
        <w:t>it</w:t>
      </w:r>
      <w:r>
        <w:t>, and the Supplier w</w:t>
      </w:r>
      <w:r>
        <w:t xml:space="preserve">as either scheduled to operate </w:t>
      </w:r>
      <w:r>
        <w:rPr>
          <w:iCs/>
        </w:rPr>
        <w:t xml:space="preserve">in RTD </w:t>
      </w:r>
      <w:r>
        <w:t xml:space="preserve">or subsequently was directed to operate by the ISO, that Supplier shall be paid based on the </w:t>
      </w:r>
      <w:bookmarkStart w:id="74" w:name="_DV_IPM136"/>
      <w:bookmarkStart w:id="75" w:name="_DV_IPM143"/>
      <w:bookmarkStart w:id="76" w:name="_DV_IPM144"/>
      <w:bookmarkStart w:id="77" w:name="_DV_M146"/>
      <w:bookmarkStart w:id="78" w:name="_DV_C210"/>
      <w:bookmarkEnd w:id="74"/>
      <w:bookmarkEnd w:id="75"/>
      <w:bookmarkEnd w:id="76"/>
      <w:bookmarkEnd w:id="77"/>
      <w:r>
        <w:t>product of:  (1) the Real</w:t>
      </w:r>
      <w:r>
        <w:noBreakHyphen/>
        <w:t xml:space="preserve">Time LBMP calculated in that </w:t>
      </w:r>
      <w:r>
        <w:rPr>
          <w:iCs/>
        </w:rPr>
        <w:t>RTD</w:t>
      </w:r>
      <w:r>
        <w:rPr>
          <w:i/>
          <w:iCs/>
        </w:rPr>
        <w:t xml:space="preserve"> </w:t>
      </w:r>
      <w:r>
        <w:t>Interval for the applicable Generator bus; and (2) the Actual Ener</w:t>
      </w:r>
      <w:r>
        <w:t>gy Injection minus the Energy injection scheduled Day</w:t>
      </w:r>
      <w:r>
        <w:noBreakHyphen/>
        <w:t xml:space="preserve">Ahead. </w:t>
      </w:r>
      <w:del w:id="79" w:author="Author" w:date="2010-11-23T12:20:00Z">
        <w:r>
          <w:delText xml:space="preserve"> Generators will not be compensated for Energy produced during their start</w:delText>
        </w:r>
        <w:r>
          <w:noBreakHyphen/>
          <w:delText>up sequence.</w:delText>
        </w:r>
      </w:del>
    </w:p>
    <w:p w:rsidR="007620B1" w:rsidRDefault="00537CD2">
      <w:pPr>
        <w:pStyle w:val="Heading3"/>
      </w:pPr>
      <w:bookmarkStart w:id="80" w:name="_Toc261446102"/>
      <w:bookmarkStart w:id="81" w:name="OLE_LINK3"/>
      <w:bookmarkStart w:id="82" w:name="OLE_LINK4"/>
      <w:r>
        <w:t>4.5.7</w:t>
      </w:r>
      <w:r>
        <w:tab/>
        <w:t>Settlement for Trading Hub Energy Owner when POI is a Trading Hub</w:t>
      </w:r>
      <w:bookmarkEnd w:id="80"/>
      <w:r>
        <w:t xml:space="preserve"> </w:t>
      </w:r>
    </w:p>
    <w:bookmarkEnd w:id="81"/>
    <w:bookmarkEnd w:id="82"/>
    <w:p w:rsidR="007620B1" w:rsidRDefault="00537CD2">
      <w:pPr>
        <w:pStyle w:val="Bodypara"/>
      </w:pPr>
      <w:r>
        <w:t xml:space="preserve">Each Trading Hub Energy Owner who </w:t>
      </w:r>
      <w:r>
        <w:t>bids a Bilateral Transaction into the Real-Time Market with a Trading Hub as its POI and has its schedule accepted by the ISO will pay the product of:  (a) the hourly integrated Real-Time LBMP for the Load Zone associated with that Trading Hub; and (b) the</w:t>
      </w:r>
      <w:r>
        <w:t xml:space="preserve"> Bilateral Transaction scheduled MW.</w:t>
      </w:r>
    </w:p>
    <w:p w:rsidR="007620B1" w:rsidRDefault="00537CD2">
      <w:pPr>
        <w:pStyle w:val="Heading3"/>
      </w:pPr>
      <w:bookmarkStart w:id="83" w:name="_Toc261446103"/>
      <w:r>
        <w:t>4.5.8</w:t>
      </w:r>
      <w:r>
        <w:tab/>
        <w:t>Settlement for Trading Hub Energy Owner when POW is a Trading Hub</w:t>
      </w:r>
      <w:bookmarkEnd w:id="83"/>
      <w:r>
        <w:t xml:space="preserve"> </w:t>
      </w:r>
    </w:p>
    <w:p w:rsidR="007620B1" w:rsidRDefault="00537CD2">
      <w:pPr>
        <w:pStyle w:val="Bodypara"/>
      </w:pPr>
      <w:r>
        <w:t>Each Trading Hub Energy Owner who bids a Bilateral Transaction into the Real-Time Market with a Trading Hub as its POW and has its schedule accept</w:t>
      </w:r>
      <w:r>
        <w:t>ed by the ISO will be paid the product of:  (a) the hourly integrated Real-Time LBMP for the Load Zone associated with that Trading Hub; and (b) the Bilateral Transaction scheduled MW.</w:t>
      </w:r>
    </w:p>
    <w:bookmarkEnd w:id="78"/>
    <w:p w:rsidR="007620B1" w:rsidRDefault="007620B1">
      <w:pPr>
        <w:pStyle w:val="romannumeralpara"/>
      </w:pPr>
    </w:p>
    <w:p w:rsidR="007620B1" w:rsidRDefault="007620B1">
      <w:pPr>
        <w:tabs>
          <w:tab w:val="right" w:pos="9360"/>
        </w:tabs>
      </w:pPr>
    </w:p>
    <w:sectPr w:rsidR="007620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CD2">
      <w:pPr>
        <w:spacing w:after="0" w:line="240" w:lineRule="auto"/>
      </w:pPr>
      <w:r>
        <w:separator/>
      </w:r>
    </w:p>
  </w:endnote>
  <w:endnote w:type="continuationSeparator" w:id="0">
    <w:p w:rsidR="00000000" w:rsidRDefault="0053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CD2">
      <w:pPr>
        <w:spacing w:after="0" w:line="240" w:lineRule="auto"/>
      </w:pPr>
      <w:r>
        <w:separator/>
      </w:r>
    </w:p>
  </w:footnote>
  <w:footnote w:type="continuationSeparator" w:id="0">
    <w:p w:rsidR="00000000" w:rsidRDefault="00537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B1" w:rsidRDefault="00537CD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8ECEE86">
      <w:start w:val="1"/>
      <w:numFmt w:val="bullet"/>
      <w:lvlText w:val=""/>
      <w:lvlJc w:val="left"/>
      <w:pPr>
        <w:tabs>
          <w:tab w:val="num" w:pos="720"/>
        </w:tabs>
        <w:ind w:left="720" w:hanging="360"/>
      </w:pPr>
      <w:rPr>
        <w:rFonts w:ascii="Symbol" w:hAnsi="Symbol" w:hint="default"/>
      </w:rPr>
    </w:lvl>
    <w:lvl w:ilvl="1" w:tplc="32E83EEA" w:tentative="1">
      <w:start w:val="1"/>
      <w:numFmt w:val="bullet"/>
      <w:lvlText w:val="o"/>
      <w:lvlJc w:val="left"/>
      <w:pPr>
        <w:tabs>
          <w:tab w:val="num" w:pos="1440"/>
        </w:tabs>
        <w:ind w:left="1440" w:hanging="360"/>
      </w:pPr>
      <w:rPr>
        <w:rFonts w:ascii="Courier New" w:hAnsi="Courier New" w:cs="Courier New" w:hint="default"/>
      </w:rPr>
    </w:lvl>
    <w:lvl w:ilvl="2" w:tplc="1DC45D14" w:tentative="1">
      <w:start w:val="1"/>
      <w:numFmt w:val="bullet"/>
      <w:lvlText w:val=""/>
      <w:lvlJc w:val="left"/>
      <w:pPr>
        <w:tabs>
          <w:tab w:val="num" w:pos="2160"/>
        </w:tabs>
        <w:ind w:left="2160" w:hanging="360"/>
      </w:pPr>
      <w:rPr>
        <w:rFonts w:ascii="Wingdings" w:hAnsi="Wingdings" w:hint="default"/>
      </w:rPr>
    </w:lvl>
    <w:lvl w:ilvl="3" w:tplc="5698621E" w:tentative="1">
      <w:start w:val="1"/>
      <w:numFmt w:val="bullet"/>
      <w:lvlText w:val=""/>
      <w:lvlJc w:val="left"/>
      <w:pPr>
        <w:tabs>
          <w:tab w:val="num" w:pos="2880"/>
        </w:tabs>
        <w:ind w:left="2880" w:hanging="360"/>
      </w:pPr>
      <w:rPr>
        <w:rFonts w:ascii="Symbol" w:hAnsi="Symbol" w:hint="default"/>
      </w:rPr>
    </w:lvl>
    <w:lvl w:ilvl="4" w:tplc="97E0D6B2" w:tentative="1">
      <w:start w:val="1"/>
      <w:numFmt w:val="bullet"/>
      <w:lvlText w:val="o"/>
      <w:lvlJc w:val="left"/>
      <w:pPr>
        <w:tabs>
          <w:tab w:val="num" w:pos="3600"/>
        </w:tabs>
        <w:ind w:left="3600" w:hanging="360"/>
      </w:pPr>
      <w:rPr>
        <w:rFonts w:ascii="Courier New" w:hAnsi="Courier New" w:cs="Courier New" w:hint="default"/>
      </w:rPr>
    </w:lvl>
    <w:lvl w:ilvl="5" w:tplc="EBDA964A" w:tentative="1">
      <w:start w:val="1"/>
      <w:numFmt w:val="bullet"/>
      <w:lvlText w:val=""/>
      <w:lvlJc w:val="left"/>
      <w:pPr>
        <w:tabs>
          <w:tab w:val="num" w:pos="4320"/>
        </w:tabs>
        <w:ind w:left="4320" w:hanging="360"/>
      </w:pPr>
      <w:rPr>
        <w:rFonts w:ascii="Wingdings" w:hAnsi="Wingdings" w:hint="default"/>
      </w:rPr>
    </w:lvl>
    <w:lvl w:ilvl="6" w:tplc="3F028A16" w:tentative="1">
      <w:start w:val="1"/>
      <w:numFmt w:val="bullet"/>
      <w:lvlText w:val=""/>
      <w:lvlJc w:val="left"/>
      <w:pPr>
        <w:tabs>
          <w:tab w:val="num" w:pos="5040"/>
        </w:tabs>
        <w:ind w:left="5040" w:hanging="360"/>
      </w:pPr>
      <w:rPr>
        <w:rFonts w:ascii="Symbol" w:hAnsi="Symbol" w:hint="default"/>
      </w:rPr>
    </w:lvl>
    <w:lvl w:ilvl="7" w:tplc="F3EE7BC4" w:tentative="1">
      <w:start w:val="1"/>
      <w:numFmt w:val="bullet"/>
      <w:lvlText w:val="o"/>
      <w:lvlJc w:val="left"/>
      <w:pPr>
        <w:tabs>
          <w:tab w:val="num" w:pos="5760"/>
        </w:tabs>
        <w:ind w:left="5760" w:hanging="360"/>
      </w:pPr>
      <w:rPr>
        <w:rFonts w:ascii="Courier New" w:hAnsi="Courier New" w:cs="Courier New" w:hint="default"/>
      </w:rPr>
    </w:lvl>
    <w:lvl w:ilvl="8" w:tplc="6C6286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9D4D672">
      <w:start w:val="1"/>
      <w:numFmt w:val="upperLetter"/>
      <w:lvlText w:val="%1."/>
      <w:lvlJc w:val="left"/>
      <w:pPr>
        <w:tabs>
          <w:tab w:val="num" w:pos="1440"/>
        </w:tabs>
        <w:ind w:left="1440" w:hanging="720"/>
      </w:pPr>
      <w:rPr>
        <w:rFonts w:hint="default"/>
      </w:rPr>
    </w:lvl>
    <w:lvl w:ilvl="1" w:tplc="4D8441DC" w:tentative="1">
      <w:start w:val="1"/>
      <w:numFmt w:val="lowerLetter"/>
      <w:lvlText w:val="%2."/>
      <w:lvlJc w:val="left"/>
      <w:pPr>
        <w:tabs>
          <w:tab w:val="num" w:pos="1800"/>
        </w:tabs>
        <w:ind w:left="1800" w:hanging="360"/>
      </w:pPr>
    </w:lvl>
    <w:lvl w:ilvl="2" w:tplc="FA5C3C60" w:tentative="1">
      <w:start w:val="1"/>
      <w:numFmt w:val="lowerRoman"/>
      <w:lvlText w:val="%3."/>
      <w:lvlJc w:val="right"/>
      <w:pPr>
        <w:tabs>
          <w:tab w:val="num" w:pos="2520"/>
        </w:tabs>
        <w:ind w:left="2520" w:hanging="180"/>
      </w:pPr>
    </w:lvl>
    <w:lvl w:ilvl="3" w:tplc="7A58ED58" w:tentative="1">
      <w:start w:val="1"/>
      <w:numFmt w:val="decimal"/>
      <w:lvlText w:val="%4."/>
      <w:lvlJc w:val="left"/>
      <w:pPr>
        <w:tabs>
          <w:tab w:val="num" w:pos="3240"/>
        </w:tabs>
        <w:ind w:left="3240" w:hanging="360"/>
      </w:pPr>
    </w:lvl>
    <w:lvl w:ilvl="4" w:tplc="E41ECE3E" w:tentative="1">
      <w:start w:val="1"/>
      <w:numFmt w:val="lowerLetter"/>
      <w:lvlText w:val="%5."/>
      <w:lvlJc w:val="left"/>
      <w:pPr>
        <w:tabs>
          <w:tab w:val="num" w:pos="3960"/>
        </w:tabs>
        <w:ind w:left="3960" w:hanging="360"/>
      </w:pPr>
    </w:lvl>
    <w:lvl w:ilvl="5" w:tplc="B8F8B71A" w:tentative="1">
      <w:start w:val="1"/>
      <w:numFmt w:val="lowerRoman"/>
      <w:lvlText w:val="%6."/>
      <w:lvlJc w:val="right"/>
      <w:pPr>
        <w:tabs>
          <w:tab w:val="num" w:pos="4680"/>
        </w:tabs>
        <w:ind w:left="4680" w:hanging="180"/>
      </w:pPr>
    </w:lvl>
    <w:lvl w:ilvl="6" w:tplc="F0FC93EE" w:tentative="1">
      <w:start w:val="1"/>
      <w:numFmt w:val="decimal"/>
      <w:lvlText w:val="%7."/>
      <w:lvlJc w:val="left"/>
      <w:pPr>
        <w:tabs>
          <w:tab w:val="num" w:pos="5400"/>
        </w:tabs>
        <w:ind w:left="5400" w:hanging="360"/>
      </w:pPr>
    </w:lvl>
    <w:lvl w:ilvl="7" w:tplc="9BF6A778" w:tentative="1">
      <w:start w:val="1"/>
      <w:numFmt w:val="lowerLetter"/>
      <w:lvlText w:val="%8."/>
      <w:lvlJc w:val="left"/>
      <w:pPr>
        <w:tabs>
          <w:tab w:val="num" w:pos="6120"/>
        </w:tabs>
        <w:ind w:left="6120" w:hanging="360"/>
      </w:pPr>
    </w:lvl>
    <w:lvl w:ilvl="8" w:tplc="59FC95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83AF19C">
      <w:start w:val="3"/>
      <w:numFmt w:val="upperLetter"/>
      <w:lvlText w:val="%1."/>
      <w:lvlJc w:val="left"/>
      <w:pPr>
        <w:tabs>
          <w:tab w:val="num" w:pos="1080"/>
        </w:tabs>
        <w:ind w:left="1080" w:hanging="360"/>
      </w:pPr>
      <w:rPr>
        <w:rFonts w:hint="default"/>
      </w:rPr>
    </w:lvl>
    <w:lvl w:ilvl="1" w:tplc="B8CCF288" w:tentative="1">
      <w:start w:val="1"/>
      <w:numFmt w:val="lowerLetter"/>
      <w:lvlText w:val="%2."/>
      <w:lvlJc w:val="left"/>
      <w:pPr>
        <w:tabs>
          <w:tab w:val="num" w:pos="1800"/>
        </w:tabs>
        <w:ind w:left="1800" w:hanging="360"/>
      </w:pPr>
    </w:lvl>
    <w:lvl w:ilvl="2" w:tplc="D034065C" w:tentative="1">
      <w:start w:val="1"/>
      <w:numFmt w:val="lowerRoman"/>
      <w:lvlText w:val="%3."/>
      <w:lvlJc w:val="right"/>
      <w:pPr>
        <w:tabs>
          <w:tab w:val="num" w:pos="2520"/>
        </w:tabs>
        <w:ind w:left="2520" w:hanging="180"/>
      </w:pPr>
    </w:lvl>
    <w:lvl w:ilvl="3" w:tplc="38D48B2E" w:tentative="1">
      <w:start w:val="1"/>
      <w:numFmt w:val="decimal"/>
      <w:lvlText w:val="%4."/>
      <w:lvlJc w:val="left"/>
      <w:pPr>
        <w:tabs>
          <w:tab w:val="num" w:pos="3240"/>
        </w:tabs>
        <w:ind w:left="3240" w:hanging="360"/>
      </w:pPr>
    </w:lvl>
    <w:lvl w:ilvl="4" w:tplc="09EE3400" w:tentative="1">
      <w:start w:val="1"/>
      <w:numFmt w:val="lowerLetter"/>
      <w:lvlText w:val="%5."/>
      <w:lvlJc w:val="left"/>
      <w:pPr>
        <w:tabs>
          <w:tab w:val="num" w:pos="3960"/>
        </w:tabs>
        <w:ind w:left="3960" w:hanging="360"/>
      </w:pPr>
    </w:lvl>
    <w:lvl w:ilvl="5" w:tplc="42B45E0C" w:tentative="1">
      <w:start w:val="1"/>
      <w:numFmt w:val="lowerRoman"/>
      <w:lvlText w:val="%6."/>
      <w:lvlJc w:val="right"/>
      <w:pPr>
        <w:tabs>
          <w:tab w:val="num" w:pos="4680"/>
        </w:tabs>
        <w:ind w:left="4680" w:hanging="180"/>
      </w:pPr>
    </w:lvl>
    <w:lvl w:ilvl="6" w:tplc="8334F234" w:tentative="1">
      <w:start w:val="1"/>
      <w:numFmt w:val="decimal"/>
      <w:lvlText w:val="%7."/>
      <w:lvlJc w:val="left"/>
      <w:pPr>
        <w:tabs>
          <w:tab w:val="num" w:pos="5400"/>
        </w:tabs>
        <w:ind w:left="5400" w:hanging="360"/>
      </w:pPr>
    </w:lvl>
    <w:lvl w:ilvl="7" w:tplc="69683042" w:tentative="1">
      <w:start w:val="1"/>
      <w:numFmt w:val="lowerLetter"/>
      <w:lvlText w:val="%8."/>
      <w:lvlJc w:val="left"/>
      <w:pPr>
        <w:tabs>
          <w:tab w:val="num" w:pos="6120"/>
        </w:tabs>
        <w:ind w:left="6120" w:hanging="360"/>
      </w:pPr>
    </w:lvl>
    <w:lvl w:ilvl="8" w:tplc="DF042C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8382654">
      <w:start w:val="1"/>
      <w:numFmt w:val="bullet"/>
      <w:pStyle w:val="Bulletpara"/>
      <w:lvlText w:val=""/>
      <w:lvlJc w:val="left"/>
      <w:pPr>
        <w:tabs>
          <w:tab w:val="num" w:pos="720"/>
        </w:tabs>
        <w:ind w:left="720" w:hanging="360"/>
      </w:pPr>
      <w:rPr>
        <w:rFonts w:ascii="Symbol" w:hAnsi="Symbol" w:hint="default"/>
      </w:rPr>
    </w:lvl>
    <w:lvl w:ilvl="1" w:tplc="BE4E70C6" w:tentative="1">
      <w:start w:val="1"/>
      <w:numFmt w:val="bullet"/>
      <w:lvlText w:val="o"/>
      <w:lvlJc w:val="left"/>
      <w:pPr>
        <w:tabs>
          <w:tab w:val="num" w:pos="1440"/>
        </w:tabs>
        <w:ind w:left="1440" w:hanging="360"/>
      </w:pPr>
      <w:rPr>
        <w:rFonts w:ascii="Courier New" w:hAnsi="Courier New" w:cs="Courier New" w:hint="default"/>
      </w:rPr>
    </w:lvl>
    <w:lvl w:ilvl="2" w:tplc="EB580F68" w:tentative="1">
      <w:start w:val="1"/>
      <w:numFmt w:val="bullet"/>
      <w:lvlText w:val=""/>
      <w:lvlJc w:val="left"/>
      <w:pPr>
        <w:tabs>
          <w:tab w:val="num" w:pos="2160"/>
        </w:tabs>
        <w:ind w:left="2160" w:hanging="360"/>
      </w:pPr>
      <w:rPr>
        <w:rFonts w:ascii="Wingdings" w:hAnsi="Wingdings" w:hint="default"/>
      </w:rPr>
    </w:lvl>
    <w:lvl w:ilvl="3" w:tplc="8A9CF73A" w:tentative="1">
      <w:start w:val="1"/>
      <w:numFmt w:val="bullet"/>
      <w:lvlText w:val=""/>
      <w:lvlJc w:val="left"/>
      <w:pPr>
        <w:tabs>
          <w:tab w:val="num" w:pos="2880"/>
        </w:tabs>
        <w:ind w:left="2880" w:hanging="360"/>
      </w:pPr>
      <w:rPr>
        <w:rFonts w:ascii="Symbol" w:hAnsi="Symbol" w:hint="default"/>
      </w:rPr>
    </w:lvl>
    <w:lvl w:ilvl="4" w:tplc="0C72CD26" w:tentative="1">
      <w:start w:val="1"/>
      <w:numFmt w:val="bullet"/>
      <w:lvlText w:val="o"/>
      <w:lvlJc w:val="left"/>
      <w:pPr>
        <w:tabs>
          <w:tab w:val="num" w:pos="3600"/>
        </w:tabs>
        <w:ind w:left="3600" w:hanging="360"/>
      </w:pPr>
      <w:rPr>
        <w:rFonts w:ascii="Courier New" w:hAnsi="Courier New" w:cs="Courier New" w:hint="default"/>
      </w:rPr>
    </w:lvl>
    <w:lvl w:ilvl="5" w:tplc="B1A0D78E" w:tentative="1">
      <w:start w:val="1"/>
      <w:numFmt w:val="bullet"/>
      <w:lvlText w:val=""/>
      <w:lvlJc w:val="left"/>
      <w:pPr>
        <w:tabs>
          <w:tab w:val="num" w:pos="4320"/>
        </w:tabs>
        <w:ind w:left="4320" w:hanging="360"/>
      </w:pPr>
      <w:rPr>
        <w:rFonts w:ascii="Wingdings" w:hAnsi="Wingdings" w:hint="default"/>
      </w:rPr>
    </w:lvl>
    <w:lvl w:ilvl="6" w:tplc="1CCE8882" w:tentative="1">
      <w:start w:val="1"/>
      <w:numFmt w:val="bullet"/>
      <w:lvlText w:val=""/>
      <w:lvlJc w:val="left"/>
      <w:pPr>
        <w:tabs>
          <w:tab w:val="num" w:pos="5040"/>
        </w:tabs>
        <w:ind w:left="5040" w:hanging="360"/>
      </w:pPr>
      <w:rPr>
        <w:rFonts w:ascii="Symbol" w:hAnsi="Symbol" w:hint="default"/>
      </w:rPr>
    </w:lvl>
    <w:lvl w:ilvl="7" w:tplc="45229B9E" w:tentative="1">
      <w:start w:val="1"/>
      <w:numFmt w:val="bullet"/>
      <w:lvlText w:val="o"/>
      <w:lvlJc w:val="left"/>
      <w:pPr>
        <w:tabs>
          <w:tab w:val="num" w:pos="5760"/>
        </w:tabs>
        <w:ind w:left="5760" w:hanging="360"/>
      </w:pPr>
      <w:rPr>
        <w:rFonts w:ascii="Courier New" w:hAnsi="Courier New" w:cs="Courier New" w:hint="default"/>
      </w:rPr>
    </w:lvl>
    <w:lvl w:ilvl="8" w:tplc="90C0B39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B00D2EE">
      <w:start w:val="2"/>
      <w:numFmt w:val="decimal"/>
      <w:lvlText w:val="(%1)"/>
      <w:lvlJc w:val="left"/>
      <w:pPr>
        <w:tabs>
          <w:tab w:val="num" w:pos="1800"/>
        </w:tabs>
        <w:ind w:left="1800" w:hanging="360"/>
      </w:pPr>
      <w:rPr>
        <w:rFonts w:hint="default"/>
        <w:b w:val="0"/>
        <w:sz w:val="24"/>
      </w:rPr>
    </w:lvl>
    <w:lvl w:ilvl="1" w:tplc="8418ED8A" w:tentative="1">
      <w:start w:val="1"/>
      <w:numFmt w:val="lowerLetter"/>
      <w:lvlText w:val="%2."/>
      <w:lvlJc w:val="left"/>
      <w:pPr>
        <w:tabs>
          <w:tab w:val="num" w:pos="2520"/>
        </w:tabs>
        <w:ind w:left="2520" w:hanging="360"/>
      </w:pPr>
    </w:lvl>
    <w:lvl w:ilvl="2" w:tplc="5CC8DBA8" w:tentative="1">
      <w:start w:val="1"/>
      <w:numFmt w:val="lowerRoman"/>
      <w:lvlText w:val="%3."/>
      <w:lvlJc w:val="right"/>
      <w:pPr>
        <w:tabs>
          <w:tab w:val="num" w:pos="3240"/>
        </w:tabs>
        <w:ind w:left="3240" w:hanging="180"/>
      </w:pPr>
    </w:lvl>
    <w:lvl w:ilvl="3" w:tplc="63B47084" w:tentative="1">
      <w:start w:val="1"/>
      <w:numFmt w:val="decimal"/>
      <w:lvlText w:val="%4."/>
      <w:lvlJc w:val="left"/>
      <w:pPr>
        <w:tabs>
          <w:tab w:val="num" w:pos="3960"/>
        </w:tabs>
        <w:ind w:left="3960" w:hanging="360"/>
      </w:pPr>
    </w:lvl>
    <w:lvl w:ilvl="4" w:tplc="D69CBFC6" w:tentative="1">
      <w:start w:val="1"/>
      <w:numFmt w:val="lowerLetter"/>
      <w:lvlText w:val="%5."/>
      <w:lvlJc w:val="left"/>
      <w:pPr>
        <w:tabs>
          <w:tab w:val="num" w:pos="4680"/>
        </w:tabs>
        <w:ind w:left="4680" w:hanging="360"/>
      </w:pPr>
    </w:lvl>
    <w:lvl w:ilvl="5" w:tplc="C69ABBBA" w:tentative="1">
      <w:start w:val="1"/>
      <w:numFmt w:val="lowerRoman"/>
      <w:lvlText w:val="%6."/>
      <w:lvlJc w:val="right"/>
      <w:pPr>
        <w:tabs>
          <w:tab w:val="num" w:pos="5400"/>
        </w:tabs>
        <w:ind w:left="5400" w:hanging="180"/>
      </w:pPr>
    </w:lvl>
    <w:lvl w:ilvl="6" w:tplc="3F9CC752" w:tentative="1">
      <w:start w:val="1"/>
      <w:numFmt w:val="decimal"/>
      <w:lvlText w:val="%7."/>
      <w:lvlJc w:val="left"/>
      <w:pPr>
        <w:tabs>
          <w:tab w:val="num" w:pos="6120"/>
        </w:tabs>
        <w:ind w:left="6120" w:hanging="360"/>
      </w:pPr>
    </w:lvl>
    <w:lvl w:ilvl="7" w:tplc="3ADED8A4" w:tentative="1">
      <w:start w:val="1"/>
      <w:numFmt w:val="lowerLetter"/>
      <w:lvlText w:val="%8."/>
      <w:lvlJc w:val="left"/>
      <w:pPr>
        <w:tabs>
          <w:tab w:val="num" w:pos="6840"/>
        </w:tabs>
        <w:ind w:left="6840" w:hanging="360"/>
      </w:pPr>
    </w:lvl>
    <w:lvl w:ilvl="8" w:tplc="B20ADDA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8DA30FC">
      <w:start w:val="1"/>
      <w:numFmt w:val="decimal"/>
      <w:lvlText w:val="(%1)"/>
      <w:lvlJc w:val="left"/>
      <w:pPr>
        <w:tabs>
          <w:tab w:val="num" w:pos="2160"/>
        </w:tabs>
        <w:ind w:left="2160" w:hanging="720"/>
      </w:pPr>
      <w:rPr>
        <w:rFonts w:hint="default"/>
      </w:rPr>
    </w:lvl>
    <w:lvl w:ilvl="1" w:tplc="C3540C22" w:tentative="1">
      <w:start w:val="1"/>
      <w:numFmt w:val="lowerLetter"/>
      <w:lvlText w:val="%2."/>
      <w:lvlJc w:val="left"/>
      <w:pPr>
        <w:tabs>
          <w:tab w:val="num" w:pos="2520"/>
        </w:tabs>
        <w:ind w:left="2520" w:hanging="360"/>
      </w:pPr>
    </w:lvl>
    <w:lvl w:ilvl="2" w:tplc="DF1CCFFE" w:tentative="1">
      <w:start w:val="1"/>
      <w:numFmt w:val="lowerRoman"/>
      <w:lvlText w:val="%3."/>
      <w:lvlJc w:val="right"/>
      <w:pPr>
        <w:tabs>
          <w:tab w:val="num" w:pos="3240"/>
        </w:tabs>
        <w:ind w:left="3240" w:hanging="180"/>
      </w:pPr>
    </w:lvl>
    <w:lvl w:ilvl="3" w:tplc="C722FFA6" w:tentative="1">
      <w:start w:val="1"/>
      <w:numFmt w:val="decimal"/>
      <w:lvlText w:val="%4."/>
      <w:lvlJc w:val="left"/>
      <w:pPr>
        <w:tabs>
          <w:tab w:val="num" w:pos="3960"/>
        </w:tabs>
        <w:ind w:left="3960" w:hanging="360"/>
      </w:pPr>
    </w:lvl>
    <w:lvl w:ilvl="4" w:tplc="517EB0BE" w:tentative="1">
      <w:start w:val="1"/>
      <w:numFmt w:val="lowerLetter"/>
      <w:lvlText w:val="%5."/>
      <w:lvlJc w:val="left"/>
      <w:pPr>
        <w:tabs>
          <w:tab w:val="num" w:pos="4680"/>
        </w:tabs>
        <w:ind w:left="4680" w:hanging="360"/>
      </w:pPr>
    </w:lvl>
    <w:lvl w:ilvl="5" w:tplc="E61EA6E2" w:tentative="1">
      <w:start w:val="1"/>
      <w:numFmt w:val="lowerRoman"/>
      <w:lvlText w:val="%6."/>
      <w:lvlJc w:val="right"/>
      <w:pPr>
        <w:tabs>
          <w:tab w:val="num" w:pos="5400"/>
        </w:tabs>
        <w:ind w:left="5400" w:hanging="180"/>
      </w:pPr>
    </w:lvl>
    <w:lvl w:ilvl="6" w:tplc="DE96C6F8" w:tentative="1">
      <w:start w:val="1"/>
      <w:numFmt w:val="decimal"/>
      <w:lvlText w:val="%7."/>
      <w:lvlJc w:val="left"/>
      <w:pPr>
        <w:tabs>
          <w:tab w:val="num" w:pos="6120"/>
        </w:tabs>
        <w:ind w:left="6120" w:hanging="360"/>
      </w:pPr>
    </w:lvl>
    <w:lvl w:ilvl="7" w:tplc="C24C5986" w:tentative="1">
      <w:start w:val="1"/>
      <w:numFmt w:val="lowerLetter"/>
      <w:lvlText w:val="%8."/>
      <w:lvlJc w:val="left"/>
      <w:pPr>
        <w:tabs>
          <w:tab w:val="num" w:pos="6840"/>
        </w:tabs>
        <w:ind w:left="6840" w:hanging="360"/>
      </w:pPr>
    </w:lvl>
    <w:lvl w:ilvl="8" w:tplc="C82010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452BB9E">
      <w:start w:val="1"/>
      <w:numFmt w:val="lowerRoman"/>
      <w:lvlText w:val="(%1)"/>
      <w:lvlJc w:val="left"/>
      <w:pPr>
        <w:tabs>
          <w:tab w:val="num" w:pos="1440"/>
        </w:tabs>
        <w:ind w:left="1440" w:hanging="720"/>
      </w:pPr>
      <w:rPr>
        <w:rFonts w:hint="default"/>
      </w:rPr>
    </w:lvl>
    <w:lvl w:ilvl="1" w:tplc="3C7819C6" w:tentative="1">
      <w:start w:val="1"/>
      <w:numFmt w:val="lowerLetter"/>
      <w:lvlText w:val="%2."/>
      <w:lvlJc w:val="left"/>
      <w:pPr>
        <w:tabs>
          <w:tab w:val="num" w:pos="1800"/>
        </w:tabs>
        <w:ind w:left="1800" w:hanging="360"/>
      </w:pPr>
    </w:lvl>
    <w:lvl w:ilvl="2" w:tplc="2D2C4722" w:tentative="1">
      <w:start w:val="1"/>
      <w:numFmt w:val="lowerRoman"/>
      <w:lvlText w:val="%3."/>
      <w:lvlJc w:val="right"/>
      <w:pPr>
        <w:tabs>
          <w:tab w:val="num" w:pos="2520"/>
        </w:tabs>
        <w:ind w:left="2520" w:hanging="180"/>
      </w:pPr>
    </w:lvl>
    <w:lvl w:ilvl="3" w:tplc="48F8AF68" w:tentative="1">
      <w:start w:val="1"/>
      <w:numFmt w:val="decimal"/>
      <w:lvlText w:val="%4."/>
      <w:lvlJc w:val="left"/>
      <w:pPr>
        <w:tabs>
          <w:tab w:val="num" w:pos="3240"/>
        </w:tabs>
        <w:ind w:left="3240" w:hanging="360"/>
      </w:pPr>
    </w:lvl>
    <w:lvl w:ilvl="4" w:tplc="A0429020" w:tentative="1">
      <w:start w:val="1"/>
      <w:numFmt w:val="lowerLetter"/>
      <w:lvlText w:val="%5."/>
      <w:lvlJc w:val="left"/>
      <w:pPr>
        <w:tabs>
          <w:tab w:val="num" w:pos="3960"/>
        </w:tabs>
        <w:ind w:left="3960" w:hanging="360"/>
      </w:pPr>
    </w:lvl>
    <w:lvl w:ilvl="5" w:tplc="988E21A2" w:tentative="1">
      <w:start w:val="1"/>
      <w:numFmt w:val="lowerRoman"/>
      <w:lvlText w:val="%6."/>
      <w:lvlJc w:val="right"/>
      <w:pPr>
        <w:tabs>
          <w:tab w:val="num" w:pos="4680"/>
        </w:tabs>
        <w:ind w:left="4680" w:hanging="180"/>
      </w:pPr>
    </w:lvl>
    <w:lvl w:ilvl="6" w:tplc="9B661D6A" w:tentative="1">
      <w:start w:val="1"/>
      <w:numFmt w:val="decimal"/>
      <w:lvlText w:val="%7."/>
      <w:lvlJc w:val="left"/>
      <w:pPr>
        <w:tabs>
          <w:tab w:val="num" w:pos="5400"/>
        </w:tabs>
        <w:ind w:left="5400" w:hanging="360"/>
      </w:pPr>
    </w:lvl>
    <w:lvl w:ilvl="7" w:tplc="D8C218C8" w:tentative="1">
      <w:start w:val="1"/>
      <w:numFmt w:val="lowerLetter"/>
      <w:lvlText w:val="%8."/>
      <w:lvlJc w:val="left"/>
      <w:pPr>
        <w:tabs>
          <w:tab w:val="num" w:pos="6120"/>
        </w:tabs>
        <w:ind w:left="6120" w:hanging="360"/>
      </w:pPr>
    </w:lvl>
    <w:lvl w:ilvl="8" w:tplc="097E642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3CCF9FE">
      <w:start w:val="1"/>
      <w:numFmt w:val="lowerRoman"/>
      <w:lvlText w:val="(%1)"/>
      <w:lvlJc w:val="left"/>
      <w:pPr>
        <w:tabs>
          <w:tab w:val="num" w:pos="2448"/>
        </w:tabs>
        <w:ind w:left="2448" w:hanging="648"/>
      </w:pPr>
      <w:rPr>
        <w:rFonts w:hint="default"/>
        <w:b w:val="0"/>
        <w:i w:val="0"/>
        <w:u w:val="none"/>
      </w:rPr>
    </w:lvl>
    <w:lvl w:ilvl="1" w:tplc="41B06BC0" w:tentative="1">
      <w:start w:val="1"/>
      <w:numFmt w:val="lowerLetter"/>
      <w:lvlText w:val="%2."/>
      <w:lvlJc w:val="left"/>
      <w:pPr>
        <w:tabs>
          <w:tab w:val="num" w:pos="1440"/>
        </w:tabs>
        <w:ind w:left="1440" w:hanging="360"/>
      </w:pPr>
    </w:lvl>
    <w:lvl w:ilvl="2" w:tplc="0332015E" w:tentative="1">
      <w:start w:val="1"/>
      <w:numFmt w:val="lowerRoman"/>
      <w:lvlText w:val="%3."/>
      <w:lvlJc w:val="right"/>
      <w:pPr>
        <w:tabs>
          <w:tab w:val="num" w:pos="2160"/>
        </w:tabs>
        <w:ind w:left="2160" w:hanging="180"/>
      </w:pPr>
    </w:lvl>
    <w:lvl w:ilvl="3" w:tplc="F4806102" w:tentative="1">
      <w:start w:val="1"/>
      <w:numFmt w:val="decimal"/>
      <w:lvlText w:val="%4."/>
      <w:lvlJc w:val="left"/>
      <w:pPr>
        <w:tabs>
          <w:tab w:val="num" w:pos="2880"/>
        </w:tabs>
        <w:ind w:left="2880" w:hanging="360"/>
      </w:pPr>
    </w:lvl>
    <w:lvl w:ilvl="4" w:tplc="2044446C" w:tentative="1">
      <w:start w:val="1"/>
      <w:numFmt w:val="lowerLetter"/>
      <w:lvlText w:val="%5."/>
      <w:lvlJc w:val="left"/>
      <w:pPr>
        <w:tabs>
          <w:tab w:val="num" w:pos="3600"/>
        </w:tabs>
        <w:ind w:left="3600" w:hanging="360"/>
      </w:pPr>
    </w:lvl>
    <w:lvl w:ilvl="5" w:tplc="42CE2C14" w:tentative="1">
      <w:start w:val="1"/>
      <w:numFmt w:val="lowerRoman"/>
      <w:lvlText w:val="%6."/>
      <w:lvlJc w:val="right"/>
      <w:pPr>
        <w:tabs>
          <w:tab w:val="num" w:pos="4320"/>
        </w:tabs>
        <w:ind w:left="4320" w:hanging="180"/>
      </w:pPr>
    </w:lvl>
    <w:lvl w:ilvl="6" w:tplc="879AA850" w:tentative="1">
      <w:start w:val="1"/>
      <w:numFmt w:val="decimal"/>
      <w:lvlText w:val="%7."/>
      <w:lvlJc w:val="left"/>
      <w:pPr>
        <w:tabs>
          <w:tab w:val="num" w:pos="5040"/>
        </w:tabs>
        <w:ind w:left="5040" w:hanging="360"/>
      </w:pPr>
    </w:lvl>
    <w:lvl w:ilvl="7" w:tplc="71205126" w:tentative="1">
      <w:start w:val="1"/>
      <w:numFmt w:val="lowerLetter"/>
      <w:lvlText w:val="%8."/>
      <w:lvlJc w:val="left"/>
      <w:pPr>
        <w:tabs>
          <w:tab w:val="num" w:pos="5760"/>
        </w:tabs>
        <w:ind w:left="5760" w:hanging="360"/>
      </w:pPr>
    </w:lvl>
    <w:lvl w:ilvl="8" w:tplc="9B66407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DCE05C0">
      <w:start w:val="1"/>
      <w:numFmt w:val="lowerLetter"/>
      <w:lvlText w:val="%1."/>
      <w:lvlJc w:val="left"/>
      <w:pPr>
        <w:tabs>
          <w:tab w:val="num" w:pos="2160"/>
        </w:tabs>
        <w:ind w:left="2160" w:hanging="720"/>
      </w:pPr>
      <w:rPr>
        <w:rFonts w:hint="default"/>
      </w:rPr>
    </w:lvl>
    <w:lvl w:ilvl="1" w:tplc="16C00A10" w:tentative="1">
      <w:start w:val="1"/>
      <w:numFmt w:val="lowerLetter"/>
      <w:lvlText w:val="%2."/>
      <w:lvlJc w:val="left"/>
      <w:pPr>
        <w:tabs>
          <w:tab w:val="num" w:pos="2520"/>
        </w:tabs>
        <w:ind w:left="2520" w:hanging="360"/>
      </w:pPr>
    </w:lvl>
    <w:lvl w:ilvl="2" w:tplc="55947348" w:tentative="1">
      <w:start w:val="1"/>
      <w:numFmt w:val="lowerRoman"/>
      <w:lvlText w:val="%3."/>
      <w:lvlJc w:val="right"/>
      <w:pPr>
        <w:tabs>
          <w:tab w:val="num" w:pos="3240"/>
        </w:tabs>
        <w:ind w:left="3240" w:hanging="180"/>
      </w:pPr>
    </w:lvl>
    <w:lvl w:ilvl="3" w:tplc="0436E2D4" w:tentative="1">
      <w:start w:val="1"/>
      <w:numFmt w:val="decimal"/>
      <w:lvlText w:val="%4."/>
      <w:lvlJc w:val="left"/>
      <w:pPr>
        <w:tabs>
          <w:tab w:val="num" w:pos="3960"/>
        </w:tabs>
        <w:ind w:left="3960" w:hanging="360"/>
      </w:pPr>
    </w:lvl>
    <w:lvl w:ilvl="4" w:tplc="6D887BBE" w:tentative="1">
      <w:start w:val="1"/>
      <w:numFmt w:val="lowerLetter"/>
      <w:lvlText w:val="%5."/>
      <w:lvlJc w:val="left"/>
      <w:pPr>
        <w:tabs>
          <w:tab w:val="num" w:pos="4680"/>
        </w:tabs>
        <w:ind w:left="4680" w:hanging="360"/>
      </w:pPr>
    </w:lvl>
    <w:lvl w:ilvl="5" w:tplc="B7FA61F8" w:tentative="1">
      <w:start w:val="1"/>
      <w:numFmt w:val="lowerRoman"/>
      <w:lvlText w:val="%6."/>
      <w:lvlJc w:val="right"/>
      <w:pPr>
        <w:tabs>
          <w:tab w:val="num" w:pos="5400"/>
        </w:tabs>
        <w:ind w:left="5400" w:hanging="180"/>
      </w:pPr>
    </w:lvl>
    <w:lvl w:ilvl="6" w:tplc="D77C520A" w:tentative="1">
      <w:start w:val="1"/>
      <w:numFmt w:val="decimal"/>
      <w:lvlText w:val="%7."/>
      <w:lvlJc w:val="left"/>
      <w:pPr>
        <w:tabs>
          <w:tab w:val="num" w:pos="6120"/>
        </w:tabs>
        <w:ind w:left="6120" w:hanging="360"/>
      </w:pPr>
    </w:lvl>
    <w:lvl w:ilvl="7" w:tplc="9F2A8A3A" w:tentative="1">
      <w:start w:val="1"/>
      <w:numFmt w:val="lowerLetter"/>
      <w:lvlText w:val="%8."/>
      <w:lvlJc w:val="left"/>
      <w:pPr>
        <w:tabs>
          <w:tab w:val="num" w:pos="6840"/>
        </w:tabs>
        <w:ind w:left="6840" w:hanging="360"/>
      </w:pPr>
    </w:lvl>
    <w:lvl w:ilvl="8" w:tplc="4B4C0C6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DF44B7A">
      <w:start w:val="1"/>
      <w:numFmt w:val="bullet"/>
      <w:lvlText w:val=""/>
      <w:lvlJc w:val="left"/>
      <w:pPr>
        <w:tabs>
          <w:tab w:val="num" w:pos="5760"/>
        </w:tabs>
        <w:ind w:left="5760" w:hanging="360"/>
      </w:pPr>
      <w:rPr>
        <w:rFonts w:ascii="Symbol" w:hAnsi="Symbol" w:hint="default"/>
        <w:color w:val="auto"/>
        <w:u w:val="none"/>
      </w:rPr>
    </w:lvl>
    <w:lvl w:ilvl="1" w:tplc="F9085300" w:tentative="1">
      <w:start w:val="1"/>
      <w:numFmt w:val="bullet"/>
      <w:lvlText w:val="o"/>
      <w:lvlJc w:val="left"/>
      <w:pPr>
        <w:tabs>
          <w:tab w:val="num" w:pos="3600"/>
        </w:tabs>
        <w:ind w:left="3600" w:hanging="360"/>
      </w:pPr>
      <w:rPr>
        <w:rFonts w:ascii="Courier New" w:hAnsi="Courier New" w:hint="default"/>
      </w:rPr>
    </w:lvl>
    <w:lvl w:ilvl="2" w:tplc="B44E96E8" w:tentative="1">
      <w:start w:val="1"/>
      <w:numFmt w:val="bullet"/>
      <w:lvlText w:val=""/>
      <w:lvlJc w:val="left"/>
      <w:pPr>
        <w:tabs>
          <w:tab w:val="num" w:pos="4320"/>
        </w:tabs>
        <w:ind w:left="4320" w:hanging="360"/>
      </w:pPr>
      <w:rPr>
        <w:rFonts w:ascii="Wingdings" w:hAnsi="Wingdings" w:hint="default"/>
      </w:rPr>
    </w:lvl>
    <w:lvl w:ilvl="3" w:tplc="DEA267A6">
      <w:start w:val="1"/>
      <w:numFmt w:val="bullet"/>
      <w:lvlText w:val=""/>
      <w:lvlJc w:val="left"/>
      <w:pPr>
        <w:tabs>
          <w:tab w:val="num" w:pos="5040"/>
        </w:tabs>
        <w:ind w:left="5040" w:hanging="360"/>
      </w:pPr>
      <w:rPr>
        <w:rFonts w:ascii="Symbol" w:hAnsi="Symbol" w:hint="default"/>
      </w:rPr>
    </w:lvl>
    <w:lvl w:ilvl="4" w:tplc="CD68BFBA" w:tentative="1">
      <w:start w:val="1"/>
      <w:numFmt w:val="bullet"/>
      <w:lvlText w:val="o"/>
      <w:lvlJc w:val="left"/>
      <w:pPr>
        <w:tabs>
          <w:tab w:val="num" w:pos="5760"/>
        </w:tabs>
        <w:ind w:left="5760" w:hanging="360"/>
      </w:pPr>
      <w:rPr>
        <w:rFonts w:ascii="Courier New" w:hAnsi="Courier New" w:hint="default"/>
      </w:rPr>
    </w:lvl>
    <w:lvl w:ilvl="5" w:tplc="BB2C3EDA" w:tentative="1">
      <w:start w:val="1"/>
      <w:numFmt w:val="bullet"/>
      <w:lvlText w:val=""/>
      <w:lvlJc w:val="left"/>
      <w:pPr>
        <w:tabs>
          <w:tab w:val="num" w:pos="6480"/>
        </w:tabs>
        <w:ind w:left="6480" w:hanging="360"/>
      </w:pPr>
      <w:rPr>
        <w:rFonts w:ascii="Wingdings" w:hAnsi="Wingdings" w:hint="default"/>
      </w:rPr>
    </w:lvl>
    <w:lvl w:ilvl="6" w:tplc="7C206CA0" w:tentative="1">
      <w:start w:val="1"/>
      <w:numFmt w:val="bullet"/>
      <w:lvlText w:val=""/>
      <w:lvlJc w:val="left"/>
      <w:pPr>
        <w:tabs>
          <w:tab w:val="num" w:pos="7200"/>
        </w:tabs>
        <w:ind w:left="7200" w:hanging="360"/>
      </w:pPr>
      <w:rPr>
        <w:rFonts w:ascii="Symbol" w:hAnsi="Symbol" w:hint="default"/>
      </w:rPr>
    </w:lvl>
    <w:lvl w:ilvl="7" w:tplc="B6FC5C00" w:tentative="1">
      <w:start w:val="1"/>
      <w:numFmt w:val="bullet"/>
      <w:lvlText w:val="o"/>
      <w:lvlJc w:val="left"/>
      <w:pPr>
        <w:tabs>
          <w:tab w:val="num" w:pos="7920"/>
        </w:tabs>
        <w:ind w:left="7920" w:hanging="360"/>
      </w:pPr>
      <w:rPr>
        <w:rFonts w:ascii="Courier New" w:hAnsi="Courier New" w:hint="default"/>
      </w:rPr>
    </w:lvl>
    <w:lvl w:ilvl="8" w:tplc="DDA20C3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FD23574">
      <w:start w:val="1"/>
      <w:numFmt w:val="bullet"/>
      <w:lvlText w:val=""/>
      <w:lvlJc w:val="left"/>
      <w:pPr>
        <w:tabs>
          <w:tab w:val="num" w:pos="720"/>
        </w:tabs>
        <w:ind w:left="720" w:hanging="360"/>
      </w:pPr>
      <w:rPr>
        <w:rFonts w:ascii="Symbol" w:hAnsi="Symbol" w:hint="default"/>
      </w:rPr>
    </w:lvl>
    <w:lvl w:ilvl="1" w:tplc="15328D5E" w:tentative="1">
      <w:start w:val="1"/>
      <w:numFmt w:val="bullet"/>
      <w:lvlText w:val="o"/>
      <w:lvlJc w:val="left"/>
      <w:pPr>
        <w:tabs>
          <w:tab w:val="num" w:pos="1440"/>
        </w:tabs>
        <w:ind w:left="1440" w:hanging="360"/>
      </w:pPr>
      <w:rPr>
        <w:rFonts w:ascii="Courier New" w:hAnsi="Courier New" w:hint="default"/>
      </w:rPr>
    </w:lvl>
    <w:lvl w:ilvl="2" w:tplc="E05CCE0E" w:tentative="1">
      <w:start w:val="1"/>
      <w:numFmt w:val="bullet"/>
      <w:lvlText w:val=""/>
      <w:lvlJc w:val="left"/>
      <w:pPr>
        <w:tabs>
          <w:tab w:val="num" w:pos="2160"/>
        </w:tabs>
        <w:ind w:left="2160" w:hanging="360"/>
      </w:pPr>
      <w:rPr>
        <w:rFonts w:ascii="Wingdings" w:hAnsi="Wingdings" w:hint="default"/>
      </w:rPr>
    </w:lvl>
    <w:lvl w:ilvl="3" w:tplc="93F6B332" w:tentative="1">
      <w:start w:val="1"/>
      <w:numFmt w:val="bullet"/>
      <w:lvlText w:val=""/>
      <w:lvlJc w:val="left"/>
      <w:pPr>
        <w:tabs>
          <w:tab w:val="num" w:pos="2880"/>
        </w:tabs>
        <w:ind w:left="2880" w:hanging="360"/>
      </w:pPr>
      <w:rPr>
        <w:rFonts w:ascii="Symbol" w:hAnsi="Symbol" w:hint="default"/>
      </w:rPr>
    </w:lvl>
    <w:lvl w:ilvl="4" w:tplc="0414DB10" w:tentative="1">
      <w:start w:val="1"/>
      <w:numFmt w:val="bullet"/>
      <w:lvlText w:val="o"/>
      <w:lvlJc w:val="left"/>
      <w:pPr>
        <w:tabs>
          <w:tab w:val="num" w:pos="3600"/>
        </w:tabs>
        <w:ind w:left="3600" w:hanging="360"/>
      </w:pPr>
      <w:rPr>
        <w:rFonts w:ascii="Courier New" w:hAnsi="Courier New" w:hint="default"/>
      </w:rPr>
    </w:lvl>
    <w:lvl w:ilvl="5" w:tplc="9B92AAFA" w:tentative="1">
      <w:start w:val="1"/>
      <w:numFmt w:val="bullet"/>
      <w:lvlText w:val=""/>
      <w:lvlJc w:val="left"/>
      <w:pPr>
        <w:tabs>
          <w:tab w:val="num" w:pos="4320"/>
        </w:tabs>
        <w:ind w:left="4320" w:hanging="360"/>
      </w:pPr>
      <w:rPr>
        <w:rFonts w:ascii="Wingdings" w:hAnsi="Wingdings" w:hint="default"/>
      </w:rPr>
    </w:lvl>
    <w:lvl w:ilvl="6" w:tplc="D2C8BBA0" w:tentative="1">
      <w:start w:val="1"/>
      <w:numFmt w:val="bullet"/>
      <w:lvlText w:val=""/>
      <w:lvlJc w:val="left"/>
      <w:pPr>
        <w:tabs>
          <w:tab w:val="num" w:pos="5040"/>
        </w:tabs>
        <w:ind w:left="5040" w:hanging="360"/>
      </w:pPr>
      <w:rPr>
        <w:rFonts w:ascii="Symbol" w:hAnsi="Symbol" w:hint="default"/>
      </w:rPr>
    </w:lvl>
    <w:lvl w:ilvl="7" w:tplc="83D60978" w:tentative="1">
      <w:start w:val="1"/>
      <w:numFmt w:val="bullet"/>
      <w:lvlText w:val="o"/>
      <w:lvlJc w:val="left"/>
      <w:pPr>
        <w:tabs>
          <w:tab w:val="num" w:pos="5760"/>
        </w:tabs>
        <w:ind w:left="5760" w:hanging="360"/>
      </w:pPr>
      <w:rPr>
        <w:rFonts w:ascii="Courier New" w:hAnsi="Courier New" w:hint="default"/>
      </w:rPr>
    </w:lvl>
    <w:lvl w:ilvl="8" w:tplc="BC9AD05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66CC174">
      <w:start w:val="6"/>
      <w:numFmt w:val="lowerRoman"/>
      <w:lvlText w:val="(%1)"/>
      <w:lvlJc w:val="left"/>
      <w:pPr>
        <w:tabs>
          <w:tab w:val="num" w:pos="1440"/>
        </w:tabs>
        <w:ind w:left="1440" w:hanging="720"/>
      </w:pPr>
      <w:rPr>
        <w:rFonts w:hint="default"/>
        <w:u w:val="double"/>
      </w:rPr>
    </w:lvl>
    <w:lvl w:ilvl="1" w:tplc="35848CF0" w:tentative="1">
      <w:start w:val="1"/>
      <w:numFmt w:val="lowerLetter"/>
      <w:lvlText w:val="%2."/>
      <w:lvlJc w:val="left"/>
      <w:pPr>
        <w:tabs>
          <w:tab w:val="num" w:pos="1800"/>
        </w:tabs>
        <w:ind w:left="1800" w:hanging="360"/>
      </w:pPr>
    </w:lvl>
    <w:lvl w:ilvl="2" w:tplc="724AE170" w:tentative="1">
      <w:start w:val="1"/>
      <w:numFmt w:val="lowerRoman"/>
      <w:lvlText w:val="%3."/>
      <w:lvlJc w:val="right"/>
      <w:pPr>
        <w:tabs>
          <w:tab w:val="num" w:pos="2520"/>
        </w:tabs>
        <w:ind w:left="2520" w:hanging="180"/>
      </w:pPr>
    </w:lvl>
    <w:lvl w:ilvl="3" w:tplc="3ACE82C2" w:tentative="1">
      <w:start w:val="1"/>
      <w:numFmt w:val="decimal"/>
      <w:lvlText w:val="%4."/>
      <w:lvlJc w:val="left"/>
      <w:pPr>
        <w:tabs>
          <w:tab w:val="num" w:pos="3240"/>
        </w:tabs>
        <w:ind w:left="3240" w:hanging="360"/>
      </w:pPr>
    </w:lvl>
    <w:lvl w:ilvl="4" w:tplc="F11EB550" w:tentative="1">
      <w:start w:val="1"/>
      <w:numFmt w:val="lowerLetter"/>
      <w:lvlText w:val="%5."/>
      <w:lvlJc w:val="left"/>
      <w:pPr>
        <w:tabs>
          <w:tab w:val="num" w:pos="3960"/>
        </w:tabs>
        <w:ind w:left="3960" w:hanging="360"/>
      </w:pPr>
    </w:lvl>
    <w:lvl w:ilvl="5" w:tplc="6A000676" w:tentative="1">
      <w:start w:val="1"/>
      <w:numFmt w:val="lowerRoman"/>
      <w:lvlText w:val="%6."/>
      <w:lvlJc w:val="right"/>
      <w:pPr>
        <w:tabs>
          <w:tab w:val="num" w:pos="4680"/>
        </w:tabs>
        <w:ind w:left="4680" w:hanging="180"/>
      </w:pPr>
    </w:lvl>
    <w:lvl w:ilvl="6" w:tplc="58FC4C26" w:tentative="1">
      <w:start w:val="1"/>
      <w:numFmt w:val="decimal"/>
      <w:lvlText w:val="%7."/>
      <w:lvlJc w:val="left"/>
      <w:pPr>
        <w:tabs>
          <w:tab w:val="num" w:pos="5400"/>
        </w:tabs>
        <w:ind w:left="5400" w:hanging="360"/>
      </w:pPr>
    </w:lvl>
    <w:lvl w:ilvl="7" w:tplc="E07EDCC4" w:tentative="1">
      <w:start w:val="1"/>
      <w:numFmt w:val="lowerLetter"/>
      <w:lvlText w:val="%8."/>
      <w:lvlJc w:val="left"/>
      <w:pPr>
        <w:tabs>
          <w:tab w:val="num" w:pos="6120"/>
        </w:tabs>
        <w:ind w:left="6120" w:hanging="360"/>
      </w:pPr>
    </w:lvl>
    <w:lvl w:ilvl="8" w:tplc="CA022F8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0B1"/>
    <w:rsid w:val="00537CD2"/>
    <w:rsid w:val="0076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ED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2566</Words>
  <Characters>14629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Joy Zimberlin</dc:creator>
  <cp:lastModifiedBy>TMSServices Starter</cp:lastModifiedBy>
  <cp:revision>2</cp:revision>
  <cp:lastPrinted>2010-12-08T16:24:00Z</cp:lastPrinted>
  <dcterms:created xsi:type="dcterms:W3CDTF">2018-09-17T09:48:00Z</dcterms:created>
  <dcterms:modified xsi:type="dcterms:W3CDTF">2018-09-17T09:48:00Z</dcterms:modified>
</cp:coreProperties>
</file>