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318" w:rsidRDefault="00DA0D68">
      <w:pPr>
        <w:pStyle w:val="Heading2"/>
      </w:pPr>
      <w:bookmarkStart w:id="0" w:name="_Toc261446012"/>
      <w:bookmarkStart w:id="1" w:name="_GoBack"/>
      <w:bookmarkEnd w:id="1"/>
      <w:r>
        <w:t>2.20</w:t>
      </w:r>
      <w:r>
        <w:tab/>
        <w:t>Definitions - T</w:t>
      </w:r>
      <w:bookmarkEnd w:id="0"/>
    </w:p>
    <w:p w:rsidR="000B0318" w:rsidRDefault="00DA0D68">
      <w:pPr>
        <w:pStyle w:val="Definition"/>
        <w:rPr>
          <w:bCs/>
        </w:rPr>
      </w:pPr>
      <w:r>
        <w:rPr>
          <w:b/>
        </w:rPr>
        <w:t>Tangible Net Worth</w:t>
      </w:r>
      <w:r>
        <w:t xml:space="preserve">: </w:t>
      </w:r>
      <w:r>
        <w:rPr>
          <w:bCs/>
        </w:rPr>
        <w:t xml:space="preserve">The value, determined by the ISO, of all of a Customer’s assets less both: (i) the amount of the Customer’s liabilities and (ii) all of the Customer’s intangible assets, including, but not limited to, patents, </w:t>
      </w:r>
      <w:r>
        <w:rPr>
          <w:bCs/>
        </w:rPr>
        <w:t>trademarks, franchises, intellectual property, and goodwill.</w:t>
      </w:r>
    </w:p>
    <w:p w:rsidR="000B0318" w:rsidRDefault="00DA0D68">
      <w:pPr>
        <w:pStyle w:val="Definition"/>
      </w:pPr>
      <w:r>
        <w:rPr>
          <w:b/>
        </w:rPr>
        <w:t>Testing Period</w:t>
      </w:r>
      <w:r>
        <w:t>: An ISO approved period of time during which a Generator is testing equipment and during which unstable operation prevents the unit from accurately following its base points.</w:t>
      </w:r>
    </w:p>
    <w:p w:rsidR="000B0318" w:rsidRDefault="00DA0D68">
      <w:pPr>
        <w:pStyle w:val="Definition"/>
      </w:pPr>
      <w:r>
        <w:rPr>
          <w:b/>
        </w:rPr>
        <w:t>Third</w:t>
      </w:r>
      <w:r>
        <w:rPr>
          <w:b/>
        </w:rPr>
        <w:t xml:space="preserve"> Party Transmission Wheeling Agreements ("Third Party TWAs")</w:t>
      </w:r>
      <w:r>
        <w:t>: A Transmission Wheeling Agreement, as amended, between Transmission Owner or between a Transmission Owner and an entity that is not a Transmission Owner associated with the purchase (or sale) of</w:t>
      </w:r>
      <w:r>
        <w:t xml:space="preserve"> Energy, Capacity, and/or Ancillary Services for the benefit of an entity that is not a Transmission Owner.  These agreements are listed in Table 1 of Attachment L to the ISO OATT.</w:t>
      </w:r>
    </w:p>
    <w:p w:rsidR="000B0318" w:rsidRDefault="00DA0D68">
      <w:pPr>
        <w:pStyle w:val="Definition"/>
        <w:rPr>
          <w:b/>
          <w:u w:val="double"/>
        </w:rPr>
      </w:pPr>
      <w:r>
        <w:rPr>
          <w:b/>
        </w:rPr>
        <w:t>Total Transfer Capability ("TTC")</w:t>
      </w:r>
      <w:r>
        <w:t>: The amount of electric power that can be</w:t>
      </w:r>
      <w:r>
        <w:t xml:space="preserve"> transferred over the interconnected transmission network in a reliable manner</w:t>
      </w:r>
      <w:r>
        <w:rPr>
          <w:b/>
        </w:rPr>
        <w:t>.</w:t>
      </w:r>
    </w:p>
    <w:p w:rsidR="000B0318" w:rsidRDefault="00DA0D68">
      <w:pPr>
        <w:pStyle w:val="Definition"/>
      </w:pPr>
      <w:r>
        <w:rPr>
          <w:b/>
        </w:rPr>
        <w:t>Trading Hub</w:t>
      </w:r>
      <w:r>
        <w:t>: A virtual location in a given Load Zone, modeled as a Generator bus and/or Load bus, for scheduling Bilateral Transactions in which both the POI and POW are locate</w:t>
      </w:r>
      <w:r>
        <w:t xml:space="preserve">d within the NYCA.  </w:t>
      </w:r>
    </w:p>
    <w:p w:rsidR="000B0318" w:rsidRDefault="00DA0D68">
      <w:pPr>
        <w:pStyle w:val="Definition"/>
      </w:pPr>
      <w:r>
        <w:rPr>
          <w:b/>
        </w:rPr>
        <w:t>Trading Hub Energy Owner</w:t>
      </w:r>
      <w:r>
        <w:t xml:space="preserve">: A Customer who buys energy in a Bilateral Transaction in which the POW is a Trading Hub, or who sells energy in a Bilateral Transaction in which the POI is a Trading Hub.  </w:t>
      </w:r>
    </w:p>
    <w:p w:rsidR="000B0318" w:rsidRDefault="00DA0D68">
      <w:pPr>
        <w:pStyle w:val="Definition"/>
      </w:pPr>
      <w:r>
        <w:rPr>
          <w:b/>
        </w:rPr>
        <w:t>Transaction</w:t>
      </w:r>
      <w:r>
        <w:t>: The purchase and/or sal</w:t>
      </w:r>
      <w:r>
        <w:t>e of Energy or Capacity, or the sale of Ancillary Services.</w:t>
      </w:r>
    </w:p>
    <w:p w:rsidR="000B0318" w:rsidRDefault="00DA0D68">
      <w:pPr>
        <w:pStyle w:val="Definition"/>
      </w:pPr>
      <w:r>
        <w:rPr>
          <w:b/>
        </w:rPr>
        <w:t>Transfer Capability</w:t>
      </w:r>
      <w:r>
        <w:t>: The measure of the ability of interconnected electrical systems to reliably move or transfer power from one area to another over all transmission facilities (or paths) between</w:t>
      </w:r>
      <w:r>
        <w:t xml:space="preserve"> those areas under specified system conditions.</w:t>
      </w:r>
    </w:p>
    <w:p w:rsidR="000B0318" w:rsidRDefault="00DA0D68">
      <w:pPr>
        <w:pStyle w:val="Definition"/>
      </w:pPr>
      <w:r>
        <w:rPr>
          <w:b/>
        </w:rPr>
        <w:t>Transmission</w:t>
      </w:r>
      <w:r>
        <w:rPr>
          <w:b/>
          <w:bCs/>
        </w:rPr>
        <w:t xml:space="preserve"> Congestion Contract Component (“TCC Component”)</w:t>
      </w:r>
      <w:r>
        <w:t>: A component of the Operating Requirement, calculated in accordance with Section 26.3.2 of Attachment K to this Services Tariff.</w:t>
      </w:r>
    </w:p>
    <w:p w:rsidR="000B0318" w:rsidRDefault="00DA0D68">
      <w:pPr>
        <w:pStyle w:val="Definition"/>
      </w:pPr>
      <w:r>
        <w:rPr>
          <w:b/>
        </w:rPr>
        <w:t>Transmission</w:t>
      </w:r>
      <w:r>
        <w:rPr>
          <w:b/>
          <w:bCs/>
        </w:rPr>
        <w:t xml:space="preserve"> Conge</w:t>
      </w:r>
      <w:r>
        <w:rPr>
          <w:b/>
          <w:bCs/>
        </w:rPr>
        <w:t>stion Contracts ("TCCs")</w:t>
      </w:r>
      <w:r>
        <w:t>: The right to collect or obligation to pay Congestion Rents in the Day</w:t>
      </w:r>
      <w:r>
        <w:noBreakHyphen/>
        <w:t xml:space="preserve">Ahead Market for Energy associated with a single MW of </w:t>
      </w:r>
      <w:r>
        <w:lastRenderedPageBreak/>
        <w:t>transmission between a specified POI and POW.  TCCs are financial instruments that enable Energy buyers a</w:t>
      </w:r>
      <w:r>
        <w:t>nd sellers to hedge fluctuations in the price of transmission.</w:t>
      </w:r>
    </w:p>
    <w:p w:rsidR="000B0318" w:rsidRDefault="00DA0D68">
      <w:pPr>
        <w:pStyle w:val="Definition"/>
      </w:pPr>
      <w:r>
        <w:rPr>
          <w:b/>
        </w:rPr>
        <w:t>Transmission</w:t>
      </w:r>
      <w:r>
        <w:rPr>
          <w:b/>
          <w:bCs/>
        </w:rPr>
        <w:t xml:space="preserve"> Customer</w:t>
      </w:r>
      <w:r>
        <w:t xml:space="preserve">: Any entity (or its designated agent) that </w:t>
      </w:r>
      <w:ins w:id="2" w:author="Author" w:date="2010-09-10T17:42:00Z">
        <w:r>
          <w:t xml:space="preserve">requests or </w:t>
        </w:r>
      </w:ins>
      <w:r>
        <w:t>receives Transmission Service pursuant to a Service Agreement and the terms of the ISO OATT.</w:t>
      </w:r>
    </w:p>
    <w:p w:rsidR="000B0318" w:rsidRDefault="00DA0D68">
      <w:pPr>
        <w:pStyle w:val="Definition"/>
      </w:pPr>
      <w:r>
        <w:rPr>
          <w:b/>
        </w:rPr>
        <w:t>Transmission</w:t>
      </w:r>
      <w:r>
        <w:rPr>
          <w:b/>
          <w:bCs/>
        </w:rPr>
        <w:t xml:space="preserve"> District</w:t>
      </w:r>
      <w:r>
        <w:t xml:space="preserve">: </w:t>
      </w:r>
      <w:r>
        <w:t>The geographic area served by the Investor</w:t>
      </w:r>
      <w:r>
        <w:noBreakHyphen/>
        <w:t>Owned Transmission Owners and LIPA, as well as the customers directly interconnected with the transmission facilities of the Power Authority of the State of New York.</w:t>
      </w:r>
    </w:p>
    <w:p w:rsidR="000B0318" w:rsidRDefault="00DA0D68">
      <w:pPr>
        <w:pStyle w:val="Definition"/>
        <w:rPr>
          <w:b/>
          <w:bCs/>
        </w:rPr>
      </w:pPr>
      <w:r>
        <w:rPr>
          <w:b/>
        </w:rPr>
        <w:t>Transmission</w:t>
      </w:r>
      <w:r>
        <w:rPr>
          <w:b/>
          <w:bCs/>
        </w:rPr>
        <w:t xml:space="preserve"> Facilities Under ISO Operational </w:t>
      </w:r>
      <w:r>
        <w:rPr>
          <w:b/>
          <w:bCs/>
        </w:rPr>
        <w:t>Control</w:t>
      </w:r>
      <w:r>
        <w:t>: The transmission facilities of the Transmission Owners listed in Appendix A</w:t>
      </w:r>
      <w:r>
        <w:noBreakHyphen/>
        <w:t>1 of the ISO/TO Agreement, "Listing of Transmission Facilities Under ISO Operational Control," that are subject to the Operational Control of the ISO.  This listing may be</w:t>
      </w:r>
      <w:r>
        <w:t xml:space="preserve"> amended from time</w:t>
      </w:r>
      <w:r>
        <w:noBreakHyphen/>
        <w:t>to</w:t>
      </w:r>
      <w:r>
        <w:noBreakHyphen/>
        <w:t>time as specified in the ISO/TO Agreement.</w:t>
      </w:r>
    </w:p>
    <w:p w:rsidR="000B0318" w:rsidRDefault="00DA0D68">
      <w:pPr>
        <w:pStyle w:val="Definition"/>
      </w:pPr>
      <w:r>
        <w:rPr>
          <w:b/>
        </w:rPr>
        <w:t>Transmission</w:t>
      </w:r>
      <w:r>
        <w:rPr>
          <w:b/>
          <w:bCs/>
        </w:rPr>
        <w:t xml:space="preserve"> Facilities Requiring ISO Notification</w:t>
      </w:r>
      <w:r>
        <w:t>: The transmission facilities of the Transmission Owners listed in Appendix A</w:t>
      </w:r>
      <w:r>
        <w:noBreakHyphen/>
        <w:t>2 of the ISO/TO Agreement, ("Listing of Transmission Facilities</w:t>
      </w:r>
      <w:r>
        <w:t xml:space="preserve"> Requiring ISO Notification") whose status of operation must be provided to the ISO by the Transmission Owners (for the purposes stated in the ISO Tariffs and in accordance with the ISO Tariffs and ISO/TO Agreement) prior to the Transmission Owners making </w:t>
      </w:r>
      <w:r>
        <w:t>operational changes to the state of these facilities.  This listing may be amended from time</w:t>
      </w:r>
      <w:r>
        <w:noBreakHyphen/>
        <w:t>to</w:t>
      </w:r>
      <w:r>
        <w:noBreakHyphen/>
        <w:t>time as specified in the ISO/TO Agreement.</w:t>
      </w:r>
    </w:p>
    <w:p w:rsidR="000B0318" w:rsidRDefault="00DA0D68">
      <w:pPr>
        <w:pStyle w:val="Definition"/>
      </w:pPr>
      <w:r>
        <w:rPr>
          <w:b/>
        </w:rPr>
        <w:t>Transmission</w:t>
      </w:r>
      <w:r>
        <w:rPr>
          <w:b/>
          <w:bCs/>
        </w:rPr>
        <w:t xml:space="preserve"> Facility Agreement</w:t>
      </w:r>
      <w:r>
        <w:t xml:space="preserve">: The agreements listed in Attachment L, Table 2 of the ISO OATT governing the use of </w:t>
      </w:r>
      <w:r>
        <w:t>specific or designated transmission facilities charges all, or a portion, of the costs to install, own, operate, or maintain said transmission facilities, to the customer under the agreement.  These agreements may or may not have provisions to provide Tran</w:t>
      </w:r>
      <w:r>
        <w:t>smission Service utilizing said transmission facilities.</w:t>
      </w:r>
    </w:p>
    <w:p w:rsidR="000B0318" w:rsidRDefault="00DA0D68">
      <w:pPr>
        <w:pStyle w:val="Definition"/>
        <w:rPr>
          <w:color w:val="000000"/>
        </w:rPr>
      </w:pPr>
      <w:r>
        <w:rPr>
          <w:b/>
        </w:rPr>
        <w:t>Transmission</w:t>
      </w:r>
      <w:r>
        <w:rPr>
          <w:b/>
          <w:bCs/>
        </w:rPr>
        <w:t xml:space="preserve"> Fund ("T</w:t>
      </w:r>
      <w:r>
        <w:rPr>
          <w:b/>
          <w:bCs/>
        </w:rPr>
        <w:noBreakHyphen/>
        <w:t>Fund")</w:t>
      </w:r>
      <w:r>
        <w:t>: The mechanism used under the current NYPP Agreement to compensate the Member Systems for providing Transmission Service for economy Energy Transactions over their transm</w:t>
      </w:r>
      <w:r>
        <w:t xml:space="preserve">ission systems.  Each Member System is allocated a share of the economy Energy savings in dollars assigned to the fund that is based on the ratio of their investment in transmission </w:t>
      </w:r>
      <w:r>
        <w:rPr>
          <w:color w:val="000000"/>
        </w:rPr>
        <w:t xml:space="preserve">facilities to the sum of investments in </w:t>
      </w:r>
      <w:r>
        <w:t>transmission</w:t>
      </w:r>
      <w:r>
        <w:rPr>
          <w:color w:val="000000"/>
        </w:rPr>
        <w:t xml:space="preserve"> and generation facili</w:t>
      </w:r>
      <w:r>
        <w:rPr>
          <w:color w:val="000000"/>
        </w:rPr>
        <w:t>ties.</w:t>
      </w:r>
    </w:p>
    <w:p w:rsidR="000B0318" w:rsidRDefault="00DA0D68">
      <w:pPr>
        <w:pStyle w:val="Definition"/>
        <w:rPr>
          <w:color w:val="000000"/>
        </w:rPr>
      </w:pPr>
      <w:r>
        <w:rPr>
          <w:b/>
        </w:rPr>
        <w:t>Transmission</w:t>
      </w:r>
      <w:r>
        <w:rPr>
          <w:b/>
          <w:bCs/>
          <w:color w:val="000000"/>
        </w:rPr>
        <w:t xml:space="preserve"> Owner</w:t>
      </w:r>
      <w:r>
        <w:t xml:space="preserve">: </w:t>
      </w:r>
      <w:r>
        <w:rPr>
          <w:color w:val="000000"/>
        </w:rPr>
        <w:t>The public utility or authority (or its designated agent) that owns facilities used for the transmission of Energy in interstate commerce and provides Transmission Service under the Tariff.</w:t>
      </w:r>
    </w:p>
    <w:p w:rsidR="000B0318" w:rsidRDefault="00DA0D68">
      <w:pPr>
        <w:pStyle w:val="Definition"/>
        <w:rPr>
          <w:color w:val="000000"/>
        </w:rPr>
      </w:pPr>
      <w:r>
        <w:rPr>
          <w:b/>
        </w:rPr>
        <w:lastRenderedPageBreak/>
        <w:t>Transmission</w:t>
      </w:r>
      <w:r>
        <w:rPr>
          <w:b/>
          <w:bCs/>
          <w:color w:val="000000"/>
        </w:rPr>
        <w:t xml:space="preserve"> Owner’s </w:t>
      </w:r>
      <w:smartTag w:uri="urn:schemas-microsoft-com:office:smarttags" w:element="place">
        <w:smartTag w:uri="urn:schemas-microsoft-com:office:smarttags" w:element="PlaceName">
          <w:r>
            <w:rPr>
              <w:b/>
              <w:bCs/>
              <w:color w:val="000000"/>
            </w:rPr>
            <w:t>Monthly</w:t>
          </w:r>
        </w:smartTag>
        <w:r>
          <w:rPr>
            <w:b/>
            <w:bCs/>
            <w:color w:val="000000"/>
          </w:rPr>
          <w:t xml:space="preserve"> </w:t>
        </w:r>
        <w:smartTag w:uri="urn:schemas-microsoft-com:office:smarttags" w:element="PlaceName">
          <w:r>
            <w:rPr>
              <w:b/>
              <w:bCs/>
              <w:color w:val="000000"/>
            </w:rPr>
            <w:t>Transmissio</w:t>
          </w:r>
          <w:r>
            <w:rPr>
              <w:b/>
              <w:bCs/>
              <w:color w:val="000000"/>
            </w:rPr>
            <w:t>n</w:t>
          </w:r>
        </w:smartTag>
        <w:r>
          <w:rPr>
            <w:b/>
            <w:bCs/>
            <w:color w:val="000000"/>
          </w:rPr>
          <w:t xml:space="preserve"> </w:t>
        </w:r>
        <w:smartTag w:uri="urn:schemas-microsoft-com:office:smarttags" w:element="PlaceName">
          <w:r>
            <w:rPr>
              <w:b/>
              <w:bCs/>
              <w:color w:val="000000"/>
            </w:rPr>
            <w:t>System</w:t>
          </w:r>
        </w:smartTag>
        <w:r>
          <w:rPr>
            <w:b/>
            <w:bCs/>
            <w:color w:val="000000"/>
          </w:rPr>
          <w:t xml:space="preserve"> </w:t>
        </w:r>
        <w:smartTag w:uri="urn:schemas-microsoft-com:office:smarttags" w:element="PlaceType">
          <w:r>
            <w:rPr>
              <w:b/>
              <w:bCs/>
              <w:color w:val="000000"/>
            </w:rPr>
            <w:t>Peak</w:t>
          </w:r>
        </w:smartTag>
      </w:smartTag>
      <w:r>
        <w:t xml:space="preserve">: </w:t>
      </w:r>
      <w:r>
        <w:rPr>
          <w:color w:val="000000"/>
        </w:rPr>
        <w:t xml:space="preserve">The maximum hourly firm usage as measured in megawatts (“MW”) of the Transmission Owner’s transmission system in a calendar month.  </w:t>
      </w:r>
    </w:p>
    <w:p w:rsidR="000B0318" w:rsidRDefault="00DA0D68">
      <w:pPr>
        <w:pStyle w:val="Definition"/>
        <w:rPr>
          <w:color w:val="000000"/>
        </w:rPr>
      </w:pPr>
      <w:r>
        <w:rPr>
          <w:b/>
        </w:rPr>
        <w:t>Transmission</w:t>
      </w:r>
      <w:r>
        <w:rPr>
          <w:b/>
          <w:bCs/>
          <w:color w:val="000000"/>
        </w:rPr>
        <w:t xml:space="preserve"> Reliability Margin (“TRM”)</w:t>
      </w:r>
      <w:r>
        <w:t xml:space="preserve">: </w:t>
      </w:r>
      <w:r>
        <w:rPr>
          <w:color w:val="000000"/>
        </w:rPr>
        <w:t xml:space="preserve">The amount of TTC reserved by the ISO to ensure the interconnected </w:t>
      </w:r>
      <w:r>
        <w:rPr>
          <w:color w:val="000000"/>
        </w:rPr>
        <w:t xml:space="preserve">transmission network is secure under a reasonable range </w:t>
      </w:r>
      <w:r>
        <w:t>of</w:t>
      </w:r>
      <w:r>
        <w:rPr>
          <w:color w:val="000000"/>
        </w:rPr>
        <w:t xml:space="preserve"> uncertainties in system conditions.  </w:t>
      </w:r>
    </w:p>
    <w:p w:rsidR="000B0318" w:rsidRDefault="00DA0D68">
      <w:pPr>
        <w:pStyle w:val="Definition"/>
        <w:rPr>
          <w:color w:val="000000"/>
        </w:rPr>
      </w:pPr>
      <w:r>
        <w:rPr>
          <w:b/>
        </w:rPr>
        <w:t>Transmission</w:t>
      </w:r>
      <w:r>
        <w:rPr>
          <w:b/>
          <w:bCs/>
          <w:color w:val="000000"/>
        </w:rPr>
        <w:t xml:space="preserve"> Service</w:t>
      </w:r>
      <w:r>
        <w:t xml:space="preserve">: </w:t>
      </w:r>
      <w:r>
        <w:rPr>
          <w:color w:val="000000"/>
        </w:rPr>
        <w:t>Point</w:t>
      </w:r>
      <w:r>
        <w:rPr>
          <w:color w:val="000000"/>
        </w:rPr>
        <w:noBreakHyphen/>
        <w:t>To</w:t>
      </w:r>
      <w:r>
        <w:rPr>
          <w:color w:val="000000"/>
        </w:rPr>
        <w:noBreakHyphen/>
        <w:t xml:space="preserve">Point Network Integration or Retail </w:t>
      </w:r>
      <w:r>
        <w:t>Access</w:t>
      </w:r>
      <w:r>
        <w:rPr>
          <w:color w:val="000000"/>
        </w:rPr>
        <w:t xml:space="preserve"> Transmission Service provided under the ISO OATT.  </w:t>
      </w:r>
    </w:p>
    <w:p w:rsidR="000B0318" w:rsidRDefault="00DA0D68">
      <w:pPr>
        <w:pStyle w:val="Definition"/>
        <w:rPr>
          <w:color w:val="000000"/>
        </w:rPr>
      </w:pPr>
      <w:r>
        <w:rPr>
          <w:b/>
        </w:rPr>
        <w:t>Transmission</w:t>
      </w:r>
      <w:r>
        <w:rPr>
          <w:b/>
          <w:bCs/>
          <w:color w:val="000000"/>
        </w:rPr>
        <w:t xml:space="preserve"> Service Charge (“TSC</w:t>
      </w:r>
      <w:r>
        <w:rPr>
          <w:b/>
          <w:bCs/>
          <w:color w:val="000000"/>
        </w:rPr>
        <w:t>”)</w:t>
      </w:r>
      <w:r>
        <w:t xml:space="preserve">: </w:t>
      </w:r>
      <w:r>
        <w:rPr>
          <w:color w:val="000000"/>
        </w:rPr>
        <w:t xml:space="preserve">A charge designed to ensure </w:t>
      </w:r>
      <w:r>
        <w:t>recovery</w:t>
      </w:r>
      <w:r>
        <w:rPr>
          <w:color w:val="000000"/>
        </w:rPr>
        <w:t xml:space="preserve"> of the embedded cost of a Transmission Owner’s transmission system.  </w:t>
      </w:r>
    </w:p>
    <w:p w:rsidR="000B0318" w:rsidRDefault="00DA0D68">
      <w:pPr>
        <w:pStyle w:val="Definition"/>
        <w:rPr>
          <w:color w:val="000000"/>
        </w:rPr>
      </w:pPr>
      <w:r>
        <w:rPr>
          <w:b/>
        </w:rPr>
        <w:t>Transmission</w:t>
      </w:r>
      <w:r>
        <w:rPr>
          <w:b/>
          <w:color w:val="000000"/>
        </w:rPr>
        <w:t xml:space="preserve"> Shortage Cost</w:t>
      </w:r>
      <w:r>
        <w:t xml:space="preserve">: </w:t>
      </w:r>
      <w:r>
        <w:rPr>
          <w:color w:val="000000"/>
        </w:rPr>
        <w:t>The maximum reduction in system costs</w:t>
      </w:r>
      <w:r>
        <w:t xml:space="preserve"> </w:t>
      </w:r>
      <w:r>
        <w:rPr>
          <w:color w:val="000000"/>
        </w:rPr>
        <w:t>resulting from an incremental relaxation of a particular Constraint that will b</w:t>
      </w:r>
      <w:r>
        <w:rPr>
          <w:color w:val="000000"/>
        </w:rPr>
        <w:t xml:space="preserve">e used in </w:t>
      </w:r>
      <w:r>
        <w:t>calculating</w:t>
      </w:r>
      <w:r>
        <w:rPr>
          <w:color w:val="000000"/>
        </w:rPr>
        <w:t xml:space="preserve"> LBMP.  The Transmission Shortage Cost is set at $4000/MWh.</w:t>
      </w:r>
    </w:p>
    <w:p w:rsidR="000B0318" w:rsidRDefault="00DA0D68">
      <w:pPr>
        <w:pStyle w:val="Definition"/>
      </w:pPr>
      <w:r>
        <w:rPr>
          <w:b/>
        </w:rPr>
        <w:t>Transmission System</w:t>
      </w:r>
      <w:r>
        <w:t>: The facilities operated by the ISO that are used to provide Transmission Services under the ISO OATT.</w:t>
      </w:r>
    </w:p>
    <w:p w:rsidR="000B0318" w:rsidRDefault="00DA0D68">
      <w:pPr>
        <w:pStyle w:val="Definition"/>
      </w:pPr>
      <w:r>
        <w:rPr>
          <w:b/>
        </w:rPr>
        <w:t>Transmission Usage Charge (“TUC”)</w:t>
      </w:r>
      <w:r>
        <w:t xml:space="preserve">: Payments made by </w:t>
      </w:r>
      <w:r>
        <w:t>the Transmission Customer to cover the cost of Marginal Losses and, during periods of time when the transmission system is constrained, the marginal cost of Congestion.  The TUC is equal to the product of:  (1) the LBMP at the POW minus the LBMP at the POI</w:t>
      </w:r>
      <w:r>
        <w:t xml:space="preserve"> (in $/MWh); and (2) the scheduled or delivered Energy (in MWh).</w:t>
      </w:r>
    </w:p>
    <w:p w:rsidR="000B0318" w:rsidRDefault="00DA0D68">
      <w:pPr>
        <w:pStyle w:val="Definition"/>
        <w:rPr>
          <w:u w:val="double"/>
        </w:rPr>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w:t>
      </w:r>
      <w:r>
        <w:t>: The Agreements listed in Tables 1A and 1B of Attachment L to the ISO OATT governing the use of specific or designated transmission facilities that are</w:t>
      </w:r>
      <w:r>
        <w:t xml:space="preserve"> owned, controlled or operated by an entity for the transmission of Energy in interstate commerce.</w:t>
      </w:r>
    </w:p>
    <w:p w:rsidR="000B0318" w:rsidRDefault="000B0318">
      <w:pPr>
        <w:tabs>
          <w:tab w:val="right" w:pos="9360"/>
        </w:tabs>
      </w:pPr>
    </w:p>
    <w:sectPr w:rsidR="000B03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D68">
      <w:r>
        <w:separator/>
      </w:r>
    </w:p>
  </w:endnote>
  <w:endnote w:type="continuationSeparator" w:id="0">
    <w:p w:rsidR="00000000" w:rsidRDefault="00DA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8" w:rsidRDefault="00DA0D68">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8" w:rsidRDefault="00DA0D68">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8" w:rsidRDefault="00DA0D68">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D68">
      <w:r>
        <w:separator/>
      </w:r>
    </w:p>
  </w:footnote>
  <w:footnote w:type="continuationSeparator" w:id="0">
    <w:p w:rsidR="00000000" w:rsidRDefault="00DA0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8" w:rsidRDefault="00DA0D6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2.20 MST Definitions - 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8" w:rsidRDefault="00DA0D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318" w:rsidRDefault="00DA0D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98E86D6">
      <w:start w:val="1"/>
      <w:numFmt w:val="bullet"/>
      <w:lvlText w:val=""/>
      <w:lvlJc w:val="left"/>
      <w:pPr>
        <w:tabs>
          <w:tab w:val="num" w:pos="720"/>
        </w:tabs>
        <w:ind w:left="720" w:hanging="360"/>
      </w:pPr>
      <w:rPr>
        <w:rFonts w:ascii="Symbol" w:hAnsi="Symbol" w:hint="default"/>
      </w:rPr>
    </w:lvl>
    <w:lvl w:ilvl="1" w:tplc="4FCCAF72" w:tentative="1">
      <w:start w:val="1"/>
      <w:numFmt w:val="bullet"/>
      <w:lvlText w:val="o"/>
      <w:lvlJc w:val="left"/>
      <w:pPr>
        <w:tabs>
          <w:tab w:val="num" w:pos="1440"/>
        </w:tabs>
        <w:ind w:left="1440" w:hanging="360"/>
      </w:pPr>
      <w:rPr>
        <w:rFonts w:ascii="Courier New" w:hAnsi="Courier New" w:cs="Courier New" w:hint="default"/>
      </w:rPr>
    </w:lvl>
    <w:lvl w:ilvl="2" w:tplc="1E04CCEC" w:tentative="1">
      <w:start w:val="1"/>
      <w:numFmt w:val="bullet"/>
      <w:lvlText w:val=""/>
      <w:lvlJc w:val="left"/>
      <w:pPr>
        <w:tabs>
          <w:tab w:val="num" w:pos="2160"/>
        </w:tabs>
        <w:ind w:left="2160" w:hanging="360"/>
      </w:pPr>
      <w:rPr>
        <w:rFonts w:ascii="Wingdings" w:hAnsi="Wingdings" w:hint="default"/>
      </w:rPr>
    </w:lvl>
    <w:lvl w:ilvl="3" w:tplc="1EDC3D52" w:tentative="1">
      <w:start w:val="1"/>
      <w:numFmt w:val="bullet"/>
      <w:lvlText w:val=""/>
      <w:lvlJc w:val="left"/>
      <w:pPr>
        <w:tabs>
          <w:tab w:val="num" w:pos="2880"/>
        </w:tabs>
        <w:ind w:left="2880" w:hanging="360"/>
      </w:pPr>
      <w:rPr>
        <w:rFonts w:ascii="Symbol" w:hAnsi="Symbol" w:hint="default"/>
      </w:rPr>
    </w:lvl>
    <w:lvl w:ilvl="4" w:tplc="D42E9D9A" w:tentative="1">
      <w:start w:val="1"/>
      <w:numFmt w:val="bullet"/>
      <w:lvlText w:val="o"/>
      <w:lvlJc w:val="left"/>
      <w:pPr>
        <w:tabs>
          <w:tab w:val="num" w:pos="3600"/>
        </w:tabs>
        <w:ind w:left="3600" w:hanging="360"/>
      </w:pPr>
      <w:rPr>
        <w:rFonts w:ascii="Courier New" w:hAnsi="Courier New" w:cs="Courier New" w:hint="default"/>
      </w:rPr>
    </w:lvl>
    <w:lvl w:ilvl="5" w:tplc="8E283C2E" w:tentative="1">
      <w:start w:val="1"/>
      <w:numFmt w:val="bullet"/>
      <w:lvlText w:val=""/>
      <w:lvlJc w:val="left"/>
      <w:pPr>
        <w:tabs>
          <w:tab w:val="num" w:pos="4320"/>
        </w:tabs>
        <w:ind w:left="4320" w:hanging="360"/>
      </w:pPr>
      <w:rPr>
        <w:rFonts w:ascii="Wingdings" w:hAnsi="Wingdings" w:hint="default"/>
      </w:rPr>
    </w:lvl>
    <w:lvl w:ilvl="6" w:tplc="1AD2696A" w:tentative="1">
      <w:start w:val="1"/>
      <w:numFmt w:val="bullet"/>
      <w:lvlText w:val=""/>
      <w:lvlJc w:val="left"/>
      <w:pPr>
        <w:tabs>
          <w:tab w:val="num" w:pos="5040"/>
        </w:tabs>
        <w:ind w:left="5040" w:hanging="360"/>
      </w:pPr>
      <w:rPr>
        <w:rFonts w:ascii="Symbol" w:hAnsi="Symbol" w:hint="default"/>
      </w:rPr>
    </w:lvl>
    <w:lvl w:ilvl="7" w:tplc="9EFA7FCC" w:tentative="1">
      <w:start w:val="1"/>
      <w:numFmt w:val="bullet"/>
      <w:lvlText w:val="o"/>
      <w:lvlJc w:val="left"/>
      <w:pPr>
        <w:tabs>
          <w:tab w:val="num" w:pos="5760"/>
        </w:tabs>
        <w:ind w:left="5760" w:hanging="360"/>
      </w:pPr>
      <w:rPr>
        <w:rFonts w:ascii="Courier New" w:hAnsi="Courier New" w:cs="Courier New" w:hint="default"/>
      </w:rPr>
    </w:lvl>
    <w:lvl w:ilvl="8" w:tplc="3E5E17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670CB6C">
      <w:start w:val="1"/>
      <w:numFmt w:val="upperLetter"/>
      <w:lvlText w:val="%1."/>
      <w:lvlJc w:val="left"/>
      <w:pPr>
        <w:tabs>
          <w:tab w:val="num" w:pos="1440"/>
        </w:tabs>
        <w:ind w:left="1440" w:hanging="720"/>
      </w:pPr>
      <w:rPr>
        <w:rFonts w:hint="default"/>
      </w:rPr>
    </w:lvl>
    <w:lvl w:ilvl="1" w:tplc="92FA07D2" w:tentative="1">
      <w:start w:val="1"/>
      <w:numFmt w:val="lowerLetter"/>
      <w:lvlText w:val="%2."/>
      <w:lvlJc w:val="left"/>
      <w:pPr>
        <w:tabs>
          <w:tab w:val="num" w:pos="1800"/>
        </w:tabs>
        <w:ind w:left="1800" w:hanging="360"/>
      </w:pPr>
    </w:lvl>
    <w:lvl w:ilvl="2" w:tplc="5F8AAFF8" w:tentative="1">
      <w:start w:val="1"/>
      <w:numFmt w:val="lowerRoman"/>
      <w:lvlText w:val="%3."/>
      <w:lvlJc w:val="right"/>
      <w:pPr>
        <w:tabs>
          <w:tab w:val="num" w:pos="2520"/>
        </w:tabs>
        <w:ind w:left="2520" w:hanging="180"/>
      </w:pPr>
    </w:lvl>
    <w:lvl w:ilvl="3" w:tplc="3B6C021C" w:tentative="1">
      <w:start w:val="1"/>
      <w:numFmt w:val="decimal"/>
      <w:lvlText w:val="%4."/>
      <w:lvlJc w:val="left"/>
      <w:pPr>
        <w:tabs>
          <w:tab w:val="num" w:pos="3240"/>
        </w:tabs>
        <w:ind w:left="3240" w:hanging="360"/>
      </w:pPr>
    </w:lvl>
    <w:lvl w:ilvl="4" w:tplc="4920ADA4" w:tentative="1">
      <w:start w:val="1"/>
      <w:numFmt w:val="lowerLetter"/>
      <w:lvlText w:val="%5."/>
      <w:lvlJc w:val="left"/>
      <w:pPr>
        <w:tabs>
          <w:tab w:val="num" w:pos="3960"/>
        </w:tabs>
        <w:ind w:left="3960" w:hanging="360"/>
      </w:pPr>
    </w:lvl>
    <w:lvl w:ilvl="5" w:tplc="E4DC5748" w:tentative="1">
      <w:start w:val="1"/>
      <w:numFmt w:val="lowerRoman"/>
      <w:lvlText w:val="%6."/>
      <w:lvlJc w:val="right"/>
      <w:pPr>
        <w:tabs>
          <w:tab w:val="num" w:pos="4680"/>
        </w:tabs>
        <w:ind w:left="4680" w:hanging="180"/>
      </w:pPr>
    </w:lvl>
    <w:lvl w:ilvl="6" w:tplc="B6324C9E" w:tentative="1">
      <w:start w:val="1"/>
      <w:numFmt w:val="decimal"/>
      <w:lvlText w:val="%7."/>
      <w:lvlJc w:val="left"/>
      <w:pPr>
        <w:tabs>
          <w:tab w:val="num" w:pos="5400"/>
        </w:tabs>
        <w:ind w:left="5400" w:hanging="360"/>
      </w:pPr>
    </w:lvl>
    <w:lvl w:ilvl="7" w:tplc="D6143E5C" w:tentative="1">
      <w:start w:val="1"/>
      <w:numFmt w:val="lowerLetter"/>
      <w:lvlText w:val="%8."/>
      <w:lvlJc w:val="left"/>
      <w:pPr>
        <w:tabs>
          <w:tab w:val="num" w:pos="6120"/>
        </w:tabs>
        <w:ind w:left="6120" w:hanging="360"/>
      </w:pPr>
    </w:lvl>
    <w:lvl w:ilvl="8" w:tplc="BAE462C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A1EF618">
      <w:start w:val="3"/>
      <w:numFmt w:val="upperLetter"/>
      <w:lvlText w:val="%1."/>
      <w:lvlJc w:val="left"/>
      <w:pPr>
        <w:tabs>
          <w:tab w:val="num" w:pos="1080"/>
        </w:tabs>
        <w:ind w:left="1080" w:hanging="360"/>
      </w:pPr>
      <w:rPr>
        <w:rFonts w:hint="default"/>
      </w:rPr>
    </w:lvl>
    <w:lvl w:ilvl="1" w:tplc="BB0EC260" w:tentative="1">
      <w:start w:val="1"/>
      <w:numFmt w:val="lowerLetter"/>
      <w:lvlText w:val="%2."/>
      <w:lvlJc w:val="left"/>
      <w:pPr>
        <w:tabs>
          <w:tab w:val="num" w:pos="1800"/>
        </w:tabs>
        <w:ind w:left="1800" w:hanging="360"/>
      </w:pPr>
    </w:lvl>
    <w:lvl w:ilvl="2" w:tplc="7FD0D708" w:tentative="1">
      <w:start w:val="1"/>
      <w:numFmt w:val="lowerRoman"/>
      <w:lvlText w:val="%3."/>
      <w:lvlJc w:val="right"/>
      <w:pPr>
        <w:tabs>
          <w:tab w:val="num" w:pos="2520"/>
        </w:tabs>
        <w:ind w:left="2520" w:hanging="180"/>
      </w:pPr>
    </w:lvl>
    <w:lvl w:ilvl="3" w:tplc="E7486E84" w:tentative="1">
      <w:start w:val="1"/>
      <w:numFmt w:val="decimal"/>
      <w:lvlText w:val="%4."/>
      <w:lvlJc w:val="left"/>
      <w:pPr>
        <w:tabs>
          <w:tab w:val="num" w:pos="3240"/>
        </w:tabs>
        <w:ind w:left="3240" w:hanging="360"/>
      </w:pPr>
    </w:lvl>
    <w:lvl w:ilvl="4" w:tplc="1F44B8AA" w:tentative="1">
      <w:start w:val="1"/>
      <w:numFmt w:val="lowerLetter"/>
      <w:lvlText w:val="%5."/>
      <w:lvlJc w:val="left"/>
      <w:pPr>
        <w:tabs>
          <w:tab w:val="num" w:pos="3960"/>
        </w:tabs>
        <w:ind w:left="3960" w:hanging="360"/>
      </w:pPr>
    </w:lvl>
    <w:lvl w:ilvl="5" w:tplc="EB76C2DC" w:tentative="1">
      <w:start w:val="1"/>
      <w:numFmt w:val="lowerRoman"/>
      <w:lvlText w:val="%6."/>
      <w:lvlJc w:val="right"/>
      <w:pPr>
        <w:tabs>
          <w:tab w:val="num" w:pos="4680"/>
        </w:tabs>
        <w:ind w:left="4680" w:hanging="180"/>
      </w:pPr>
    </w:lvl>
    <w:lvl w:ilvl="6" w:tplc="0B4CC9B4" w:tentative="1">
      <w:start w:val="1"/>
      <w:numFmt w:val="decimal"/>
      <w:lvlText w:val="%7."/>
      <w:lvlJc w:val="left"/>
      <w:pPr>
        <w:tabs>
          <w:tab w:val="num" w:pos="5400"/>
        </w:tabs>
        <w:ind w:left="5400" w:hanging="360"/>
      </w:pPr>
    </w:lvl>
    <w:lvl w:ilvl="7" w:tplc="975071C0" w:tentative="1">
      <w:start w:val="1"/>
      <w:numFmt w:val="lowerLetter"/>
      <w:lvlText w:val="%8."/>
      <w:lvlJc w:val="left"/>
      <w:pPr>
        <w:tabs>
          <w:tab w:val="num" w:pos="6120"/>
        </w:tabs>
        <w:ind w:left="6120" w:hanging="360"/>
      </w:pPr>
    </w:lvl>
    <w:lvl w:ilvl="8" w:tplc="562A0B0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48F4441C">
      <w:start w:val="1"/>
      <w:numFmt w:val="bullet"/>
      <w:pStyle w:val="Bulletpara"/>
      <w:lvlText w:val=""/>
      <w:lvlJc w:val="left"/>
      <w:pPr>
        <w:tabs>
          <w:tab w:val="num" w:pos="720"/>
        </w:tabs>
        <w:ind w:left="720" w:hanging="360"/>
      </w:pPr>
      <w:rPr>
        <w:rFonts w:ascii="Symbol" w:hAnsi="Symbol" w:hint="default"/>
      </w:rPr>
    </w:lvl>
    <w:lvl w:ilvl="1" w:tplc="5838DA70" w:tentative="1">
      <w:start w:val="1"/>
      <w:numFmt w:val="bullet"/>
      <w:lvlText w:val="o"/>
      <w:lvlJc w:val="left"/>
      <w:pPr>
        <w:tabs>
          <w:tab w:val="num" w:pos="1440"/>
        </w:tabs>
        <w:ind w:left="1440" w:hanging="360"/>
      </w:pPr>
      <w:rPr>
        <w:rFonts w:ascii="Courier New" w:hAnsi="Courier New" w:cs="Courier New" w:hint="default"/>
      </w:rPr>
    </w:lvl>
    <w:lvl w:ilvl="2" w:tplc="8B68901E" w:tentative="1">
      <w:start w:val="1"/>
      <w:numFmt w:val="bullet"/>
      <w:lvlText w:val=""/>
      <w:lvlJc w:val="left"/>
      <w:pPr>
        <w:tabs>
          <w:tab w:val="num" w:pos="2160"/>
        </w:tabs>
        <w:ind w:left="2160" w:hanging="360"/>
      </w:pPr>
      <w:rPr>
        <w:rFonts w:ascii="Wingdings" w:hAnsi="Wingdings" w:hint="default"/>
      </w:rPr>
    </w:lvl>
    <w:lvl w:ilvl="3" w:tplc="3D7639DE" w:tentative="1">
      <w:start w:val="1"/>
      <w:numFmt w:val="bullet"/>
      <w:lvlText w:val=""/>
      <w:lvlJc w:val="left"/>
      <w:pPr>
        <w:tabs>
          <w:tab w:val="num" w:pos="2880"/>
        </w:tabs>
        <w:ind w:left="2880" w:hanging="360"/>
      </w:pPr>
      <w:rPr>
        <w:rFonts w:ascii="Symbol" w:hAnsi="Symbol" w:hint="default"/>
      </w:rPr>
    </w:lvl>
    <w:lvl w:ilvl="4" w:tplc="54BC3FA0" w:tentative="1">
      <w:start w:val="1"/>
      <w:numFmt w:val="bullet"/>
      <w:lvlText w:val="o"/>
      <w:lvlJc w:val="left"/>
      <w:pPr>
        <w:tabs>
          <w:tab w:val="num" w:pos="3600"/>
        </w:tabs>
        <w:ind w:left="3600" w:hanging="360"/>
      </w:pPr>
      <w:rPr>
        <w:rFonts w:ascii="Courier New" w:hAnsi="Courier New" w:cs="Courier New" w:hint="default"/>
      </w:rPr>
    </w:lvl>
    <w:lvl w:ilvl="5" w:tplc="690EA16A" w:tentative="1">
      <w:start w:val="1"/>
      <w:numFmt w:val="bullet"/>
      <w:lvlText w:val=""/>
      <w:lvlJc w:val="left"/>
      <w:pPr>
        <w:tabs>
          <w:tab w:val="num" w:pos="4320"/>
        </w:tabs>
        <w:ind w:left="4320" w:hanging="360"/>
      </w:pPr>
      <w:rPr>
        <w:rFonts w:ascii="Wingdings" w:hAnsi="Wingdings" w:hint="default"/>
      </w:rPr>
    </w:lvl>
    <w:lvl w:ilvl="6" w:tplc="DD66383C" w:tentative="1">
      <w:start w:val="1"/>
      <w:numFmt w:val="bullet"/>
      <w:lvlText w:val=""/>
      <w:lvlJc w:val="left"/>
      <w:pPr>
        <w:tabs>
          <w:tab w:val="num" w:pos="5040"/>
        </w:tabs>
        <w:ind w:left="5040" w:hanging="360"/>
      </w:pPr>
      <w:rPr>
        <w:rFonts w:ascii="Symbol" w:hAnsi="Symbol" w:hint="default"/>
      </w:rPr>
    </w:lvl>
    <w:lvl w:ilvl="7" w:tplc="C8EEDDD0" w:tentative="1">
      <w:start w:val="1"/>
      <w:numFmt w:val="bullet"/>
      <w:lvlText w:val="o"/>
      <w:lvlJc w:val="left"/>
      <w:pPr>
        <w:tabs>
          <w:tab w:val="num" w:pos="5760"/>
        </w:tabs>
        <w:ind w:left="5760" w:hanging="360"/>
      </w:pPr>
      <w:rPr>
        <w:rFonts w:ascii="Courier New" w:hAnsi="Courier New" w:cs="Courier New" w:hint="default"/>
      </w:rPr>
    </w:lvl>
    <w:lvl w:ilvl="8" w:tplc="2E969D0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44A5B78">
      <w:start w:val="2"/>
      <w:numFmt w:val="decimal"/>
      <w:lvlText w:val="(%1)"/>
      <w:lvlJc w:val="left"/>
      <w:pPr>
        <w:tabs>
          <w:tab w:val="num" w:pos="1800"/>
        </w:tabs>
        <w:ind w:left="1800" w:hanging="360"/>
      </w:pPr>
      <w:rPr>
        <w:rFonts w:hint="default"/>
        <w:b w:val="0"/>
        <w:sz w:val="24"/>
      </w:rPr>
    </w:lvl>
    <w:lvl w:ilvl="1" w:tplc="8778A10C" w:tentative="1">
      <w:start w:val="1"/>
      <w:numFmt w:val="lowerLetter"/>
      <w:lvlText w:val="%2."/>
      <w:lvlJc w:val="left"/>
      <w:pPr>
        <w:tabs>
          <w:tab w:val="num" w:pos="2520"/>
        </w:tabs>
        <w:ind w:left="2520" w:hanging="360"/>
      </w:pPr>
    </w:lvl>
    <w:lvl w:ilvl="2" w:tplc="EDD49814" w:tentative="1">
      <w:start w:val="1"/>
      <w:numFmt w:val="lowerRoman"/>
      <w:lvlText w:val="%3."/>
      <w:lvlJc w:val="right"/>
      <w:pPr>
        <w:tabs>
          <w:tab w:val="num" w:pos="3240"/>
        </w:tabs>
        <w:ind w:left="3240" w:hanging="180"/>
      </w:pPr>
    </w:lvl>
    <w:lvl w:ilvl="3" w:tplc="C450E376" w:tentative="1">
      <w:start w:val="1"/>
      <w:numFmt w:val="decimal"/>
      <w:lvlText w:val="%4."/>
      <w:lvlJc w:val="left"/>
      <w:pPr>
        <w:tabs>
          <w:tab w:val="num" w:pos="3960"/>
        </w:tabs>
        <w:ind w:left="3960" w:hanging="360"/>
      </w:pPr>
    </w:lvl>
    <w:lvl w:ilvl="4" w:tplc="CC569ECA" w:tentative="1">
      <w:start w:val="1"/>
      <w:numFmt w:val="lowerLetter"/>
      <w:lvlText w:val="%5."/>
      <w:lvlJc w:val="left"/>
      <w:pPr>
        <w:tabs>
          <w:tab w:val="num" w:pos="4680"/>
        </w:tabs>
        <w:ind w:left="4680" w:hanging="360"/>
      </w:pPr>
    </w:lvl>
    <w:lvl w:ilvl="5" w:tplc="4168C4A6" w:tentative="1">
      <w:start w:val="1"/>
      <w:numFmt w:val="lowerRoman"/>
      <w:lvlText w:val="%6."/>
      <w:lvlJc w:val="right"/>
      <w:pPr>
        <w:tabs>
          <w:tab w:val="num" w:pos="5400"/>
        </w:tabs>
        <w:ind w:left="5400" w:hanging="180"/>
      </w:pPr>
    </w:lvl>
    <w:lvl w:ilvl="6" w:tplc="8FAE76E2" w:tentative="1">
      <w:start w:val="1"/>
      <w:numFmt w:val="decimal"/>
      <w:lvlText w:val="%7."/>
      <w:lvlJc w:val="left"/>
      <w:pPr>
        <w:tabs>
          <w:tab w:val="num" w:pos="6120"/>
        </w:tabs>
        <w:ind w:left="6120" w:hanging="360"/>
      </w:pPr>
    </w:lvl>
    <w:lvl w:ilvl="7" w:tplc="2D42993C" w:tentative="1">
      <w:start w:val="1"/>
      <w:numFmt w:val="lowerLetter"/>
      <w:lvlText w:val="%8."/>
      <w:lvlJc w:val="left"/>
      <w:pPr>
        <w:tabs>
          <w:tab w:val="num" w:pos="6840"/>
        </w:tabs>
        <w:ind w:left="6840" w:hanging="360"/>
      </w:pPr>
    </w:lvl>
    <w:lvl w:ilvl="8" w:tplc="422C0B1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DF02B52">
      <w:start w:val="1"/>
      <w:numFmt w:val="decimal"/>
      <w:lvlText w:val="(%1)"/>
      <w:lvlJc w:val="left"/>
      <w:pPr>
        <w:tabs>
          <w:tab w:val="num" w:pos="2160"/>
        </w:tabs>
        <w:ind w:left="2160" w:hanging="720"/>
      </w:pPr>
      <w:rPr>
        <w:rFonts w:hint="default"/>
      </w:rPr>
    </w:lvl>
    <w:lvl w:ilvl="1" w:tplc="6660EFBC" w:tentative="1">
      <w:start w:val="1"/>
      <w:numFmt w:val="lowerLetter"/>
      <w:lvlText w:val="%2."/>
      <w:lvlJc w:val="left"/>
      <w:pPr>
        <w:tabs>
          <w:tab w:val="num" w:pos="2520"/>
        </w:tabs>
        <w:ind w:left="2520" w:hanging="360"/>
      </w:pPr>
    </w:lvl>
    <w:lvl w:ilvl="2" w:tplc="BB2E62B8" w:tentative="1">
      <w:start w:val="1"/>
      <w:numFmt w:val="lowerRoman"/>
      <w:lvlText w:val="%3."/>
      <w:lvlJc w:val="right"/>
      <w:pPr>
        <w:tabs>
          <w:tab w:val="num" w:pos="3240"/>
        </w:tabs>
        <w:ind w:left="3240" w:hanging="180"/>
      </w:pPr>
    </w:lvl>
    <w:lvl w:ilvl="3" w:tplc="B308E1E4" w:tentative="1">
      <w:start w:val="1"/>
      <w:numFmt w:val="decimal"/>
      <w:lvlText w:val="%4."/>
      <w:lvlJc w:val="left"/>
      <w:pPr>
        <w:tabs>
          <w:tab w:val="num" w:pos="3960"/>
        </w:tabs>
        <w:ind w:left="3960" w:hanging="360"/>
      </w:pPr>
    </w:lvl>
    <w:lvl w:ilvl="4" w:tplc="6A7CB168" w:tentative="1">
      <w:start w:val="1"/>
      <w:numFmt w:val="lowerLetter"/>
      <w:lvlText w:val="%5."/>
      <w:lvlJc w:val="left"/>
      <w:pPr>
        <w:tabs>
          <w:tab w:val="num" w:pos="4680"/>
        </w:tabs>
        <w:ind w:left="4680" w:hanging="360"/>
      </w:pPr>
    </w:lvl>
    <w:lvl w:ilvl="5" w:tplc="754674B4" w:tentative="1">
      <w:start w:val="1"/>
      <w:numFmt w:val="lowerRoman"/>
      <w:lvlText w:val="%6."/>
      <w:lvlJc w:val="right"/>
      <w:pPr>
        <w:tabs>
          <w:tab w:val="num" w:pos="5400"/>
        </w:tabs>
        <w:ind w:left="5400" w:hanging="180"/>
      </w:pPr>
    </w:lvl>
    <w:lvl w:ilvl="6" w:tplc="AD86716A" w:tentative="1">
      <w:start w:val="1"/>
      <w:numFmt w:val="decimal"/>
      <w:lvlText w:val="%7."/>
      <w:lvlJc w:val="left"/>
      <w:pPr>
        <w:tabs>
          <w:tab w:val="num" w:pos="6120"/>
        </w:tabs>
        <w:ind w:left="6120" w:hanging="360"/>
      </w:pPr>
    </w:lvl>
    <w:lvl w:ilvl="7" w:tplc="6874CB26" w:tentative="1">
      <w:start w:val="1"/>
      <w:numFmt w:val="lowerLetter"/>
      <w:lvlText w:val="%8."/>
      <w:lvlJc w:val="left"/>
      <w:pPr>
        <w:tabs>
          <w:tab w:val="num" w:pos="6840"/>
        </w:tabs>
        <w:ind w:left="6840" w:hanging="360"/>
      </w:pPr>
    </w:lvl>
    <w:lvl w:ilvl="8" w:tplc="2AA08F5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3425B82">
      <w:start w:val="1"/>
      <w:numFmt w:val="lowerRoman"/>
      <w:lvlText w:val="(%1)"/>
      <w:lvlJc w:val="left"/>
      <w:pPr>
        <w:tabs>
          <w:tab w:val="num" w:pos="1440"/>
        </w:tabs>
        <w:ind w:left="1440" w:hanging="720"/>
      </w:pPr>
      <w:rPr>
        <w:rFonts w:hint="default"/>
      </w:rPr>
    </w:lvl>
    <w:lvl w:ilvl="1" w:tplc="EBFEEF46" w:tentative="1">
      <w:start w:val="1"/>
      <w:numFmt w:val="lowerLetter"/>
      <w:lvlText w:val="%2."/>
      <w:lvlJc w:val="left"/>
      <w:pPr>
        <w:tabs>
          <w:tab w:val="num" w:pos="1800"/>
        </w:tabs>
        <w:ind w:left="1800" w:hanging="360"/>
      </w:pPr>
    </w:lvl>
    <w:lvl w:ilvl="2" w:tplc="156C1FFC" w:tentative="1">
      <w:start w:val="1"/>
      <w:numFmt w:val="lowerRoman"/>
      <w:lvlText w:val="%3."/>
      <w:lvlJc w:val="right"/>
      <w:pPr>
        <w:tabs>
          <w:tab w:val="num" w:pos="2520"/>
        </w:tabs>
        <w:ind w:left="2520" w:hanging="180"/>
      </w:pPr>
    </w:lvl>
    <w:lvl w:ilvl="3" w:tplc="6948585C" w:tentative="1">
      <w:start w:val="1"/>
      <w:numFmt w:val="decimal"/>
      <w:lvlText w:val="%4."/>
      <w:lvlJc w:val="left"/>
      <w:pPr>
        <w:tabs>
          <w:tab w:val="num" w:pos="3240"/>
        </w:tabs>
        <w:ind w:left="3240" w:hanging="360"/>
      </w:pPr>
    </w:lvl>
    <w:lvl w:ilvl="4" w:tplc="427A9A46" w:tentative="1">
      <w:start w:val="1"/>
      <w:numFmt w:val="lowerLetter"/>
      <w:lvlText w:val="%5."/>
      <w:lvlJc w:val="left"/>
      <w:pPr>
        <w:tabs>
          <w:tab w:val="num" w:pos="3960"/>
        </w:tabs>
        <w:ind w:left="3960" w:hanging="360"/>
      </w:pPr>
    </w:lvl>
    <w:lvl w:ilvl="5" w:tplc="1AB26722" w:tentative="1">
      <w:start w:val="1"/>
      <w:numFmt w:val="lowerRoman"/>
      <w:lvlText w:val="%6."/>
      <w:lvlJc w:val="right"/>
      <w:pPr>
        <w:tabs>
          <w:tab w:val="num" w:pos="4680"/>
        </w:tabs>
        <w:ind w:left="4680" w:hanging="180"/>
      </w:pPr>
    </w:lvl>
    <w:lvl w:ilvl="6" w:tplc="0BC27CFE" w:tentative="1">
      <w:start w:val="1"/>
      <w:numFmt w:val="decimal"/>
      <w:lvlText w:val="%7."/>
      <w:lvlJc w:val="left"/>
      <w:pPr>
        <w:tabs>
          <w:tab w:val="num" w:pos="5400"/>
        </w:tabs>
        <w:ind w:left="5400" w:hanging="360"/>
      </w:pPr>
    </w:lvl>
    <w:lvl w:ilvl="7" w:tplc="BFBC13DC" w:tentative="1">
      <w:start w:val="1"/>
      <w:numFmt w:val="lowerLetter"/>
      <w:lvlText w:val="%8."/>
      <w:lvlJc w:val="left"/>
      <w:pPr>
        <w:tabs>
          <w:tab w:val="num" w:pos="6120"/>
        </w:tabs>
        <w:ind w:left="6120" w:hanging="360"/>
      </w:pPr>
    </w:lvl>
    <w:lvl w:ilvl="8" w:tplc="3AA41C8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512450DC">
      <w:start w:val="1"/>
      <w:numFmt w:val="lowerRoman"/>
      <w:lvlText w:val="(%1)"/>
      <w:lvlJc w:val="left"/>
      <w:pPr>
        <w:tabs>
          <w:tab w:val="num" w:pos="2448"/>
        </w:tabs>
        <w:ind w:left="2448" w:hanging="648"/>
      </w:pPr>
      <w:rPr>
        <w:rFonts w:hint="default"/>
        <w:b w:val="0"/>
        <w:i w:val="0"/>
        <w:u w:val="none"/>
      </w:rPr>
    </w:lvl>
    <w:lvl w:ilvl="1" w:tplc="8EE6858E" w:tentative="1">
      <w:start w:val="1"/>
      <w:numFmt w:val="lowerLetter"/>
      <w:lvlText w:val="%2."/>
      <w:lvlJc w:val="left"/>
      <w:pPr>
        <w:tabs>
          <w:tab w:val="num" w:pos="1440"/>
        </w:tabs>
        <w:ind w:left="1440" w:hanging="360"/>
      </w:pPr>
    </w:lvl>
    <w:lvl w:ilvl="2" w:tplc="2EBAECCC" w:tentative="1">
      <w:start w:val="1"/>
      <w:numFmt w:val="lowerRoman"/>
      <w:lvlText w:val="%3."/>
      <w:lvlJc w:val="right"/>
      <w:pPr>
        <w:tabs>
          <w:tab w:val="num" w:pos="2160"/>
        </w:tabs>
        <w:ind w:left="2160" w:hanging="180"/>
      </w:pPr>
    </w:lvl>
    <w:lvl w:ilvl="3" w:tplc="FD96F2C0" w:tentative="1">
      <w:start w:val="1"/>
      <w:numFmt w:val="decimal"/>
      <w:lvlText w:val="%4."/>
      <w:lvlJc w:val="left"/>
      <w:pPr>
        <w:tabs>
          <w:tab w:val="num" w:pos="2880"/>
        </w:tabs>
        <w:ind w:left="2880" w:hanging="360"/>
      </w:pPr>
    </w:lvl>
    <w:lvl w:ilvl="4" w:tplc="65EEC538" w:tentative="1">
      <w:start w:val="1"/>
      <w:numFmt w:val="lowerLetter"/>
      <w:lvlText w:val="%5."/>
      <w:lvlJc w:val="left"/>
      <w:pPr>
        <w:tabs>
          <w:tab w:val="num" w:pos="3600"/>
        </w:tabs>
        <w:ind w:left="3600" w:hanging="360"/>
      </w:pPr>
    </w:lvl>
    <w:lvl w:ilvl="5" w:tplc="76ECA276" w:tentative="1">
      <w:start w:val="1"/>
      <w:numFmt w:val="lowerRoman"/>
      <w:lvlText w:val="%6."/>
      <w:lvlJc w:val="right"/>
      <w:pPr>
        <w:tabs>
          <w:tab w:val="num" w:pos="4320"/>
        </w:tabs>
        <w:ind w:left="4320" w:hanging="180"/>
      </w:pPr>
    </w:lvl>
    <w:lvl w:ilvl="6" w:tplc="22F2FBD2" w:tentative="1">
      <w:start w:val="1"/>
      <w:numFmt w:val="decimal"/>
      <w:lvlText w:val="%7."/>
      <w:lvlJc w:val="left"/>
      <w:pPr>
        <w:tabs>
          <w:tab w:val="num" w:pos="5040"/>
        </w:tabs>
        <w:ind w:left="5040" w:hanging="360"/>
      </w:pPr>
    </w:lvl>
    <w:lvl w:ilvl="7" w:tplc="52CA6DD0" w:tentative="1">
      <w:start w:val="1"/>
      <w:numFmt w:val="lowerLetter"/>
      <w:lvlText w:val="%8."/>
      <w:lvlJc w:val="left"/>
      <w:pPr>
        <w:tabs>
          <w:tab w:val="num" w:pos="5760"/>
        </w:tabs>
        <w:ind w:left="5760" w:hanging="360"/>
      </w:pPr>
    </w:lvl>
    <w:lvl w:ilvl="8" w:tplc="5E5C618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3AC53B2">
      <w:start w:val="1"/>
      <w:numFmt w:val="lowerLetter"/>
      <w:lvlText w:val="%1."/>
      <w:lvlJc w:val="left"/>
      <w:pPr>
        <w:tabs>
          <w:tab w:val="num" w:pos="2160"/>
        </w:tabs>
        <w:ind w:left="2160" w:hanging="720"/>
      </w:pPr>
      <w:rPr>
        <w:rFonts w:hint="default"/>
      </w:rPr>
    </w:lvl>
    <w:lvl w:ilvl="1" w:tplc="592C5D2C" w:tentative="1">
      <w:start w:val="1"/>
      <w:numFmt w:val="lowerLetter"/>
      <w:lvlText w:val="%2."/>
      <w:lvlJc w:val="left"/>
      <w:pPr>
        <w:tabs>
          <w:tab w:val="num" w:pos="2520"/>
        </w:tabs>
        <w:ind w:left="2520" w:hanging="360"/>
      </w:pPr>
    </w:lvl>
    <w:lvl w:ilvl="2" w:tplc="C07E13CE" w:tentative="1">
      <w:start w:val="1"/>
      <w:numFmt w:val="lowerRoman"/>
      <w:lvlText w:val="%3."/>
      <w:lvlJc w:val="right"/>
      <w:pPr>
        <w:tabs>
          <w:tab w:val="num" w:pos="3240"/>
        </w:tabs>
        <w:ind w:left="3240" w:hanging="180"/>
      </w:pPr>
    </w:lvl>
    <w:lvl w:ilvl="3" w:tplc="217E2A94" w:tentative="1">
      <w:start w:val="1"/>
      <w:numFmt w:val="decimal"/>
      <w:lvlText w:val="%4."/>
      <w:lvlJc w:val="left"/>
      <w:pPr>
        <w:tabs>
          <w:tab w:val="num" w:pos="3960"/>
        </w:tabs>
        <w:ind w:left="3960" w:hanging="360"/>
      </w:pPr>
    </w:lvl>
    <w:lvl w:ilvl="4" w:tplc="F3BC166C" w:tentative="1">
      <w:start w:val="1"/>
      <w:numFmt w:val="lowerLetter"/>
      <w:lvlText w:val="%5."/>
      <w:lvlJc w:val="left"/>
      <w:pPr>
        <w:tabs>
          <w:tab w:val="num" w:pos="4680"/>
        </w:tabs>
        <w:ind w:left="4680" w:hanging="360"/>
      </w:pPr>
    </w:lvl>
    <w:lvl w:ilvl="5" w:tplc="965849D2" w:tentative="1">
      <w:start w:val="1"/>
      <w:numFmt w:val="lowerRoman"/>
      <w:lvlText w:val="%6."/>
      <w:lvlJc w:val="right"/>
      <w:pPr>
        <w:tabs>
          <w:tab w:val="num" w:pos="5400"/>
        </w:tabs>
        <w:ind w:left="5400" w:hanging="180"/>
      </w:pPr>
    </w:lvl>
    <w:lvl w:ilvl="6" w:tplc="4A7248D8" w:tentative="1">
      <w:start w:val="1"/>
      <w:numFmt w:val="decimal"/>
      <w:lvlText w:val="%7."/>
      <w:lvlJc w:val="left"/>
      <w:pPr>
        <w:tabs>
          <w:tab w:val="num" w:pos="6120"/>
        </w:tabs>
        <w:ind w:left="6120" w:hanging="360"/>
      </w:pPr>
    </w:lvl>
    <w:lvl w:ilvl="7" w:tplc="D6561A98" w:tentative="1">
      <w:start w:val="1"/>
      <w:numFmt w:val="lowerLetter"/>
      <w:lvlText w:val="%8."/>
      <w:lvlJc w:val="left"/>
      <w:pPr>
        <w:tabs>
          <w:tab w:val="num" w:pos="6840"/>
        </w:tabs>
        <w:ind w:left="6840" w:hanging="360"/>
      </w:pPr>
    </w:lvl>
    <w:lvl w:ilvl="8" w:tplc="83D6249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F5E26CBE">
      <w:start w:val="1"/>
      <w:numFmt w:val="bullet"/>
      <w:lvlText w:val=""/>
      <w:lvlJc w:val="left"/>
      <w:pPr>
        <w:tabs>
          <w:tab w:val="num" w:pos="5760"/>
        </w:tabs>
        <w:ind w:left="5760" w:hanging="360"/>
      </w:pPr>
      <w:rPr>
        <w:rFonts w:ascii="Symbol" w:hAnsi="Symbol" w:hint="default"/>
        <w:color w:val="auto"/>
        <w:u w:val="none"/>
      </w:rPr>
    </w:lvl>
    <w:lvl w:ilvl="1" w:tplc="453C7950" w:tentative="1">
      <w:start w:val="1"/>
      <w:numFmt w:val="bullet"/>
      <w:lvlText w:val="o"/>
      <w:lvlJc w:val="left"/>
      <w:pPr>
        <w:tabs>
          <w:tab w:val="num" w:pos="3600"/>
        </w:tabs>
        <w:ind w:left="3600" w:hanging="360"/>
      </w:pPr>
      <w:rPr>
        <w:rFonts w:ascii="Courier New" w:hAnsi="Courier New" w:hint="default"/>
      </w:rPr>
    </w:lvl>
    <w:lvl w:ilvl="2" w:tplc="65D2B77A" w:tentative="1">
      <w:start w:val="1"/>
      <w:numFmt w:val="bullet"/>
      <w:lvlText w:val=""/>
      <w:lvlJc w:val="left"/>
      <w:pPr>
        <w:tabs>
          <w:tab w:val="num" w:pos="4320"/>
        </w:tabs>
        <w:ind w:left="4320" w:hanging="360"/>
      </w:pPr>
      <w:rPr>
        <w:rFonts w:ascii="Wingdings" w:hAnsi="Wingdings" w:hint="default"/>
      </w:rPr>
    </w:lvl>
    <w:lvl w:ilvl="3" w:tplc="38CEB6F2">
      <w:start w:val="1"/>
      <w:numFmt w:val="bullet"/>
      <w:lvlText w:val=""/>
      <w:lvlJc w:val="left"/>
      <w:pPr>
        <w:tabs>
          <w:tab w:val="num" w:pos="5040"/>
        </w:tabs>
        <w:ind w:left="5040" w:hanging="360"/>
      </w:pPr>
      <w:rPr>
        <w:rFonts w:ascii="Symbol" w:hAnsi="Symbol" w:hint="default"/>
      </w:rPr>
    </w:lvl>
    <w:lvl w:ilvl="4" w:tplc="07189DBE" w:tentative="1">
      <w:start w:val="1"/>
      <w:numFmt w:val="bullet"/>
      <w:lvlText w:val="o"/>
      <w:lvlJc w:val="left"/>
      <w:pPr>
        <w:tabs>
          <w:tab w:val="num" w:pos="5760"/>
        </w:tabs>
        <w:ind w:left="5760" w:hanging="360"/>
      </w:pPr>
      <w:rPr>
        <w:rFonts w:ascii="Courier New" w:hAnsi="Courier New" w:hint="default"/>
      </w:rPr>
    </w:lvl>
    <w:lvl w:ilvl="5" w:tplc="0F14E040" w:tentative="1">
      <w:start w:val="1"/>
      <w:numFmt w:val="bullet"/>
      <w:lvlText w:val=""/>
      <w:lvlJc w:val="left"/>
      <w:pPr>
        <w:tabs>
          <w:tab w:val="num" w:pos="6480"/>
        </w:tabs>
        <w:ind w:left="6480" w:hanging="360"/>
      </w:pPr>
      <w:rPr>
        <w:rFonts w:ascii="Wingdings" w:hAnsi="Wingdings" w:hint="default"/>
      </w:rPr>
    </w:lvl>
    <w:lvl w:ilvl="6" w:tplc="7C322D2C" w:tentative="1">
      <w:start w:val="1"/>
      <w:numFmt w:val="bullet"/>
      <w:lvlText w:val=""/>
      <w:lvlJc w:val="left"/>
      <w:pPr>
        <w:tabs>
          <w:tab w:val="num" w:pos="7200"/>
        </w:tabs>
        <w:ind w:left="7200" w:hanging="360"/>
      </w:pPr>
      <w:rPr>
        <w:rFonts w:ascii="Symbol" w:hAnsi="Symbol" w:hint="default"/>
      </w:rPr>
    </w:lvl>
    <w:lvl w:ilvl="7" w:tplc="80B8B9D8" w:tentative="1">
      <w:start w:val="1"/>
      <w:numFmt w:val="bullet"/>
      <w:lvlText w:val="o"/>
      <w:lvlJc w:val="left"/>
      <w:pPr>
        <w:tabs>
          <w:tab w:val="num" w:pos="7920"/>
        </w:tabs>
        <w:ind w:left="7920" w:hanging="360"/>
      </w:pPr>
      <w:rPr>
        <w:rFonts w:ascii="Courier New" w:hAnsi="Courier New" w:hint="default"/>
      </w:rPr>
    </w:lvl>
    <w:lvl w:ilvl="8" w:tplc="449C701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047428AA">
      <w:start w:val="1"/>
      <w:numFmt w:val="bullet"/>
      <w:lvlText w:val=""/>
      <w:lvlJc w:val="left"/>
      <w:pPr>
        <w:tabs>
          <w:tab w:val="num" w:pos="720"/>
        </w:tabs>
        <w:ind w:left="720" w:hanging="360"/>
      </w:pPr>
      <w:rPr>
        <w:rFonts w:ascii="Symbol" w:hAnsi="Symbol" w:hint="default"/>
      </w:rPr>
    </w:lvl>
    <w:lvl w:ilvl="1" w:tplc="51104C08" w:tentative="1">
      <w:start w:val="1"/>
      <w:numFmt w:val="bullet"/>
      <w:lvlText w:val="o"/>
      <w:lvlJc w:val="left"/>
      <w:pPr>
        <w:tabs>
          <w:tab w:val="num" w:pos="1440"/>
        </w:tabs>
        <w:ind w:left="1440" w:hanging="360"/>
      </w:pPr>
      <w:rPr>
        <w:rFonts w:ascii="Courier New" w:hAnsi="Courier New" w:hint="default"/>
      </w:rPr>
    </w:lvl>
    <w:lvl w:ilvl="2" w:tplc="3F144AAC" w:tentative="1">
      <w:start w:val="1"/>
      <w:numFmt w:val="bullet"/>
      <w:lvlText w:val=""/>
      <w:lvlJc w:val="left"/>
      <w:pPr>
        <w:tabs>
          <w:tab w:val="num" w:pos="2160"/>
        </w:tabs>
        <w:ind w:left="2160" w:hanging="360"/>
      </w:pPr>
      <w:rPr>
        <w:rFonts w:ascii="Wingdings" w:hAnsi="Wingdings" w:hint="default"/>
      </w:rPr>
    </w:lvl>
    <w:lvl w:ilvl="3" w:tplc="11100F60" w:tentative="1">
      <w:start w:val="1"/>
      <w:numFmt w:val="bullet"/>
      <w:lvlText w:val=""/>
      <w:lvlJc w:val="left"/>
      <w:pPr>
        <w:tabs>
          <w:tab w:val="num" w:pos="2880"/>
        </w:tabs>
        <w:ind w:left="2880" w:hanging="360"/>
      </w:pPr>
      <w:rPr>
        <w:rFonts w:ascii="Symbol" w:hAnsi="Symbol" w:hint="default"/>
      </w:rPr>
    </w:lvl>
    <w:lvl w:ilvl="4" w:tplc="3BB28498" w:tentative="1">
      <w:start w:val="1"/>
      <w:numFmt w:val="bullet"/>
      <w:lvlText w:val="o"/>
      <w:lvlJc w:val="left"/>
      <w:pPr>
        <w:tabs>
          <w:tab w:val="num" w:pos="3600"/>
        </w:tabs>
        <w:ind w:left="3600" w:hanging="360"/>
      </w:pPr>
      <w:rPr>
        <w:rFonts w:ascii="Courier New" w:hAnsi="Courier New" w:hint="default"/>
      </w:rPr>
    </w:lvl>
    <w:lvl w:ilvl="5" w:tplc="44F03068" w:tentative="1">
      <w:start w:val="1"/>
      <w:numFmt w:val="bullet"/>
      <w:lvlText w:val=""/>
      <w:lvlJc w:val="left"/>
      <w:pPr>
        <w:tabs>
          <w:tab w:val="num" w:pos="4320"/>
        </w:tabs>
        <w:ind w:left="4320" w:hanging="360"/>
      </w:pPr>
      <w:rPr>
        <w:rFonts w:ascii="Wingdings" w:hAnsi="Wingdings" w:hint="default"/>
      </w:rPr>
    </w:lvl>
    <w:lvl w:ilvl="6" w:tplc="4F76B61A" w:tentative="1">
      <w:start w:val="1"/>
      <w:numFmt w:val="bullet"/>
      <w:lvlText w:val=""/>
      <w:lvlJc w:val="left"/>
      <w:pPr>
        <w:tabs>
          <w:tab w:val="num" w:pos="5040"/>
        </w:tabs>
        <w:ind w:left="5040" w:hanging="360"/>
      </w:pPr>
      <w:rPr>
        <w:rFonts w:ascii="Symbol" w:hAnsi="Symbol" w:hint="default"/>
      </w:rPr>
    </w:lvl>
    <w:lvl w:ilvl="7" w:tplc="8D380882" w:tentative="1">
      <w:start w:val="1"/>
      <w:numFmt w:val="bullet"/>
      <w:lvlText w:val="o"/>
      <w:lvlJc w:val="left"/>
      <w:pPr>
        <w:tabs>
          <w:tab w:val="num" w:pos="5760"/>
        </w:tabs>
        <w:ind w:left="5760" w:hanging="360"/>
      </w:pPr>
      <w:rPr>
        <w:rFonts w:ascii="Courier New" w:hAnsi="Courier New" w:hint="default"/>
      </w:rPr>
    </w:lvl>
    <w:lvl w:ilvl="8" w:tplc="AD38C64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BF413E0">
      <w:start w:val="6"/>
      <w:numFmt w:val="lowerRoman"/>
      <w:lvlText w:val="(%1)"/>
      <w:lvlJc w:val="left"/>
      <w:pPr>
        <w:tabs>
          <w:tab w:val="num" w:pos="1440"/>
        </w:tabs>
        <w:ind w:left="1440" w:hanging="720"/>
      </w:pPr>
      <w:rPr>
        <w:rFonts w:hint="default"/>
        <w:u w:val="double"/>
      </w:rPr>
    </w:lvl>
    <w:lvl w:ilvl="1" w:tplc="DD1072C4" w:tentative="1">
      <w:start w:val="1"/>
      <w:numFmt w:val="lowerLetter"/>
      <w:lvlText w:val="%2."/>
      <w:lvlJc w:val="left"/>
      <w:pPr>
        <w:tabs>
          <w:tab w:val="num" w:pos="1800"/>
        </w:tabs>
        <w:ind w:left="1800" w:hanging="360"/>
      </w:pPr>
    </w:lvl>
    <w:lvl w:ilvl="2" w:tplc="2A66F0D4" w:tentative="1">
      <w:start w:val="1"/>
      <w:numFmt w:val="lowerRoman"/>
      <w:lvlText w:val="%3."/>
      <w:lvlJc w:val="right"/>
      <w:pPr>
        <w:tabs>
          <w:tab w:val="num" w:pos="2520"/>
        </w:tabs>
        <w:ind w:left="2520" w:hanging="180"/>
      </w:pPr>
    </w:lvl>
    <w:lvl w:ilvl="3" w:tplc="74041FA0" w:tentative="1">
      <w:start w:val="1"/>
      <w:numFmt w:val="decimal"/>
      <w:lvlText w:val="%4."/>
      <w:lvlJc w:val="left"/>
      <w:pPr>
        <w:tabs>
          <w:tab w:val="num" w:pos="3240"/>
        </w:tabs>
        <w:ind w:left="3240" w:hanging="360"/>
      </w:pPr>
    </w:lvl>
    <w:lvl w:ilvl="4" w:tplc="C854F008" w:tentative="1">
      <w:start w:val="1"/>
      <w:numFmt w:val="lowerLetter"/>
      <w:lvlText w:val="%5."/>
      <w:lvlJc w:val="left"/>
      <w:pPr>
        <w:tabs>
          <w:tab w:val="num" w:pos="3960"/>
        </w:tabs>
        <w:ind w:left="3960" w:hanging="360"/>
      </w:pPr>
    </w:lvl>
    <w:lvl w:ilvl="5" w:tplc="07D4B1FC" w:tentative="1">
      <w:start w:val="1"/>
      <w:numFmt w:val="lowerRoman"/>
      <w:lvlText w:val="%6."/>
      <w:lvlJc w:val="right"/>
      <w:pPr>
        <w:tabs>
          <w:tab w:val="num" w:pos="4680"/>
        </w:tabs>
        <w:ind w:left="4680" w:hanging="180"/>
      </w:pPr>
    </w:lvl>
    <w:lvl w:ilvl="6" w:tplc="93FA59B2" w:tentative="1">
      <w:start w:val="1"/>
      <w:numFmt w:val="decimal"/>
      <w:lvlText w:val="%7."/>
      <w:lvlJc w:val="left"/>
      <w:pPr>
        <w:tabs>
          <w:tab w:val="num" w:pos="5400"/>
        </w:tabs>
        <w:ind w:left="5400" w:hanging="360"/>
      </w:pPr>
    </w:lvl>
    <w:lvl w:ilvl="7" w:tplc="98EE56EC" w:tentative="1">
      <w:start w:val="1"/>
      <w:numFmt w:val="lowerLetter"/>
      <w:lvlText w:val="%8."/>
      <w:lvlJc w:val="left"/>
      <w:pPr>
        <w:tabs>
          <w:tab w:val="num" w:pos="6120"/>
        </w:tabs>
        <w:ind w:left="6120" w:hanging="360"/>
      </w:pPr>
    </w:lvl>
    <w:lvl w:ilvl="8" w:tplc="1572FBA6"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318"/>
    <w:rsid w:val="000B0318"/>
    <w:rsid w:val="00DA0D6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2010-12-08T18:24:00Z</cp:lastPrinted>
  <dcterms:created xsi:type="dcterms:W3CDTF">2018-09-17T09:47:00Z</dcterms:created>
  <dcterms:modified xsi:type="dcterms:W3CDTF">2018-09-17T09:47:00Z</dcterms:modified>
</cp:coreProperties>
</file>