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21518" w:rsidP="00821518">
      <w:pPr>
        <w:pStyle w:val="Heading20"/>
      </w:pPr>
      <w:bookmarkStart w:id="0" w:name="_Toc261252160"/>
      <w:bookmarkStart w:id="1" w:name="_DV_C3_0"/>
      <w:bookmarkStart w:id="2" w:name="_DV_C2_0"/>
      <w:bookmarkStart w:id="3" w:name="_GoBack"/>
      <w:bookmarkEnd w:id="3"/>
      <w:r>
        <w:t>23.1.</w:t>
      </w:r>
      <w:r>
        <w:tab/>
        <w:t>Purpose and Objectives</w:t>
      </w:r>
      <w:bookmarkEnd w:id="0"/>
    </w:p>
    <w:p w:rsidR="00821518" w:rsidRPr="00964858" w:rsidP="00301F6F">
      <w:pPr>
        <w:pStyle w:val="alphapara"/>
      </w:pPr>
      <w:r w:rsidRPr="0070675C">
        <w:t>23.1.</w:t>
      </w:r>
      <w:r>
        <w:t>1</w:t>
      </w:r>
      <w:r>
        <w:tab/>
      </w:r>
      <w: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t>avoi</w:t>
      </w:r>
      <w:r w:rsidRPr="00964858">
        <w:t xml:space="preserve">ding unnecessary interference with competitive price signals.  Consistent with the provisions of the ISO’s Market Monitoring Plan </w:t>
      </w:r>
      <w:r>
        <w:t xml:space="preserve">(“Plan”) </w:t>
      </w:r>
      <w:r w:rsidRPr="00964858">
        <w:t>that is set forth in Attachment O to the ISO Services Tariff, these Mitigation Measures are intended to minimize inte</w:t>
      </w:r>
      <w:r w:rsidRPr="00964858">
        <w:t>rference with open and competitive markets, and thus to permit, to the maximum extent practicable, price levels to be</w:t>
      </w:r>
      <w:r>
        <w:t xml:space="preserve"> determined by competitive forces under the prevailing market conditions.  To that end, the Mitigation Measures authorize the mitigation on</w:t>
      </w:r>
      <w:r>
        <w:t>ly of specific conduct that exceeds well-defined thresholds specified below.</w:t>
      </w:r>
    </w:p>
    <w:p w:rsidR="00821518" w:rsidRPr="00964858" w:rsidP="00301F6F">
      <w:pPr>
        <w:pStyle w:val="alphapara"/>
        <w:rPr>
          <w:color w:val="000000"/>
        </w:rPr>
      </w:pPr>
      <w:r w:rsidRPr="0070675C">
        <w:t>23.1.</w:t>
      </w:r>
      <w:r>
        <w:t>2</w:t>
      </w:r>
      <w:r w:rsidRPr="00964858">
        <w:tab/>
        <w:t xml:space="preserve">In </w:t>
      </w:r>
      <w:r w:rsidRPr="00301F6F">
        <w:t>addition</w:t>
      </w:r>
      <w:r w:rsidRPr="00964858">
        <w:t>, the ISO and its Market Monitoring Unit shall monitor the markets the ISO administers for conduct that the ISO or the Market Monitoring Unit determine</w:t>
      </w:r>
      <w:r w:rsidRPr="00964858">
        <w:rPr>
          <w:strike/>
        </w:rPr>
        <w:t>s</w:t>
      </w:r>
      <w:r w:rsidRPr="00964858">
        <w:t xml:space="preserve"> constitu</w:t>
      </w:r>
      <w:r w:rsidRPr="00964858">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t xml:space="preserve">presumptive market effects specified in </w:t>
      </w:r>
      <w:r w:rsidRPr="005A63BF">
        <w:t>Section 23.3.2.3</w:t>
      </w:r>
      <w:r w:rsidRPr="00964858">
        <w:rPr>
          <w:color w:val="000000"/>
        </w:rPr>
        <w:t xml:space="preserve"> below, it shall make a filing under Section 205 of the Federal Power Act, 16 U.S.C. § 824d (1999) (“§ 205”) with the Commission requesting </w:t>
      </w:r>
      <w:r w:rsidRPr="002D1C28">
        <w:t>authorization</w:t>
      </w:r>
      <w:r w:rsidRPr="00964858">
        <w:rPr>
          <w:color w:val="000000"/>
        </w:rPr>
        <w:t xml:space="preserve"> to apply appropriate mitigation measures.  Any</w:t>
      </w:r>
      <w:r w:rsidRPr="00964858">
        <w:rPr>
          <w:color w:val="000000"/>
        </w:rPr>
        <w:t xml:space="preserve"> such filing shall identify the particular conduct the ISO believes warrants mitigation, shall propose a specific mitigation measure for the conduct, shall incorporate or address the </w:t>
      </w:r>
      <w:r w:rsidRPr="00964858">
        <w:rPr>
          <w:color w:val="000000"/>
        </w:rPr>
        <w:t>recommendation of its Market Monitoring Unit, and shall set forth the ISO</w:t>
      </w:r>
      <w:r w:rsidRPr="00964858">
        <w:rPr>
          <w:color w:val="000000"/>
        </w:rPr>
        <w:t>’s justification for imposing that mitigation measure.</w:t>
      </w:r>
      <w:bookmarkStart w:id="4" w:name="OLE_LINK6"/>
      <w:bookmarkStart w:id="5" w:name="OLE_LINK7"/>
      <w:r w:rsidRPr="00964858">
        <w:rPr>
          <w:color w:val="000000"/>
        </w:rPr>
        <w:t xml:space="preserve">  The Market Monitoring Unit’s reporting obligations are specified in </w:t>
      </w:r>
      <w:r w:rsidRPr="005A63BF">
        <w:rPr>
          <w:color w:val="000000"/>
        </w:rPr>
        <w:t>Sections 30.4.5.3 and 30.4.5.4 of Attachment O</w:t>
      </w:r>
      <w:r w:rsidRPr="00964858">
        <w:rPr>
          <w:color w:val="000000"/>
        </w:rPr>
        <w:t>.  The responsibilities of the Market Monitoring Unit that are addressed in this secti</w:t>
      </w:r>
      <w:r w:rsidRPr="00964858">
        <w:rPr>
          <w:color w:val="000000"/>
        </w:rPr>
        <w:t xml:space="preserve">on of the Mitigation Measures are also addressed in </w:t>
      </w:r>
      <w:r w:rsidRPr="005A63BF">
        <w:rPr>
          <w:color w:val="000000"/>
        </w:rPr>
        <w:t>Section 30.4.6.2.1 of Attachment O</w:t>
      </w:r>
      <w:r w:rsidRPr="00964858">
        <w:rPr>
          <w:color w:val="000000"/>
        </w:rPr>
        <w:t>.</w:t>
      </w:r>
      <w:bookmarkEnd w:id="4"/>
      <w:bookmarkEnd w:id="5"/>
    </w:p>
    <w:p w:rsidR="00821518" w:rsidP="00301F6F">
      <w:pPr>
        <w:pStyle w:val="Bodypara5"/>
        <w:ind w:firstLine="0"/>
        <w:sectPr w:rsidSect="00821518">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sectPr>
      </w:pPr>
      <w:bookmarkStart w:id="6" w:name="_DV_M7"/>
      <w:bookmarkEnd w:id="1"/>
      <w:bookmarkEnd w:id="2"/>
      <w:bookmarkEnd w:id="6"/>
    </w:p>
    <w:p w:rsidR="00582C3C">
      <w:pPr>
        <w:pStyle w:val="Heading25"/>
        <w:rPr>
          <w:rStyle w:val="DefaultParagraphFont"/>
        </w:rPr>
      </w:pPr>
      <w:bookmarkStart w:id="7" w:name="_Toc261252161"/>
      <w:bookmarkStart w:id="8" w:name="_GoBack_0"/>
      <w:bookmarkEnd w:id="8"/>
      <w:r>
        <w:rPr>
          <w:rStyle w:val="DefaultParagraphFont"/>
        </w:rPr>
        <w:t>23.2</w:t>
      </w:r>
      <w:r>
        <w:rPr>
          <w:rStyle w:val="DefaultParagraphFont"/>
        </w:rPr>
        <w:tab/>
        <w:t>Conduct Warranting Mitigation</w:t>
      </w:r>
      <w:bookmarkEnd w:id="7"/>
    </w:p>
    <w:p w:rsidR="00582C3C">
      <w:pPr>
        <w:pStyle w:val="Heading35"/>
        <w:rPr>
          <w:rStyle w:val="DefaultParagraphFont"/>
        </w:rPr>
      </w:pPr>
      <w:bookmarkStart w:id="9" w:name="_DV_M8"/>
      <w:bookmarkStart w:id="10" w:name="_Toc261252162"/>
      <w:bookmarkEnd w:id="9"/>
      <w:r>
        <w:rPr>
          <w:rStyle w:val="DefaultParagraphFont"/>
        </w:rPr>
        <w:t>23.2.1</w:t>
      </w:r>
      <w:r>
        <w:rPr>
          <w:rStyle w:val="DefaultParagraphFont"/>
        </w:rPr>
        <w:tab/>
        <w:t>Definitions</w:t>
      </w:r>
      <w:bookmarkEnd w:id="10"/>
    </w:p>
    <w:p w:rsidR="00582C3C">
      <w:pPr>
        <w:pStyle w:val="Bodypara6"/>
        <w:rPr>
          <w:rStyle w:val="DefaultParagraphFont"/>
        </w:rPr>
      </w:pPr>
      <w:r>
        <w:rPr>
          <w:rStyle w:val="DefaultParagraphFont"/>
        </w:rPr>
        <w:t>The following definitions are applicable to this Attachment H:</w:t>
      </w:r>
    </w:p>
    <w:p w:rsidR="00582C3C">
      <w:pPr>
        <w:pStyle w:val="Definition1"/>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1"/>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1"/>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3"/>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1"/>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3"/>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3"/>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1"/>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1"/>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1"/>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1"/>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1"/>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1"/>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1"/>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1"/>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1"/>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8A079E" w:rsidRPr="0094311D" w:rsidP="0094311D">
      <w:pPr>
        <w:pStyle w:val="Normal6"/>
        <w:rPr>
          <w:rStyle w:val="DefaultParagraphFont"/>
          <w:sz w:val="22"/>
          <w:szCs w:val="22"/>
        </w:rPr>
      </w:pPr>
      <w:r w:rsidRPr="000C4D9C">
        <w:rPr>
          <w:rStyle w:val="DefaultParagraphFont"/>
        </w:rPr>
        <w:t>For purposes of Section 23.4.5.6 of this Attachment H,</w:t>
      </w:r>
      <w:r w:rsidRPr="000C4D9C">
        <w:rPr>
          <w:rStyle w:val="DefaultParagraphFont"/>
          <w:b/>
          <w:bCs/>
        </w:rPr>
        <w:t xml:space="preserve"> “CRIS </w:t>
      </w:r>
      <w:r>
        <w:rPr>
          <w:rStyle w:val="DefaultParagraphFont"/>
          <w:b/>
          <w:bCs/>
        </w:rPr>
        <w:t xml:space="preserve">Transfer </w:t>
      </w:r>
      <w:r w:rsidRPr="000C4D9C">
        <w:rPr>
          <w:rStyle w:val="DefaultParagraphFont"/>
          <w:b/>
          <w:bCs/>
        </w:rPr>
        <w:t xml:space="preserve">Confirmation Date” </w:t>
      </w:r>
      <w:r w:rsidRPr="000C4D9C">
        <w:rPr>
          <w:rStyle w:val="DefaultParagraphFont"/>
        </w:rPr>
        <w:t xml:space="preserve">shall mean the date in which the transferor and transferee confirms the proposed CRIS transfer (e.g., </w:t>
      </w:r>
      <w:r w:rsidRPr="000C4D9C">
        <w:rPr>
          <w:rStyle w:val="DefaultParagraphFont"/>
        </w:rPr>
        <w:t>through a CRIS transfer notification form submitted prior to August 1st for same location CRIS transfers for active facilities</w:t>
      </w:r>
      <w:r>
        <w:rPr>
          <w:rStyle w:val="DefaultParagraphFont"/>
        </w:rPr>
        <w:t xml:space="preserve"> </w:t>
      </w:r>
      <w:r w:rsidRPr="00870468">
        <w:rPr>
          <w:rStyle w:val="DefaultParagraphFont"/>
        </w:rPr>
        <w:t>looking to transfer CRIS rights for the next Capability Year</w:t>
      </w:r>
      <w:r w:rsidRPr="000C4D9C">
        <w:rPr>
          <w:rStyle w:val="DefaultParagraphFont"/>
        </w:rPr>
        <w:t>) and is considered by ISO, in consultation with the Market Monitorin</w:t>
      </w:r>
      <w:r w:rsidRPr="000C4D9C">
        <w:rPr>
          <w:rStyle w:val="DefaultParagraphFont"/>
        </w:rPr>
        <w:t>g Unit, to be a date which will become, essentially and practicably, an irreversible action for the transferor with respect to effectuating the CRIS transfer and for purposes with respect to the NYISO’s issuance of a final physical withholding determinatio</w:t>
      </w:r>
      <w:r w:rsidRPr="000C4D9C">
        <w:rPr>
          <w:rStyle w:val="DefaultParagraphFont"/>
        </w:rPr>
        <w:t xml:space="preserve">n to the transferor. </w:t>
      </w:r>
    </w:p>
    <w:p w:rsidR="008A079E">
      <w:pPr>
        <w:pStyle w:val="Definition1"/>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 X, or Z).</w:t>
      </w:r>
    </w:p>
    <w:p w:rsidR="00582C3C">
      <w:pPr>
        <w:pStyle w:val="Definition1"/>
        <w:rPr>
          <w:rStyle w:val="DefaultParagraphFont"/>
        </w:rPr>
      </w:pPr>
      <w:r>
        <w:rPr>
          <w:rStyle w:val="DefaultParagraphFont"/>
        </w:rPr>
        <w:t>“</w:t>
      </w:r>
      <w:r>
        <w:rPr>
          <w:rStyle w:val="DefaultParagraphFont"/>
          <w:b/>
        </w:rPr>
        <w:t>Developer</w:t>
      </w:r>
      <w:r>
        <w:rPr>
          <w:rStyle w:val="DefaultParagraphFont"/>
        </w:rPr>
        <w:t>” shall have the m</w:t>
      </w:r>
      <w:r>
        <w:rPr>
          <w:rStyle w:val="DefaultParagraphFont"/>
        </w:rPr>
        <w:t>eaning specified in the ISO’s Open Access Transmission Tariff.</w:t>
      </w:r>
    </w:p>
    <w:p w:rsidR="00582C3C">
      <w:pPr>
        <w:pStyle w:val="Definition1"/>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1"/>
        <w:rPr>
          <w:rStyle w:val="DefaultParagraphFont"/>
        </w:rPr>
      </w:pPr>
      <w:r>
        <w:rPr>
          <w:rStyle w:val="DefaultParagraphFont"/>
        </w:rPr>
        <w:t>For purposes of Section 23.4.5 of this Attachment H, “</w:t>
      </w:r>
      <w:r>
        <w:rPr>
          <w:rStyle w:val="DefaultParagraphFont"/>
          <w:b/>
        </w:rPr>
        <w:t>Entity</w:t>
      </w:r>
      <w:r>
        <w:rPr>
          <w:rStyle w:val="DefaultParagraphFont"/>
        </w:rPr>
        <w:t>” shall mean a corporation, partnership, limited lia</w:t>
      </w:r>
      <w:r>
        <w:rPr>
          <w:rStyle w:val="DefaultParagraphFont"/>
        </w:rPr>
        <w:t xml:space="preserve">bility corporation or partnership, firm, joint venture, association, joint-stock company, trust, unincorporated organization or other form of legal or juridical organization or entity. </w:t>
      </w:r>
    </w:p>
    <w:p w:rsidR="00F11865">
      <w:pPr>
        <w:pStyle w:val="Definition1"/>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s</w:t>
      </w:r>
      <w:r w:rsidRPr="00B15590">
        <w:rPr>
          <w:rStyle w:val="DefaultParagraphFont"/>
        </w:rPr>
        <w:t xml:space="preserve">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from the Class Year Study Start Date and t</w:t>
      </w:r>
      <w:r>
        <w:rPr>
          <w:rStyle w:val="DefaultParagraphFont"/>
        </w:rPr>
        <w:t>hree months from the Expedited Deliverability Study Start Date for the purpose of establishing the starting Capability Years for the Part A Mitigation Study Period Years 1 through 3 and Part A Mitigation Study Period Years 4 through 6.</w:t>
      </w:r>
    </w:p>
    <w:p w:rsidR="00582C3C">
      <w:pPr>
        <w:pStyle w:val="Definition1"/>
        <w:rPr>
          <w:rStyle w:val="DefaultParagraphFont"/>
        </w:rPr>
      </w:pPr>
      <w:r>
        <w:rPr>
          <w:rStyle w:val="DefaultParagraphFont"/>
        </w:rPr>
        <w:t>“</w:t>
      </w:r>
      <w:r>
        <w:rPr>
          <w:rStyle w:val="DefaultParagraphFont"/>
          <w:b/>
        </w:rPr>
        <w:t>Examined Facility</w:t>
      </w:r>
      <w:r>
        <w:rPr>
          <w:rStyle w:val="DefaultParagraphFont"/>
        </w:rPr>
        <w:t xml:space="preserve">” </w:t>
      </w:r>
      <w:r>
        <w:rPr>
          <w:rStyle w:val="DefaultParagraphFont"/>
        </w:rPr>
        <w:t>shall mean (I) each proposed new Generator and proposed new UDR project, and each existing Generator that has ERIS only and no CRIS, that is a member of the Class Year Study, Additional SDU Study or Expedited Deliverability Study that requested CRIS</w:t>
      </w:r>
      <w:r>
        <w:rPr>
          <w:rStyle w:val="DefaultParagraphFont"/>
        </w:rPr>
        <w:t xml:space="preserve"> </w:t>
      </w:r>
      <w:r>
        <w:rPr>
          <w:rStyle w:val="DefaultParagraphFont"/>
        </w:rPr>
        <w:t>, or t</w:t>
      </w:r>
      <w:r>
        <w:rPr>
          <w:rStyle w:val="DefaultParagraphFont"/>
        </w:rPr>
        <w:t>hat requested an evaluation of the transfer of CRIS rights from another location in the Class Year Facilities Study commencing in the calendar year in which the Class Year Facility Study determination is being made (the Capability Periods of expected entry</w:t>
      </w:r>
      <w:r>
        <w:rPr>
          <w:rStyle w:val="DefaultParagraphFont"/>
        </w:rPr>
        <w:t xml:space="preserve"> as further described below in this Section, the “Mitigation Study Period”), and (II) each (i) existing Generator that did not have CRIS rights, and (ii) proposed new Generator and proposed new UDR project, provided such Generator under Subsection (i) or (</w:t>
      </w:r>
      <w:r>
        <w:rPr>
          <w:rStyle w:val="DefaultParagraphFont"/>
        </w:rPr>
        <w:t>ii) is an expected recipient of transferred CRIS rights at the same location regarding which the ISO has been notified by the transferor or the transferee of a transfer pursuant to OATT Attachment S Section 25.9.4 that will be effective on a date within th</w:t>
      </w:r>
      <w:r>
        <w:rPr>
          <w:rStyle w:val="DefaultParagraphFont"/>
        </w:rPr>
        <w:t>e Mitigation Study Period (“Expected CRIS Transferee”). The term “Examined Facilities” does not include any facility exempt from an Offer Floor pursuant to the provisions of Section 23.4.5.7.7; or any Generator or UDR project that meets the definition of E</w:t>
      </w:r>
      <w:r>
        <w:rPr>
          <w:rStyle w:val="DefaultParagraphFont"/>
        </w:rPr>
        <w:t>xcluded Facilities below.</w:t>
      </w:r>
    </w:p>
    <w:p w:rsidR="00582C3C">
      <w:pPr>
        <w:pStyle w:val="Definition1"/>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ISO to perform an audit and review of a M</w:t>
      </w:r>
      <w:r>
        <w:rPr>
          <w:rStyle w:val="DefaultParagraphFont"/>
        </w:rPr>
        <w:t>arket Party, pursuant to Section 23.4.5.6.2 of this Services Tariff.  Exceptional Circumstances may include, but are not limited to: the inaccessibility of the physical facility; the inaccessibility of necessary documentation or other data; and the unavail</w:t>
      </w:r>
      <w:r>
        <w:rPr>
          <w:rStyle w:val="DefaultParagraphFont"/>
        </w:rPr>
        <w:t>ability of information regarding the regulatory obligations with which the Market Party will be required to comply in order to return its Generator to service which regulatory obligations are not yet known but which will be made known by the applicable reg</w:t>
      </w:r>
      <w:r>
        <w:rPr>
          <w:rStyle w:val="DefaultParagraphFont"/>
        </w:rPr>
        <w:t xml:space="preserve">ulatory authority under existing laws and regulations provided that none of the above described circumstances are the result of delay or inaction by the Market Party. The magnitude of the repair cost, alone, shall not be an Exceptional Circumstance.  </w:t>
      </w:r>
    </w:p>
    <w:p w:rsidR="00582C3C">
      <w:pPr>
        <w:pStyle w:val="Definition1"/>
        <w:rPr>
          <w:rStyle w:val="DefaultParagraphFont"/>
        </w:rPr>
      </w:pPr>
      <w:r>
        <w:rPr>
          <w:rStyle w:val="DefaultParagraphFont"/>
          <w:b/>
          <w:bCs/>
        </w:rPr>
        <w:t>Excl</w:t>
      </w:r>
      <w:r>
        <w:rPr>
          <w:rStyle w:val="DefaultParagraphFont"/>
          <w:b/>
          <w:bCs/>
        </w:rPr>
        <w:t>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w:t>
      </w:r>
      <w:r>
        <w:rPr>
          <w:rStyle w:val="DefaultParagraphFont"/>
        </w:rPr>
        <w:t>and UDR Projects will not be subject to review by the NYISO under the BSM rules or otherwise subject to an Offer Floor.  Excluded Facilities shall include but are not limited to Resources comprised exclusively of one or more the following technologies:  en</w:t>
      </w:r>
      <w:r>
        <w:rPr>
          <w:rStyle w:val="DefaultParagraphFont"/>
        </w:rPr>
        <w:t>ergy storage, demand response, wind generation, solar generation, geothermal generation, hydroelectric generation (which may also include generation created by tidal, wave and other ocean activity), and fuel cells that operate without utilizing fossil fuel</w:t>
      </w:r>
      <w:r>
        <w:rPr>
          <w:rStyle w:val="DefaultParagraphFont"/>
        </w:rPr>
        <w:t xml:space="preserve">.  Excluded Facilities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 xml:space="preserve">the Resource or UDR project certifies in accordance with </w:t>
      </w:r>
      <w:r>
        <w:rPr>
          <w:rStyle w:val="DefaultParagraphFont"/>
          <w:rFonts w:eastAsiaTheme="minorEastAsia"/>
        </w:rPr>
        <w:t xml:space="preserve">Section 23.4.5.7.5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w:t>
      </w:r>
      <w:r>
        <w:rPr>
          <w:rStyle w:val="DefaultParagraphFont"/>
          <w:rFonts w:eastAsiaTheme="minorEastAsia"/>
        </w:rPr>
        <w:t>rting the goals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w:t>
      </w:r>
      <w:r>
        <w:rPr>
          <w:rStyle w:val="DefaultParagraphFont"/>
          <w:rFonts w:eastAsiaTheme="minorEastAsia"/>
        </w:rPr>
        <w:t>tract authorized by New York State that is supporting the goals of the CLCPA (such as a Tier 1 or Tier 4 contract with NYSERDA).</w:t>
      </w:r>
    </w:p>
    <w:p w:rsidR="00582C3C">
      <w:pPr>
        <w:pStyle w:val="Definition1"/>
        <w:rPr>
          <w:rStyle w:val="DefaultParagraphFont"/>
        </w:rPr>
      </w:pPr>
      <w:r>
        <w:rPr>
          <w:rStyle w:val="DefaultParagraphFont"/>
        </w:rPr>
        <w:t>“</w:t>
      </w:r>
      <w:r>
        <w:rPr>
          <w:rStyle w:val="DefaultParagraphFont"/>
          <w:b/>
        </w:rPr>
        <w:t>Expedited Deliverability Study</w:t>
      </w:r>
      <w:r>
        <w:rPr>
          <w:rStyle w:val="DefaultParagraphFont"/>
        </w:rPr>
        <w:t xml:space="preserve">” shall mean a deliverability study that an eligible Developer may elect to pursue as that term </w:t>
      </w:r>
      <w:r>
        <w:rPr>
          <w:rStyle w:val="DefaultParagraphFont"/>
        </w:rPr>
        <w:t>is defined in OATT Section 25 (OATT Attachment S) that may determine the extent to which an existing or proposed facility satisfies the ISO Deliverability Interconnection Standard at its requested CRIS level without the need for System Deliverability Upgra</w:t>
      </w:r>
      <w:r>
        <w:rPr>
          <w:rStyle w:val="DefaultParagraphFont"/>
        </w:rPr>
        <w:t>des.  The schedule and scope of the study is defined in Sections 25.5.9.2.1 and 25.7.1.2 of this Attachment S.</w:t>
      </w:r>
    </w:p>
    <w:p w:rsidR="00582C3C">
      <w:pPr>
        <w:pStyle w:val="Definition1"/>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1"/>
        <w:rPr>
          <w:rStyle w:val="DefaultParagraphFont"/>
        </w:rPr>
      </w:pPr>
      <w:r>
        <w:rPr>
          <w:rStyle w:val="DefaultParagraphFont"/>
        </w:rPr>
        <w:t xml:space="preserve">For purposes </w:t>
      </w:r>
      <w:r>
        <w:rPr>
          <w:rStyle w:val="DefaultParagraphFont"/>
        </w:rPr>
        <w:t>of Section 23.4.5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w:t>
      </w:r>
      <w:r>
        <w:rPr>
          <w:rStyle w:val="DefaultParagraphFont"/>
        </w:rPr>
        <w:t xml:space="preserve">st be met in order to supply Installed Capacity, net of anticipated energy and ancillary services revenues, as determined by the ISO as specified in Section 23.4.5.3, for each of the following instances, as applicable, of supplying Installed Capacity that </w:t>
      </w:r>
      <w:r>
        <w:rPr>
          <w:rStyle w:val="DefaultParagraphFont"/>
        </w:rPr>
        <w:t xml:space="preserve">could be avoided if an Installed Capacity Supplier otherwise capable of supplying Installed Capacity were either (1) to cease supplying Installed Capacity and Energy for a period of one year or more while retaining the ability to re-enter such markets, or </w:t>
      </w:r>
      <w:r>
        <w:rPr>
          <w:rStyle w:val="DefaultParagraphFont"/>
        </w:rPr>
        <w:t xml:space="preserve">(2) to retire permanently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1"/>
        <w:rPr>
          <w:rStyle w:val="DefaultParagraphFont"/>
        </w:rPr>
      </w:pPr>
      <w:r>
        <w:rPr>
          <w:rStyle w:val="DefaultParagraphFont"/>
        </w:rPr>
        <w:t>For purposes of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w:t>
      </w:r>
      <w:r>
        <w:rPr>
          <w:rStyle w:val="DefaultParagraphFont"/>
        </w:rPr>
        <w:t xml:space="preserve"> ICAP Demand Curve for the Mitigated Capacity Zone that will become effective when the Mitigated Capacity Zone is first effective, in which case, the Indicative Mitigation Net CONE shall be the capacity price on such ICAP Demand Curve for the Mitigated Cap</w:t>
      </w:r>
      <w:r>
        <w:rPr>
          <w:rStyle w:val="DefaultParagraphFont"/>
        </w:rPr>
        <w:t>acity Zone corresponding to the average amount of excess capacity above the Indicative NCZ Locational Minimum Installed Capacity Requirement, as applicable, expressed as a percentage of that requirement that formed the basis for the ICAP Demand Curve accep</w:t>
      </w:r>
      <w:r>
        <w:rPr>
          <w:rStyle w:val="DefaultParagraphFont"/>
        </w:rPr>
        <w:t>ted by the Commission; or, (ii) has not accepted an ICAP Demand Curve for the Mitigated Capacity Zone, but the ISO has filed an ICAP Demand Curve for the Mitigated Capacity Zone pursuant to Services Tariff Section 5.14.1.2.2.4.11, in which case the Indicat</w:t>
      </w:r>
      <w:r>
        <w:rPr>
          <w:rStyle w:val="DefaultParagraphFont"/>
        </w:rPr>
        <w:t xml:space="preserve">ive Mitigation Net CONE shall be the capacity price on such ICAP Demand Curve corresponding to the average amount of excess capacity above the Indicative NCZ Locational Minimum Installed Capacity Requirement, expressed as a percentage of that requirement, </w:t>
      </w:r>
      <w:r>
        <w:rPr>
          <w:rStyle w:val="DefaultParagraphFont"/>
        </w:rPr>
        <w:t xml:space="preserve">that formed the basis for such ICAP Demand Curve. </w:t>
      </w:r>
    </w:p>
    <w:p w:rsidR="00582C3C">
      <w:pPr>
        <w:pStyle w:val="Definition1"/>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1"/>
        <w:rPr>
          <w:rStyle w:val="DefaultParagraphFont"/>
        </w:rPr>
      </w:pPr>
      <w:r>
        <w:rPr>
          <w:rStyle w:val="DefaultParagraphFont"/>
        </w:rPr>
        <w:t>“</w:t>
      </w:r>
      <w:r>
        <w:rPr>
          <w:rStyle w:val="DefaultParagraphFont"/>
          <w:b/>
        </w:rPr>
        <w:t>Interconnection Customer</w:t>
      </w:r>
      <w:r>
        <w:rPr>
          <w:rStyle w:val="DefaultParagraphFont"/>
        </w:rPr>
        <w:t>” shall have the meaning specified in Section</w:t>
      </w:r>
      <w:r>
        <w:rPr>
          <w:rStyle w:val="DefaultParagraphFont"/>
        </w:rPr>
        <w:t xml:space="preserve"> 32 (Attachment Z) of the ISO’s Open Access Transmission Tariff.</w:t>
      </w:r>
    </w:p>
    <w:p w:rsidR="00582C3C">
      <w:pPr>
        <w:pStyle w:val="Definition1"/>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1"/>
        <w:rPr>
          <w:rStyle w:val="DefaultParagraphFont"/>
        </w:rPr>
      </w:pPr>
      <w:r>
        <w:rPr>
          <w:rStyle w:val="DefaultParagraphFont"/>
        </w:rPr>
        <w:t>“</w:t>
      </w:r>
      <w:r>
        <w:rPr>
          <w:rStyle w:val="DefaultParagraphFont"/>
          <w:b/>
        </w:rPr>
        <w:t>Market Monitoring Unit</w:t>
      </w:r>
      <w:r>
        <w:rPr>
          <w:rStyle w:val="DefaultParagraphFont"/>
        </w:rPr>
        <w:t>” shall have th</w:t>
      </w:r>
      <w:r>
        <w:rPr>
          <w:rStyle w:val="DefaultParagraphFont"/>
        </w:rPr>
        <w:t xml:space="preserve">e same meaning in these Mitigation Measures as it has in Attachment O.  </w:t>
      </w:r>
    </w:p>
    <w:p w:rsidR="00582C3C">
      <w:pPr>
        <w:pStyle w:val="Definition1"/>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w:t>
      </w:r>
      <w:r>
        <w:rPr>
          <w:rStyle w:val="DefaultParagraphFont"/>
        </w:rPr>
        <w:t xml:space="preserve">  that would be, a buyer and/or a seller in; or that makes bids or offers to buy or sell in; or that schedules or seeks to schedule Transactions with the ISO in or affecting any of the ISO Administered Markets including through the submission of bids or of</w:t>
      </w:r>
      <w:r>
        <w:rPr>
          <w:rStyle w:val="DefaultParagraphFont"/>
        </w:rPr>
        <w:t>fers into any External Control Area, or any combination of the foregoing.</w:t>
      </w:r>
    </w:p>
    <w:p w:rsidR="00582C3C">
      <w:pPr>
        <w:pStyle w:val="Definition1"/>
        <w:rPr>
          <w:rStyle w:val="DefaultParagraphFont"/>
        </w:rPr>
      </w:pPr>
    </w:p>
    <w:p w:rsidR="00582C3C">
      <w:pPr>
        <w:pStyle w:val="Definition1"/>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w:t>
      </w:r>
      <w:r>
        <w:rPr>
          <w:rStyle w:val="DefaultParagraphFont"/>
        </w:rPr>
        <w:t>en identified by the ISO as a Pivotal Supplier.</w:t>
      </w:r>
    </w:p>
    <w:p w:rsidR="00582C3C">
      <w:pPr>
        <w:pStyle w:val="Definition1"/>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w:t>
      </w:r>
      <w:r>
        <w:rPr>
          <w:rStyle w:val="DefaultParagraphFont"/>
        </w:rPr>
        <w:t>ge amount of excess capacity above the Mitigated Capacity Zone Installed Capacity requirement, expressed as a percentage of that requirement, that formed the basis for the ICAP Demand Curve approved by the Commission.</w:t>
      </w:r>
    </w:p>
    <w:p w:rsidR="00FB6948">
      <w:pPr>
        <w:pStyle w:val="Definition1"/>
        <w:rPr>
          <w:rStyle w:val="DefaultParagraphFont"/>
        </w:rPr>
      </w:pPr>
      <w:r>
        <w:rPr>
          <w:rStyle w:val="DefaultParagraphFont"/>
        </w:rPr>
        <w:t>“</w:t>
      </w:r>
      <w:r>
        <w:rPr>
          <w:rStyle w:val="DefaultParagraphFont"/>
          <w:b/>
        </w:rPr>
        <w:t>Mitigation Study Period</w:t>
      </w:r>
      <w:r>
        <w:rPr>
          <w:rStyle w:val="DefaultParagraphFont"/>
        </w:rPr>
        <w:t>” shall mean t</w:t>
      </w:r>
      <w:r>
        <w:rPr>
          <w:rStyle w:val="DefaultParagraphFont"/>
        </w:rPr>
        <w:t>he duration of time extending six consecutive Capability Periods and beginning with the Starting Capability Period associated with a Class Year Study, Additional SDU Study, and/or Expedited Deliverability Study.</w:t>
      </w:r>
    </w:p>
    <w:p w:rsidR="00582C3C">
      <w:pPr>
        <w:pStyle w:val="Definition1"/>
        <w:rPr>
          <w:rStyle w:val="DefaultParagraphFont"/>
        </w:rPr>
      </w:pPr>
      <w:r>
        <w:rPr>
          <w:rStyle w:val="DefaultParagraphFont"/>
        </w:rPr>
        <w:t>“</w:t>
      </w:r>
      <w:r>
        <w:rPr>
          <w:rStyle w:val="DefaultParagraphFont"/>
          <w:b/>
        </w:rPr>
        <w:t>NCZ Examined Project</w:t>
      </w:r>
      <w:r>
        <w:rPr>
          <w:rStyle w:val="DefaultParagraphFont"/>
        </w:rPr>
        <w:t>” shall mean any Genera</w:t>
      </w:r>
      <w:r>
        <w:rPr>
          <w:rStyle w:val="DefaultParagraphFont"/>
        </w:rPr>
        <w:t>tor or UDR project that is not an Excluded Facility and that is not exempt pursuant to 23.4.5.7.8 and either (i) is in a Class Year on the date the Commission accepts the first ICAP Demand Curve to apply to a Mitigated Capacity Zone or (ii) meets the crite</w:t>
      </w:r>
      <w:r>
        <w:rPr>
          <w:rStyle w:val="DefaultParagraphFont"/>
        </w:rPr>
        <w:t>ria found in (II) of the definition of Examined Facility above.  An NCZ Examined Project may be at any phase of development or in operation or an Installed Capacity Supplier.</w:t>
      </w:r>
    </w:p>
    <w:p w:rsidR="00582C3C">
      <w:pPr>
        <w:pStyle w:val="Definition1"/>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rPr>
        <w:t>“</w:t>
      </w:r>
      <w:r>
        <w:rPr>
          <w:rStyle w:val="DefaultParagraphFont"/>
          <w:b/>
        </w:rPr>
        <w:t>Net CONE</w:t>
      </w:r>
      <w:r>
        <w:rPr>
          <w:rStyle w:val="DefaultParagraphFont"/>
        </w:rPr>
        <w:t>” shall mean the localized levelized embedded costs of a peaking unit in a Mitigated Capacity Zone, net of the likely projected annual Energy and Ancillary Services revenues of such unit, as determined in connection with establishing the Demand Cu</w:t>
      </w:r>
      <w:r>
        <w:rPr>
          <w:rStyle w:val="DefaultParagraphFont"/>
        </w:rPr>
        <w:t>rve for a Mitigated Capacity Zone pursuant to Section 5.14.1.2 of the Services Tariff, or as escalated as specified in Section 23.4.5.7 of Attachment H.</w:t>
      </w:r>
    </w:p>
    <w:p w:rsidR="00582C3C">
      <w:pPr>
        <w:pStyle w:val="Definition1"/>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w:t>
      </w:r>
      <w:r>
        <w:rPr>
          <w:rStyle w:val="DefaultParagraphFont"/>
        </w:rPr>
        <w:t>tor, or the reactivation of all or a portion of a Generator that has been out of service for five years or more that commences commercial service after the effective date of this definition.</w:t>
      </w:r>
    </w:p>
    <w:p w:rsidR="00D97D1A">
      <w:pPr>
        <w:pStyle w:val="Definition1"/>
        <w:rPr>
          <w:rStyle w:val="DefaultParagraphFont"/>
        </w:rPr>
      </w:pPr>
      <w:r>
        <w:rPr>
          <w:rStyle w:val="DefaultParagraphFont"/>
        </w:rPr>
        <w:t xml:space="preserve">For the purposes of Section 23.4.5 of this Attachment H, </w:t>
      </w:r>
      <w:r>
        <w:rPr>
          <w:rStyle w:val="DefaultParagraphFont"/>
          <w:b/>
        </w:rPr>
        <w:t>“Non-Qua</w:t>
      </w:r>
      <w:r>
        <w:rPr>
          <w:rStyle w:val="DefaultParagraphFont"/>
          <w:b/>
        </w:rPr>
        <w:t>lifying Entry Sponsors”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1"/>
        <w:rPr>
          <w:rStyle w:val="DefaultParagraphFont"/>
        </w:rPr>
      </w:pPr>
      <w:r>
        <w:rPr>
          <w:rStyle w:val="DefaultParagraphFont"/>
        </w:rPr>
        <w:t>For purposes of Section 23.4.5</w:t>
      </w:r>
      <w:r>
        <w:rPr>
          <w:rStyle w:val="DefaultParagraphFont"/>
        </w:rPr>
        <w:t xml:space="preserve"> of this Attachment H, “</w:t>
      </w:r>
      <w:r>
        <w:rPr>
          <w:rStyle w:val="DefaultParagraphFont"/>
          <w:b/>
        </w:rPr>
        <w:t>Offer Floor</w:t>
      </w:r>
      <w:r>
        <w:rPr>
          <w:rStyle w:val="DefaultParagraphFont"/>
        </w:rPr>
        <w:t xml:space="preserve">” for a Mitigated Capacity Zone Installed Capacity Supplier that is not a Special Case Resource shall mean the lesser of (i) a numerical value equal to 75% of the Mitigation Net CONE translated into a seasonally adjusted </w:t>
      </w:r>
      <w:r>
        <w:rPr>
          <w:rStyle w:val="DefaultParagraphFont"/>
        </w:rPr>
        <w:t>monthly UCAP value (“Mitigation Net CONE Offer Floor”), or (ii) the numerical value that is the first year value of the Unit Net CONE determined as specified in Section 23.4.5.7, translated into a seasonally adjusted monthly UCAP value using an appropriate</w:t>
      </w:r>
      <w:r>
        <w:rPr>
          <w:rStyle w:val="DefaultParagraphFont"/>
        </w:rPr>
        <w:t xml:space="preserve"> class outage rate, (“Unit Net CONE Offer Floor”).  The Offer Floor for Additional CRIS MW shall mean a numerical value determined as specified in Section 23.4.5.7.6.</w:t>
      </w:r>
    </w:p>
    <w:p w:rsidR="00582C3C">
      <w:pPr>
        <w:pStyle w:val="Definition1"/>
        <w:rPr>
          <w:rStyle w:val="DefaultParagraphFont"/>
        </w:rPr>
      </w:pPr>
    </w:p>
    <w:p w:rsidR="00582C3C">
      <w:pPr>
        <w:pStyle w:val="Definition1"/>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w:t>
      </w:r>
      <w:r>
        <w:rPr>
          <w:rStyle w:val="DefaultParagraphFont"/>
        </w:rPr>
        <w:t>smission Tariff.</w:t>
      </w:r>
    </w:p>
    <w:p w:rsidR="00D97D1A" w:rsidP="00D97D1A">
      <w:pPr>
        <w:pStyle w:val="Definition1"/>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w:t>
      </w:r>
      <w:r w:rsidRPr="00B15590">
        <w:rPr>
          <w:rStyle w:val="DefaultParagraphFont"/>
        </w:rPr>
        <w:t xml:space="preserve">f the Services Tariff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and in all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1"/>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imm</w:t>
      </w:r>
      <w:r>
        <w:rPr>
          <w:rStyle w:val="DefaultParagraphFont"/>
        </w:rPr>
        <w:t xml:space="preserve">ediately following Class Year </w:t>
      </w:r>
      <w:r>
        <w:rPr>
          <w:rStyle w:val="DefaultParagraphFont"/>
        </w:rPr>
        <w:t>20</w:t>
      </w:r>
      <w:r>
        <w:rPr>
          <w:rStyle w:val="DefaultParagraphFont"/>
        </w:rPr>
        <w:t>2</w:t>
      </w:r>
      <w:r>
        <w:rPr>
          <w:rStyle w:val="DefaultParagraphFont"/>
        </w:rPr>
        <w:t>1</w:t>
      </w:r>
      <w:r>
        <w:rPr>
          <w:rStyle w:val="DefaultParagraphFont"/>
        </w:rPr>
        <w:t xml:space="preserve">, the test conducted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the test conducted by the ISO to determine if an Examined Facility shall be exempt from an Offer Floor in accordance with Secti</w:t>
      </w:r>
      <w:r>
        <w:rPr>
          <w:rStyle w:val="DefaultParagraphFont"/>
        </w:rPr>
        <w:t xml:space="preserve">on 23.4.5.7.3.1 of the Services Tariff. </w:t>
      </w:r>
    </w:p>
    <w:p w:rsidR="00D97D1A" w:rsidP="00D97D1A">
      <w:pPr>
        <w:pStyle w:val="Definition1"/>
        <w:rPr>
          <w:rStyle w:val="DefaultParagraphFont"/>
        </w:rPr>
      </w:pPr>
      <w:r>
        <w:rPr>
          <w:rStyle w:val="DefaultParagraphFont"/>
          <w:b/>
        </w:rPr>
        <w:t xml:space="preserve">“Part A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w:t>
      </w:r>
      <w:r>
        <w:rPr>
          <w:rStyle w:val="DefaultParagraphFont"/>
        </w:rPr>
        <w:t xml:space="preserve">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1 through 3 as determined by the ISO pursuant to the criteria set forth in Sectio</w:t>
      </w:r>
      <w:r>
        <w:rPr>
          <w:rStyle w:val="DefaultParagraphFont"/>
        </w:rPr>
        <w:t xml:space="preserve">n  </w:t>
      </w:r>
      <w:r>
        <w:rPr>
          <w:rStyle w:val="DefaultParagraphFont"/>
          <w:bCs/>
        </w:rPr>
        <w:t>23.4.5.7.3.1.3 of the Services Tariff.</w:t>
      </w:r>
    </w:p>
    <w:p w:rsidR="00D97D1A" w:rsidP="00D97D1A">
      <w:pPr>
        <w:pStyle w:val="Definition1"/>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w:t>
      </w:r>
      <w:r>
        <w:rPr>
          <w:rStyle w:val="DefaultParagraphFont"/>
        </w:rPr>
        <w:t>,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as determined by the ISO pursuant to the criteria set forth in Secti</w:t>
      </w:r>
      <w:r>
        <w:rPr>
          <w:rStyle w:val="DefaultParagraphFont"/>
        </w:rPr>
        <w:t xml:space="preserve">on  </w:t>
      </w:r>
      <w:r>
        <w:rPr>
          <w:rStyle w:val="DefaultParagraphFont"/>
          <w:bCs/>
        </w:rPr>
        <w:t>23.4.5.7.3.1.3 of the Services Tariff.</w:t>
      </w:r>
    </w:p>
    <w:p w:rsidR="00D97D1A" w:rsidP="00D97D1A">
      <w:pPr>
        <w:pStyle w:val="Definition1"/>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w:t>
      </w:r>
      <w:r>
        <w:rPr>
          <w:rStyle w:val="DefaultParagraphFont"/>
        </w:rPr>
        <w:t xml:space="preserve">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23.4.5.7.3.1 of the Services Tariff. Such evaluation pe</w:t>
      </w:r>
      <w:r>
        <w:rPr>
          <w:rStyle w:val="DefaultParagraphFont"/>
          <w:bCs/>
        </w:rPr>
        <w:t xml:space="preserve">riod 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1"/>
        <w:rPr>
          <w:rStyle w:val="DefaultParagraphFont"/>
        </w:rPr>
      </w:pPr>
      <w:r>
        <w:rPr>
          <w:rStyle w:val="DefaultParagraphFont"/>
        </w:rPr>
        <w:t>“</w:t>
      </w:r>
      <w:r>
        <w:rPr>
          <w:rStyle w:val="DefaultParagraphFont"/>
          <w:b/>
        </w:rPr>
        <w:t>Part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w:t>
      </w:r>
      <w:r>
        <w:rPr>
          <w:rStyle w:val="DefaultParagraphFont"/>
          <w:bCs/>
        </w:rPr>
        <w:t xml:space="preserve"> the three consecutive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1"/>
        <w:rPr>
          <w:rStyle w:val="DefaultParagraphFont"/>
        </w:rPr>
      </w:pPr>
      <w:r>
        <w:rPr>
          <w:rStyle w:val="DefaultParagraphFont"/>
        </w:rPr>
        <w:t>“</w:t>
      </w:r>
      <w:r>
        <w:rPr>
          <w:rStyle w:val="DefaultParagraphFont"/>
          <w:b/>
        </w:rPr>
        <w:t>Part B Exemption T</w:t>
      </w:r>
      <w:r>
        <w:rPr>
          <w:rStyle w:val="DefaultParagraphFont"/>
          <w:b/>
        </w:rPr>
        <w:t>est</w:t>
      </w:r>
      <w:r>
        <w:rPr>
          <w:rStyle w:val="DefaultParagraphFont"/>
        </w:rPr>
        <w:t>” shall mean the test conducted by the ISO in accordance with 23.4.5.7.2 (b) and ISO Procedures for an Examined Facility in any Class Year Study, Additional SDU Study, or Expedited Deliverability Study.</w:t>
      </w:r>
    </w:p>
    <w:p w:rsidR="00582C3C">
      <w:pPr>
        <w:pStyle w:val="Definition1"/>
        <w:rPr>
          <w:rStyle w:val="DefaultParagraphFont"/>
        </w:rPr>
      </w:pPr>
      <w:r>
        <w:rPr>
          <w:rStyle w:val="DefaultParagraphFont"/>
        </w:rPr>
        <w:t xml:space="preserve">For purposes of Section 23.4.5 of this Attachment </w:t>
      </w:r>
      <w:r>
        <w:rPr>
          <w:rStyle w:val="DefaultParagraphFont"/>
        </w:rPr>
        <w:t>H, “</w:t>
      </w:r>
      <w:r>
        <w:rPr>
          <w:rStyle w:val="DefaultParagraphFont"/>
          <w:b/>
        </w:rPr>
        <w:t>Pivotal 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w:t>
      </w:r>
      <w:r>
        <w:rPr>
          <w:rStyle w:val="DefaultParagraphFont"/>
        </w:rPr>
        <w:t>to meet the New York City Locality Locational Minimum Installed Capacity Requirement in an ICAP Spot Market Auction; (ii) for the G-J Locality, a Market Party that, together with any of its Affiliated Entities, (a) Controls 650 MW or more of Unforced Capac</w:t>
      </w:r>
      <w:r>
        <w:rPr>
          <w:rStyle w:val="DefaultParagraphFont"/>
        </w:rPr>
        <w:t>ity; and (b) Controls Unforced Capacity some portion of which is necessary to meet the G-J Locality Locational Minimum Installed Capacity Requirement in an ICAP Spot Market Auction; and (iii) for each Mitigated Capacity Zone except the New York City Locali</w:t>
      </w:r>
      <w:r>
        <w:rPr>
          <w:rStyle w:val="DefaultParagraphFont"/>
        </w:rPr>
        <w:t>ty and the G-J Locality, if any, a Market Party that Controls at least the quantity of MW of Unforced Capacity specified for the Mitigated Capacity Zone and accepted by the Commission.  Unforced Capacity that are MW of an External Sale of Capacity shall no</w:t>
      </w:r>
      <w:r>
        <w:rPr>
          <w:rStyle w:val="DefaultParagraphFont"/>
        </w:rPr>
        <w:t>t be included in the foregoing calculations</w:t>
      </w:r>
    </w:p>
    <w:p w:rsidR="00582C3C">
      <w:pPr>
        <w:pStyle w:val="Definition1"/>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1"/>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w:t>
      </w:r>
      <w:r>
        <w:rPr>
          <w:rStyle w:val="DefaultParagraphFont"/>
        </w:rPr>
        <w:t>achment H, an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w:t>
      </w:r>
      <w:r w:rsidRPr="003372E2">
        <w:rPr>
          <w:rStyle w:val="DefaultParagraphFont"/>
        </w:rPr>
        <w:t>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consultation wi</w:t>
      </w:r>
      <w:r>
        <w:rPr>
          <w:rStyle w:val="DefaultParagraphFont"/>
        </w:rPr>
        <w:t>th the MMU, shall issue a determination no later than 20 days after the necessary information has been submitted for consideration. This determination will be binding as long as the resource’s technology and characteristics are not modified before issuance</w:t>
      </w:r>
      <w:r>
        <w:rPr>
          <w:rStyle w:val="DefaultParagraphFont"/>
        </w:rPr>
        <w:t xml:space="preserve"> of a final determination to the Examined Facility. The ISO will post such ex-ante determinations to its website concurrent with the response to the resource.  Public Policy Resources shall be identified and posted on the ISO website no later than the ISO’</w:t>
      </w:r>
      <w:r>
        <w:rPr>
          <w:rStyle w:val="DefaultParagraphFont"/>
        </w:rPr>
        <w:t xml:space="preserve">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Study that sta</w:t>
      </w:r>
      <w:r>
        <w:rPr>
          <w:rStyle w:val="DefaultParagraphFont"/>
        </w:rPr>
        <w:t xml:space="preserve">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1"/>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1"/>
        <w:rPr>
          <w:rStyle w:val="DefaultParagraphFont"/>
        </w:rPr>
      </w:pPr>
      <w:r>
        <w:rPr>
          <w:rStyle w:val="DefaultParagraphFont"/>
        </w:rPr>
        <w:t>For purposes of Section 23.4.5 of this Attachment H, “</w:t>
      </w:r>
      <w:r>
        <w:rPr>
          <w:rStyle w:val="DefaultParagraphFont"/>
          <w:b/>
        </w:rPr>
        <w:t>Responsib</w:t>
      </w:r>
      <w:r>
        <w:rPr>
          <w:rStyle w:val="DefaultParagraphFont"/>
          <w:b/>
        </w:rPr>
        <w:t>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1"/>
        <w:rPr>
          <w:rStyle w:val="DefaultParagraphFont"/>
        </w:rPr>
      </w:pPr>
      <w:r>
        <w:rPr>
          <w:rStyle w:val="DefaultParagraphFont"/>
        </w:rPr>
        <w:t>“</w:t>
      </w:r>
      <w:r>
        <w:rPr>
          <w:rStyle w:val="DefaultParagraphFont"/>
          <w:b/>
        </w:rPr>
        <w:t>Revised Project Cost Allocation</w:t>
      </w:r>
      <w:r>
        <w:rPr>
          <w:rStyle w:val="DefaultParagraphFont"/>
        </w:rPr>
        <w:t>” sh</w:t>
      </w:r>
      <w:r>
        <w:rPr>
          <w:rStyle w:val="DefaultParagraphFont"/>
        </w:rPr>
        <w:t>all have the meaning specified in Section 25 (Attachment S) of the ISO’s Open Access Transmission Tariff.</w:t>
      </w:r>
    </w:p>
    <w:p w:rsidR="00582C3C">
      <w:pPr>
        <w:pStyle w:val="Definition1"/>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model to meet </w:t>
      </w:r>
      <w:r>
        <w:rPr>
          <w:rStyle w:val="DefaultParagraphFont"/>
        </w:rPr>
        <w:t>more than fifty percent of its Load obligations through its own generation and that is (i) a municipally owned electric system that was created by an act of one or more  local governments pursuant to the laws of the State of New York to own or control dist</w:t>
      </w:r>
      <w:r>
        <w:rPr>
          <w:rStyle w:val="DefaultParagraphFont"/>
        </w:rPr>
        <w:t>ribution facilities and/or provide electric service, (ii) a cooperatively owned electric system that was created by an act of one or more local governments pursuant to the laws of State of New York or otherwise created pursuant to the Rural Electric Cooper</w:t>
      </w:r>
      <w:r>
        <w:rPr>
          <w:rStyle w:val="DefaultParagraphFont"/>
        </w:rPr>
        <w:t>ative Law of New York to own or control distribution facilities and/or provide electric service, (iii) a “Single Customer Entity,” or (iv) a “Vertically Integrated Utility.”  A Self Supply LSE cannot be an entity that is a public authority or corporate mun</w:t>
      </w:r>
      <w:r>
        <w:rPr>
          <w:rStyle w:val="DefaultParagraphFont"/>
        </w:rPr>
        <w:t xml:space="preserve">icipal instrumentality created by the State of New York (including a subsidiary of such an authority or instrumentality) that owns or operates generation or transmission and that is authorized to produce, transmit or distribute electricity for the benefit </w:t>
      </w:r>
      <w:r>
        <w:rPr>
          <w:rStyle w:val="DefaultParagraphFont"/>
        </w:rPr>
        <w:t>of the public unless it meets the criteria provided in section (i), (ii), or (iii) of this definition.  For purposes of this definition only: “Vertically Integrated Utility” means a utility that owns generation, includes such generation in a non-bypassable</w:t>
      </w:r>
      <w:r>
        <w:rPr>
          <w:rStyle w:val="DefaultParagraphFont"/>
        </w:rPr>
        <w:t xml:space="preserve"> charge in its regulated rates, earns a regulated return on its investment in such generation, and that as of the date of its request for a Self Supply Exemption, has not divested more than seventy-five percent of its generation assets owned on May 20, 199</w:t>
      </w:r>
      <w:r>
        <w:rPr>
          <w:rStyle w:val="DefaultParagraphFont"/>
        </w:rPr>
        <w:t>6; and  “Single Customer Entity” means an LSE that serves at retail only customers that are under common control with such LSE, where such control means holding 51% or more of the voting securities or voting interests of the LSE and all its retail customer</w:t>
      </w:r>
      <w:r>
        <w:rPr>
          <w:rStyle w:val="DefaultParagraphFont"/>
        </w:rPr>
        <w:t>s.</w:t>
      </w:r>
    </w:p>
    <w:p w:rsidR="00582C3C">
      <w:pPr>
        <w:pStyle w:val="Definition1"/>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Study, as well</w:t>
      </w:r>
      <w:r>
        <w:rPr>
          <w:rStyle w:val="DefaultParagraphFont"/>
        </w:rPr>
        <w:t xml:space="preserve"> as any Additional SDU Studies and Expedited Deliverability Studies and that are completed while the Class Year Study is ongoing.  If no Class Year Study is ongoing when an Expedited Deliverability Study or Additional SDU Study arrives at the Decision Peri</w:t>
      </w:r>
      <w:r>
        <w:rPr>
          <w:rStyle w:val="DefaultParagraphFont"/>
        </w:rPr>
        <w:t>od, the Starting Capability Period used for the purposes of Section 23.4.5 of this Attachment H shall be the Starting Capability Period that applied to the most recently completed Class Year Study.</w:t>
      </w:r>
    </w:p>
    <w:p w:rsidR="00582C3C">
      <w:pPr>
        <w:pStyle w:val="Definition1"/>
        <w:rPr>
          <w:rStyle w:val="DefaultParagraphFont"/>
        </w:rPr>
      </w:pPr>
      <w:r>
        <w:rPr>
          <w:rStyle w:val="DefaultParagraphFont"/>
        </w:rPr>
        <w:t>“</w:t>
      </w:r>
      <w:r>
        <w:rPr>
          <w:rStyle w:val="DefaultParagraphFont"/>
          <w:b/>
        </w:rPr>
        <w:t>Subsequent Decision Period</w:t>
      </w:r>
      <w:r>
        <w:rPr>
          <w:rStyle w:val="DefaultParagraphFont"/>
        </w:rPr>
        <w:t xml:space="preserve">” shall have the meaning </w:t>
      </w:r>
      <w:r>
        <w:rPr>
          <w:rStyle w:val="DefaultParagraphFont"/>
        </w:rPr>
        <w:t>specified in Section 25 (Attachment S) of the ISO’s Open Access Transmission Tariff.</w:t>
      </w:r>
    </w:p>
    <w:p w:rsidR="00582C3C">
      <w:pPr>
        <w:pStyle w:val="Definition1"/>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exces</w:t>
      </w:r>
      <w:r>
        <w:rPr>
          <w:rStyle w:val="DefaultParagraphFont"/>
        </w:rPr>
        <w:t xml:space="preserve">s of the Locational Minimum Installed Capacity Requirement for such Mitigated Capacity Zone.  </w:t>
      </w:r>
    </w:p>
    <w:p w:rsidR="00582C3C">
      <w:pPr>
        <w:pStyle w:val="Definition1"/>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under S</w:t>
      </w:r>
      <w:r>
        <w:rPr>
          <w:rStyle w:val="DefaultParagraphFont"/>
        </w:rPr>
        <w:t>ections 23.4.5.7.2(b), 23.4.5.7.6(b), 23.4.5.7.7 or 23.4.5.7.8, all prior Additional CRIS MW since the facility was last exempted under Sections 23.4.5.7.2(b), 23.4.5.7.6(b), or 23.4.5.7.8, or (ii) for all other Installed Capacity Suppliers, all MW of Capa</w:t>
      </w:r>
      <w:r>
        <w:rPr>
          <w:rStyle w:val="DefaultParagraphFont"/>
        </w:rPr>
        <w:t>city for which an Examined Facility obtained CRIS pursuant to the provisions in ISO OATT Sections 25, 30, or 32 (OATT Attachments S, X, or Z).</w:t>
      </w:r>
    </w:p>
    <w:p w:rsidR="00582C3C">
      <w:pPr>
        <w:pStyle w:val="Definition1"/>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equal</w:t>
      </w:r>
      <w:r>
        <w:rPr>
          <w:rStyle w:val="DefaultParagraphFont"/>
        </w:rPr>
        <w:t xml:space="preserve"> to the projected clearing price for each ICAP Spot Market Auction determined by the ISO on the basis of the applicable ICAP Demand Curve and the total quantity of Unforced Capacity from all Installed Capacity Suppliers in a Mitigated Capacity Zone for the</w:t>
      </w:r>
      <w:r>
        <w:rPr>
          <w:rStyle w:val="DefaultParagraphFont"/>
        </w:rPr>
        <w:t xml:space="preserve"> period covered by the applicable ICAP Spot Market Auction.</w:t>
      </w:r>
    </w:p>
    <w:p w:rsidR="00582C3C">
      <w:pPr>
        <w:pStyle w:val="Definition1"/>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1" w:name="OLE_LINK3"/>
      <w:bookmarkStart w:id="12" w:name="OLE_LINK4"/>
      <w:r>
        <w:rPr>
          <w:rStyle w:val="DefaultParagraphFont"/>
        </w:rPr>
        <w:t xml:space="preserve">embedded costs of a specified Installed Capacity Supplier, including interconnection costs, and </w:t>
      </w:r>
      <w:r>
        <w:rPr>
          <w:rStyle w:val="DefaultParagraphFont"/>
        </w:rPr>
        <w:t>for an Installed Capacity Supplier located outside a Mitigated Capacity Zone including embedded costs of transmission service, in either case net of likely projected annual Energy and Ancillary Services revenues</w:t>
      </w:r>
      <w:bookmarkEnd w:id="11"/>
      <w:bookmarkEnd w:id="12"/>
      <w:r>
        <w:rPr>
          <w:rStyle w:val="DefaultParagraphFont"/>
        </w:rPr>
        <w:t>, and revenues associated with other energy p</w:t>
      </w:r>
      <w:r>
        <w:rPr>
          <w:rStyle w:val="DefaultParagraphFont"/>
        </w:rPr>
        <w:t>roducts (such as energy services and renewable energy credits, as determined by the ISO, translated into a seasonally adjusted monthly UCAP value using an appropriate class outage rate.  The Unit Net CONE of an Installed Capacity Supplier that has function</w:t>
      </w:r>
      <w:r>
        <w:rPr>
          <w:rStyle w:val="DefaultParagraphFont"/>
        </w:rPr>
        <w:t>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1"/>
        <w:rPr>
          <w:rStyle w:val="DefaultParagraphFont"/>
        </w:rPr>
      </w:pPr>
    </w:p>
    <w:p w:rsidR="00582C3C">
      <w:pPr>
        <w:pStyle w:val="Heading35"/>
        <w:rPr>
          <w:rStyle w:val="DefaultParagraphFont"/>
        </w:rPr>
      </w:pPr>
      <w:bookmarkStart w:id="13" w:name="_Toc261252163"/>
      <w:r>
        <w:rPr>
          <w:rStyle w:val="DefaultParagraphFont"/>
        </w:rPr>
        <w:t>23.2.2</w:t>
      </w:r>
      <w:r>
        <w:rPr>
          <w:rStyle w:val="DefaultParagraphFont"/>
        </w:rPr>
        <w:tab/>
        <w:t xml:space="preserve">Conduct </w:t>
      </w:r>
      <w:r>
        <w:rPr>
          <w:rStyle w:val="DefaultParagraphFont"/>
        </w:rPr>
        <w:t>Subject to Mitigation</w:t>
      </w:r>
      <w:bookmarkEnd w:id="13"/>
    </w:p>
    <w:p w:rsidR="00582C3C">
      <w:pPr>
        <w:pStyle w:val="Bodypara6"/>
        <w:rPr>
          <w:rStyle w:val="DefaultParagraphFont"/>
        </w:rPr>
      </w:pPr>
      <w:r>
        <w:rPr>
          <w:rStyle w:val="DefaultParagraphFont"/>
        </w:rPr>
        <w:t>Mitigation Measures may be applied: (i) to the bidding, scheduling or operation of an “Electric Facility”; or (ii) as specified in Section 23.2.4.2.</w:t>
      </w:r>
      <w:bookmarkStart w:id="14" w:name="_DV_M10"/>
      <w:bookmarkStart w:id="15" w:name="_DV_M11"/>
      <w:bookmarkEnd w:id="14"/>
      <w:bookmarkEnd w:id="15"/>
    </w:p>
    <w:p w:rsidR="00582C3C">
      <w:pPr>
        <w:pStyle w:val="Heading35"/>
        <w:rPr>
          <w:rStyle w:val="DefaultParagraphFont"/>
        </w:rPr>
      </w:pPr>
      <w:bookmarkStart w:id="16" w:name="_Toc261252164"/>
      <w:r>
        <w:rPr>
          <w:rStyle w:val="DefaultParagraphFont"/>
        </w:rPr>
        <w:t>23.2.3</w:t>
      </w:r>
      <w:r>
        <w:rPr>
          <w:rStyle w:val="DefaultParagraphFont"/>
        </w:rPr>
        <w:tab/>
        <w:t>Conditions for the Imposition of Mitigation Measures</w:t>
      </w:r>
      <w:bookmarkEnd w:id="16"/>
    </w:p>
    <w:p w:rsidR="00582C3C">
      <w:pPr>
        <w:pStyle w:val="romannumeralpara3"/>
        <w:rPr>
          <w:rStyle w:val="DefaultParagraphFont"/>
        </w:rPr>
      </w:pPr>
      <w:r>
        <w:rPr>
          <w:rStyle w:val="DefaultParagraphFont"/>
        </w:rPr>
        <w:t>23.2.3.1</w:t>
      </w:r>
      <w:r>
        <w:rPr>
          <w:rStyle w:val="DefaultParagraphFont"/>
        </w:rPr>
        <w:tab/>
        <w:t>To achieve the f</w:t>
      </w:r>
      <w:r>
        <w:rPr>
          <w:rStyle w:val="DefaultParagraphFont"/>
        </w:rPr>
        <w:t>oregoing purpose and objectives, Mitigation Measures should only be imposed to remedy conduct that would substantially distort or impair the competitiveness of any of the ISO Administered Markets.  Accordingly, the ISO shall seek to impose Mitigation Measu</w:t>
      </w:r>
      <w:r>
        <w:rPr>
          <w:rStyle w:val="DefaultParagraphFont"/>
        </w:rPr>
        <w:t>res only to remedy conduct that:</w:t>
      </w:r>
    </w:p>
    <w:p w:rsidR="00582C3C">
      <w:pPr>
        <w:pStyle w:val="romannumeralpara3"/>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3"/>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payme</w:t>
      </w:r>
      <w:r>
        <w:rPr>
          <w:rStyle w:val="DefaultParagraphFont"/>
        </w:rPr>
        <w:t>nts”) to a Market Party.</w:t>
      </w:r>
    </w:p>
    <w:p w:rsidR="00582C3C">
      <w:pPr>
        <w:pStyle w:val="romannumeralpara3"/>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the a</w:t>
      </w:r>
      <w:r>
        <w:rPr>
          <w:rStyle w:val="DefaultParagraphFont"/>
        </w:rPr>
        <w:t xml:space="preserve">bsence of market power.  The categories of conduct that are inconsistent with competitive conduct include, but may not be limited to, the three categories of conduct specified in Section </w:t>
      </w:r>
      <w:bookmarkStart w:id="17" w:name="_DV_M17"/>
      <w:bookmarkEnd w:id="17"/>
      <w:r>
        <w:rPr>
          <w:rStyle w:val="DefaultParagraphFont"/>
        </w:rPr>
        <w:t>23.2.4 below.</w:t>
      </w:r>
    </w:p>
    <w:p w:rsidR="00582C3C">
      <w:pPr>
        <w:pStyle w:val="Heading35"/>
        <w:rPr>
          <w:rStyle w:val="DefaultParagraphFont"/>
        </w:rPr>
      </w:pPr>
      <w:bookmarkStart w:id="18" w:name="_DV_M18"/>
      <w:bookmarkStart w:id="19" w:name="_Ref470447627"/>
      <w:bookmarkStart w:id="20" w:name="_Toc261252165"/>
      <w:bookmarkEnd w:id="18"/>
      <w:r>
        <w:rPr>
          <w:rStyle w:val="DefaultParagraphFont"/>
        </w:rPr>
        <w:t>23.2.4</w:t>
      </w:r>
      <w:r>
        <w:rPr>
          <w:rStyle w:val="DefaultParagraphFont"/>
        </w:rPr>
        <w:tab/>
        <w:t>Categories of Conduct that May Warrant Mitigatio</w:t>
      </w:r>
      <w:r>
        <w:rPr>
          <w:rStyle w:val="DefaultParagraphFont"/>
        </w:rPr>
        <w:t>n</w:t>
      </w:r>
      <w:bookmarkEnd w:id="19"/>
      <w:bookmarkEnd w:id="20"/>
    </w:p>
    <w:p w:rsidR="00582C3C">
      <w:pPr>
        <w:pStyle w:val="romannumeralpara3"/>
        <w:rPr>
          <w:rStyle w:val="DefaultParagraphFont"/>
        </w:rPr>
      </w:pPr>
      <w:bookmarkStart w:id="21" w:name="_DV_M19"/>
      <w:bookmarkEnd w:id="21"/>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  Accord</w:t>
      </w:r>
      <w:r>
        <w:rPr>
          <w:rStyle w:val="DefaultParagraphFont"/>
        </w:rPr>
        <w:t>ingly, the ISO shall monitor the ISO Administered Markets for the following categories of conduct, and shall impose appropriate Mitigation Measures if such conduct is detected and the other applicable conditions for the imposition of Mitigation Measures ar</w:t>
      </w:r>
      <w:r>
        <w:rPr>
          <w:rStyle w:val="DefaultParagraphFont"/>
        </w:rPr>
        <w:t>e met:</w:t>
      </w:r>
    </w:p>
    <w:p w:rsidR="00582C3C">
      <w:pPr>
        <w:pStyle w:val="romannumeralpara3"/>
        <w:rPr>
          <w:rStyle w:val="DefaultParagraphFont"/>
          <w:bCs/>
        </w:rPr>
      </w:pPr>
      <w:bookmarkStart w:id="22" w:name="_DV_M20"/>
      <w:bookmarkEnd w:id="22"/>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schedule the output of or services provided by an Electric Facility capable of serving an ISO Administered Market.  Such withholding may include, but not be li</w:t>
      </w:r>
      <w:r>
        <w:rPr>
          <w:rStyle w:val="DefaultParagraphFont"/>
        </w:rPr>
        <w:t xml:space="preserve">mited to, (i) falsely declaring that an Electric Facility has been forced out of service or otherwise become unavailable, (ii) refusing to </w:t>
      </w:r>
      <w:bookmarkStart w:id="23" w:name="_DV_IPM16"/>
      <w:bookmarkStart w:id="24" w:name="_DV_IPM17"/>
      <w:bookmarkStart w:id="25" w:name="_DV_IPM22"/>
      <w:bookmarkStart w:id="26" w:name="_DV_IPM23"/>
      <w:bookmarkStart w:id="27" w:name="_DV_C23"/>
      <w:bookmarkEnd w:id="23"/>
      <w:bookmarkEnd w:id="24"/>
      <w:bookmarkEnd w:id="25"/>
      <w:bookmarkEnd w:id="26"/>
      <w:r>
        <w:rPr>
          <w:rStyle w:val="DefaultParagraphFont"/>
          <w:bCs/>
        </w:rPr>
        <w:t>offer Bids or schedules for an Electric Facility when such conduct would not be in the economic interest of the Marke</w:t>
      </w:r>
      <w:r>
        <w:rPr>
          <w:rStyle w:val="DefaultParagraphFont"/>
          <w:bCs/>
        </w:rPr>
        <w:t>t Party or its Affiliates in the absence of market power (includes refusing to offer Bids or schedules to withdraw Energy for a Generator that must withdraw Energy in order to be able to later inject Energy); (iii); making an unjustifiable change to one or</w:t>
      </w:r>
      <w:r>
        <w:rPr>
          <w:rStyle w:val="DefaultParagraphFont"/>
          <w:bCs/>
        </w:rPr>
        <w:t xml:space="preserve"> more operating parameters of an Electric Facility that reduces a Resource’s ability to provide Energy or Ancillary Services or (iv) operating a Generator in real-time  at a lower output level than the Generator would have been expected to provide had the </w:t>
      </w:r>
      <w:r>
        <w:rPr>
          <w:rStyle w:val="DefaultParagraphFont"/>
          <w:bCs/>
        </w:rPr>
        <w:t>Generator followed the ISO’s dispatch instructions, in a manner that is not attributable to the Generator’s verifiable physical operating capabilities and that would not be in the economic interest of the Market Party or its Affiliates in the absence of ma</w:t>
      </w:r>
      <w:r>
        <w:rPr>
          <w:rStyle w:val="DefaultParagraphFont"/>
          <w:bCs/>
        </w:rPr>
        <w:t>rket power.</w:t>
      </w:r>
      <w:bookmarkEnd w:id="27"/>
      <w:r>
        <w:rPr>
          <w:rStyle w:val="DefaultParagraphFont"/>
          <w:bCs/>
        </w:rPr>
        <w:t xml:space="preserve"> </w:t>
      </w:r>
    </w:p>
    <w:p w:rsidR="00582C3C">
      <w:pPr>
        <w:pStyle w:val="alphapara6"/>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operating capabi</w:t>
      </w:r>
      <w:r>
        <w:rPr>
          <w:rStyle w:val="DefaultParagraphFont"/>
          <w:bCs/>
        </w:rPr>
        <w:t>lities, and (b) is not a rational competitive response to economic factors other than market power.</w:t>
      </w:r>
    </w:p>
    <w:p w:rsidR="00582C3C">
      <w:pPr>
        <w:pStyle w:val="romannumeralpara3"/>
        <w:rPr>
          <w:rStyle w:val="DefaultParagraphFont"/>
        </w:rPr>
      </w:pPr>
      <w:bookmarkStart w:id="28" w:name="_DV_M21"/>
      <w:bookmarkEnd w:id="28"/>
      <w:r>
        <w:rPr>
          <w:rStyle w:val="DefaultParagraphFont"/>
        </w:rPr>
        <w:t>23.2.4.1.2</w:t>
      </w:r>
      <w:r>
        <w:rPr>
          <w:rStyle w:val="DefaultParagraphFont"/>
        </w:rPr>
        <w:tab/>
        <w:t>Economic withholding of an Electric Facility, that is, submitting Bids for an Electric Facility that are unjustifiably high so that (i) the Elect</w:t>
      </w:r>
      <w:r>
        <w:rPr>
          <w:rStyle w:val="DefaultParagraphFont"/>
        </w:rPr>
        <w:t>ric Facility is not or will not be dispatched or scheduled, or (ii) the Bids will set a market clearing price; or submitting Bids for a Withdrawal-Eligible Generator to withdraw Energy that are unjustifiably high, so that (i) the Electric Facility is or wi</w:t>
      </w:r>
      <w:r>
        <w:rPr>
          <w:rStyle w:val="DefaultParagraphFont"/>
        </w:rPr>
        <w:t>ll be dispatched or scheduled to withdraw Energy, or (ii) the Bids will set a market clearing price.</w:t>
      </w:r>
    </w:p>
    <w:p w:rsidR="00582C3C">
      <w:pPr>
        <w:pStyle w:val="romannumeralpara3"/>
        <w:rPr>
          <w:rStyle w:val="DefaultParagraphFont"/>
        </w:rPr>
      </w:pPr>
      <w:bookmarkStart w:id="29" w:name="_DV_M22"/>
      <w:bookmarkEnd w:id="29"/>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 xml:space="preserve">not be in the economic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w:t>
      </w:r>
      <w:r>
        <w:rPr>
          <w:rStyle w:val="DefaultParagraphFont"/>
          <w:bCs/>
        </w:rPr>
        <w:t>he absence of market power</w:t>
      </w:r>
      <w:r>
        <w:rPr>
          <w:rStyle w:val="DefaultParagraphFont"/>
        </w:rPr>
        <w:t>.</w:t>
      </w:r>
    </w:p>
    <w:p w:rsidR="00582C3C">
      <w:pPr>
        <w:pStyle w:val="romannumeralpara3"/>
        <w:rPr>
          <w:rStyle w:val="DefaultParagraphFont"/>
        </w:rPr>
      </w:pPr>
      <w:bookmarkStart w:id="30" w:name="_DV_M23"/>
      <w:bookmarkStart w:id="31" w:name="_Ref470523562"/>
      <w:bookmarkEnd w:id="30"/>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w:t>
      </w:r>
      <w:r>
        <w:rPr>
          <w:rStyle w:val="DefaultParagraphFont"/>
        </w:rPr>
        <w:t>ate to manipulate market prices or otherwise impair the efficient operation of that market, pending the revision of such rule, standard, procedure or design feature to preclude such manipulation of prices or impairment of efficiency.</w:t>
      </w:r>
      <w:bookmarkEnd w:id="31"/>
    </w:p>
    <w:p w:rsidR="00582C3C">
      <w:pPr>
        <w:pStyle w:val="romannumeralpara3"/>
        <w:rPr>
          <w:rStyle w:val="DefaultParagraphFont"/>
        </w:rPr>
      </w:pPr>
      <w:bookmarkStart w:id="32" w:name="_DV_M24"/>
      <w:bookmarkEnd w:id="32"/>
      <w:r>
        <w:rPr>
          <w:rStyle w:val="DefaultParagraphFont"/>
        </w:rPr>
        <w:t>23.2.4.3</w:t>
      </w:r>
      <w:r>
        <w:rPr>
          <w:rStyle w:val="DefaultParagraphFont"/>
        </w:rPr>
        <w:tab/>
        <w:t>Taking advant</w:t>
      </w:r>
      <w:r>
        <w:rPr>
          <w:rStyle w:val="DefaultParagraphFont"/>
        </w:rPr>
        <w:t>age of opportunities to sell at a higher price or buy at a lower price in a market other than an ISO Administered Market shall not be deemed a form of withholding or otherwise inconsistent with competitive conduct.</w:t>
      </w:r>
    </w:p>
    <w:p w:rsidR="00582C3C">
      <w:pPr>
        <w:pStyle w:val="romannumeralpara3"/>
        <w:rPr>
          <w:rStyle w:val="DefaultParagraphFont"/>
          <w:color w:val="000000"/>
        </w:rPr>
      </w:pPr>
      <w:bookmarkStart w:id="33" w:name="_DV_M25"/>
      <w:bookmarkStart w:id="34" w:name="_DV_IPM24"/>
      <w:bookmarkStart w:id="35" w:name="_DV_IPM25"/>
      <w:bookmarkStart w:id="36" w:name="_DV_C26"/>
      <w:bookmarkEnd w:id="33"/>
      <w:bookmarkEnd w:id="34"/>
      <w:bookmarkEnd w:id="35"/>
      <w:r>
        <w:rPr>
          <w:rStyle w:val="DefaultParagraphFont"/>
        </w:rPr>
        <w:t>23.2.4.4</w:t>
      </w:r>
      <w:r>
        <w:rPr>
          <w:rStyle w:val="DefaultParagraphFont"/>
        </w:rPr>
        <w:tab/>
        <w:t>The</w:t>
      </w:r>
      <w:r>
        <w:rPr>
          <w:rStyle w:val="alphaparaChar6"/>
        </w:rPr>
        <w:t xml:space="preserve"> </w:t>
      </w:r>
      <w:r>
        <w:rPr>
          <w:rStyle w:val="DefaultParagraphFont"/>
        </w:rPr>
        <w:t>ISO and the Market Monitorin</w:t>
      </w:r>
      <w:r>
        <w:rPr>
          <w:rStyle w:val="DefaultParagraphFont"/>
        </w:rPr>
        <w:t>g Unit shall monitor the ISO Administered Markets for other categories of conduct, whether by a single firm or by multiple firms acting in concert, that have material effects on prices or guarantee payments in an ISO Administered Market.  The ISO shall: (i</w:t>
      </w:r>
      <w:r>
        <w:rPr>
          <w:rStyle w:val="DefaultParagraphFont"/>
        </w:rPr>
        <w:t>) seek to amend the foregoing list as may be appropriate, in accordance with the procedures and requirements for amending the Plan, to include any such conduct that would substantially distort or impair the competitiveness of any of the ISO Administered Ma</w:t>
      </w:r>
      <w:r>
        <w:rPr>
          <w:rStyle w:val="DefaultParagraphFont"/>
        </w:rPr>
        <w:t xml:space="preserve">rkets; and (ii) seek such other authorization to mitigate the effects of such conduct from the FERC as may be appropriate.  </w:t>
      </w:r>
      <w:r>
        <w:rPr>
          <w:rStyle w:val="DefaultParagraphFont"/>
          <w:color w:val="000000"/>
        </w:rPr>
        <w:t xml:space="preserve">The responsibilities of the Market Monitoring Unit that are addressed in this section of the Mitigation Measures are also addressed </w:t>
      </w:r>
      <w:r>
        <w:rPr>
          <w:rStyle w:val="DefaultParagraphFont"/>
          <w:color w:val="000000"/>
        </w:rPr>
        <w:t>in Section 30.4.6.2.2 of Attachment O.</w:t>
      </w:r>
      <w:bookmarkEnd w:id="36"/>
    </w:p>
    <w:p w:rsidR="00582C3C">
      <w:pPr>
        <w:pStyle w:val="EndnoteText0"/>
        <w:rPr>
          <w:rStyle w:val="DefaultParagraphFont"/>
        </w:rPr>
      </w:pPr>
    </w:p>
    <w:p w:rsidR="00582C3C">
      <w:pPr>
        <w:pStyle w:val="EndnoteText0"/>
        <w:rPr>
          <w:rStyle w:val="DefaultParagraphFont"/>
        </w:rPr>
        <w:sectPr>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cols w:space="720"/>
          <w:noEndnote/>
        </w:sectPr>
      </w:pPr>
    </w:p>
    <w:p w:rsidR="005E6B3F">
      <w:pPr>
        <w:pStyle w:val="Heading220"/>
        <w:rPr>
          <w:rStyle w:val="DefaultParagraphFont"/>
          <w:color w:val="000000"/>
        </w:rPr>
      </w:pPr>
      <w:bookmarkStart w:id="37" w:name="_DV_IPM33"/>
      <w:bookmarkStart w:id="38" w:name="_DV_M26"/>
      <w:bookmarkStart w:id="39" w:name="_Ref470447821"/>
      <w:bookmarkStart w:id="40" w:name="_Toc261252166"/>
      <w:bookmarkStart w:id="41" w:name="_GoBack_1"/>
      <w:bookmarkEnd w:id="37"/>
      <w:bookmarkEnd w:id="38"/>
      <w:bookmarkEnd w:id="41"/>
      <w:r>
        <w:rPr>
          <w:rStyle w:val="DefaultParagraphFont"/>
          <w:color w:val="000000"/>
        </w:rPr>
        <w:t>23.3</w:t>
      </w:r>
      <w:r>
        <w:rPr>
          <w:rStyle w:val="DefaultParagraphFont"/>
          <w:color w:val="000000"/>
        </w:rPr>
        <w:tab/>
        <w:t>Criteria for Imposing Mitigation Measures</w:t>
      </w:r>
      <w:bookmarkEnd w:id="39"/>
      <w:bookmarkEnd w:id="40"/>
    </w:p>
    <w:p w:rsidR="005E6B3F">
      <w:pPr>
        <w:pStyle w:val="Heading310"/>
        <w:rPr>
          <w:rStyle w:val="DefaultParagraphFont"/>
          <w:color w:val="000000"/>
        </w:rPr>
      </w:pPr>
      <w:bookmarkStart w:id="42" w:name="_DV_M27"/>
      <w:bookmarkStart w:id="43" w:name="_Ref514411246"/>
      <w:bookmarkStart w:id="44" w:name="_Toc261252167"/>
      <w:bookmarkEnd w:id="42"/>
      <w:r>
        <w:rPr>
          <w:rStyle w:val="DefaultParagraphFont"/>
          <w:color w:val="000000"/>
        </w:rPr>
        <w:t>23.3.1</w:t>
      </w:r>
      <w:r>
        <w:rPr>
          <w:rStyle w:val="DefaultParagraphFont"/>
          <w:color w:val="000000"/>
        </w:rPr>
        <w:tab/>
        <w:t>Identification of Conduct Inconsistent with Competition</w:t>
      </w:r>
      <w:bookmarkStart w:id="45" w:name="_DV_M28"/>
      <w:bookmarkEnd w:id="43"/>
      <w:bookmarkEnd w:id="44"/>
      <w:bookmarkEnd w:id="45"/>
      <w:r>
        <w:rPr>
          <w:rStyle w:val="DefaultParagraphFont"/>
          <w:color w:val="000000"/>
        </w:rPr>
        <w:t xml:space="preserve"> </w:t>
      </w:r>
    </w:p>
    <w:p w:rsidR="005E6B3F">
      <w:pPr>
        <w:pStyle w:val="Bodypara20"/>
        <w:rPr>
          <w:rStyle w:val="DefaultParagraphFont"/>
          <w:color w:val="000000"/>
        </w:rPr>
      </w:pPr>
      <w:bookmarkStart w:id="46" w:name="_DV_M29"/>
      <w:bookmarkEnd w:id="46"/>
      <w:r>
        <w:rPr>
          <w:rStyle w:val="DefaultParagraphFont"/>
          <w:color w:val="000000"/>
        </w:rPr>
        <w:t xml:space="preserve">Conduct that may potentially warrant the imposition of a mitigation measure includes the categories described in Section </w:t>
      </w:r>
      <w:bookmarkStart w:id="47" w:name="_DV_M30"/>
      <w:bookmarkEnd w:id="47"/>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48" w:name="_DV_M31"/>
      <w:bookmarkEnd w:id="48"/>
      <w:r>
        <w:rPr>
          <w:rStyle w:val="DefaultParagraphFont"/>
          <w:color w:val="000000"/>
        </w:rPr>
        <w:t xml:space="preserve">23.3.1.1 to </w:t>
      </w:r>
      <w:bookmarkStart w:id="49" w:name="_DV_M32"/>
      <w:bookmarkEnd w:id="49"/>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0"/>
        <w:rPr>
          <w:rStyle w:val="DefaultParagraphFont"/>
          <w:color w:val="000000"/>
        </w:rPr>
      </w:pPr>
      <w:bookmarkStart w:id="50" w:name="_DV_M33"/>
      <w:bookmarkStart w:id="51" w:name="_Ref470345479"/>
      <w:bookmarkEnd w:id="50"/>
      <w:r>
        <w:rPr>
          <w:rStyle w:val="DefaultParagraphFont"/>
          <w:color w:val="000000"/>
        </w:rPr>
        <w:t>23.3.1.1</w:t>
      </w:r>
      <w:r>
        <w:rPr>
          <w:rStyle w:val="DefaultParagraphFont"/>
          <w:color w:val="000000"/>
        </w:rPr>
        <w:tab/>
        <w:t>Thresholds for Identifying Physical Withholding</w:t>
      </w:r>
      <w:bookmarkEnd w:id="51"/>
    </w:p>
    <w:p w:rsidR="005E6B3F">
      <w:pPr>
        <w:pStyle w:val="alphapara20"/>
        <w:rPr>
          <w:rStyle w:val="DefaultParagraphFont"/>
          <w:color w:val="000000"/>
        </w:rPr>
      </w:pPr>
      <w:bookmarkStart w:id="52" w:name="_DV_M34"/>
      <w:bookmarkEnd w:id="52"/>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0"/>
        <w:rPr>
          <w:rStyle w:val="DefaultParagraphFont"/>
          <w:color w:val="000000"/>
        </w:rPr>
      </w:pPr>
      <w:bookmarkStart w:id="53" w:name="_DV_M35"/>
      <w:bookmarkStart w:id="54" w:name="_Ref470345333"/>
      <w:bookmarkEnd w:id="53"/>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0"/>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5" w:name="_DV_M36"/>
      <w:bookmarkEnd w:id="54"/>
      <w:bookmarkEnd w:id="55"/>
      <w:r>
        <w:rPr>
          <w:rStyle w:val="DefaultParagraphFont"/>
          <w:strike/>
          <w:color w:val="000000"/>
        </w:rPr>
        <w:t xml:space="preserve"> </w:t>
      </w:r>
    </w:p>
    <w:p w:rsidR="005E6B3F">
      <w:pPr>
        <w:pStyle w:val="romannumeralpara10"/>
        <w:rPr>
          <w:rStyle w:val="DefaultParagraphFont"/>
          <w:strike/>
          <w:color w:val="000000"/>
        </w:rPr>
      </w:pPr>
      <w:bookmarkStart w:id="56" w:name="_DV_M37"/>
      <w:bookmarkEnd w:id="56"/>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0"/>
        <w:rPr>
          <w:rStyle w:val="DefaultParagraphFont"/>
          <w:color w:val="000000"/>
        </w:rPr>
      </w:pPr>
      <w:bookmarkStart w:id="57" w:name="_DV_M38"/>
      <w:bookmarkEnd w:id="57"/>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0"/>
        <w:rPr>
          <w:rStyle w:val="DefaultParagraphFont"/>
          <w:color w:val="000000"/>
        </w:rPr>
      </w:pPr>
      <w:bookmarkStart w:id="58" w:name="_DV_M39"/>
      <w:bookmarkEnd w:id="58"/>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0"/>
        <w:rPr>
          <w:rStyle w:val="DefaultParagraphFont"/>
          <w:color w:val="000000"/>
        </w:rPr>
      </w:pPr>
      <w:bookmarkStart w:id="59" w:name="_DV_IPM34"/>
      <w:bookmarkStart w:id="60" w:name="_DV_IPM35"/>
      <w:bookmarkStart w:id="61" w:name="_DV_IPM36"/>
      <w:bookmarkStart w:id="62" w:name="_DV_IPM43"/>
      <w:bookmarkStart w:id="63" w:name="_DV_M40"/>
      <w:bookmarkStart w:id="64" w:name="_Ref514482579"/>
      <w:bookmarkEnd w:id="59"/>
      <w:bookmarkEnd w:id="60"/>
      <w:bookmarkEnd w:id="61"/>
      <w:bookmarkEnd w:id="62"/>
      <w:bookmarkEnd w:id="63"/>
      <w:r>
        <w:rPr>
          <w:rStyle w:val="DefaultParagraphFont"/>
          <w:color w:val="000000"/>
        </w:rPr>
        <w:t>23.3.1.2</w:t>
      </w:r>
      <w:r>
        <w:rPr>
          <w:rStyle w:val="DefaultParagraphFont"/>
          <w:color w:val="000000"/>
        </w:rPr>
        <w:tab/>
        <w:t>Thresholds for Identifying Economic Withholding</w:t>
      </w:r>
      <w:bookmarkEnd w:id="64"/>
    </w:p>
    <w:p w:rsidR="005E6B3F">
      <w:pPr>
        <w:pStyle w:val="romannumeralpara10"/>
        <w:rPr>
          <w:rStyle w:val="DefaultParagraphFont"/>
          <w:color w:val="000000"/>
        </w:rPr>
      </w:pPr>
      <w:bookmarkStart w:id="65" w:name="_DV_M41"/>
      <w:bookmarkEnd w:id="65"/>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0"/>
        <w:rPr>
          <w:rStyle w:val="DefaultParagraphFont"/>
          <w:color w:val="000000"/>
        </w:rPr>
      </w:pPr>
      <w:bookmarkStart w:id="66" w:name="_DV_M42"/>
      <w:bookmarkEnd w:id="66"/>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0"/>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0"/>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0"/>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0"/>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0"/>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0"/>
        <w:rPr>
          <w:rStyle w:val="DefaultParagraphFont"/>
          <w:color w:val="000000"/>
        </w:rPr>
      </w:pPr>
      <w:bookmarkStart w:id="67" w:name="_DV_M43"/>
      <w:bookmarkEnd w:id="67"/>
      <w:r>
        <w:rPr>
          <w:rStyle w:val="DefaultParagraphFont"/>
          <w:color w:val="000000"/>
        </w:rPr>
        <w:t>23.3.1.2.1.2</w:t>
      </w:r>
      <w:r>
        <w:rPr>
          <w:rStyle w:val="DefaultParagraphFont"/>
          <w:color w:val="000000"/>
        </w:rPr>
        <w:tab/>
        <w:t xml:space="preserve">Operating Reserves and Regulation Service Bids:  </w:t>
      </w:r>
    </w:p>
    <w:p w:rsidR="005E6B3F">
      <w:pPr>
        <w:pStyle w:val="romannumeralpara10"/>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0"/>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0"/>
        <w:rPr>
          <w:rStyle w:val="DefaultParagraphFont"/>
          <w:color w:val="000000"/>
        </w:rPr>
      </w:pPr>
      <w:bookmarkStart w:id="68" w:name="_DV_M44"/>
      <w:bookmarkStart w:id="69" w:name="_DV_M45"/>
      <w:bookmarkEnd w:id="68"/>
      <w:bookmarkEnd w:id="69"/>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0"/>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0"/>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0"/>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0"/>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0"/>
        <w:rPr>
          <w:rStyle w:val="DefaultParagraphFont"/>
          <w:color w:val="000000"/>
        </w:rPr>
      </w:pPr>
      <w:r>
        <w:rPr>
          <w:rStyle w:val="DefaultParagraphFont"/>
          <w:color w:val="000000"/>
        </w:rPr>
        <w:t>where:</w:t>
      </w:r>
    </w:p>
    <w:p w:rsidR="005E6B3F">
      <w:pPr>
        <w:pStyle w:val="equationtext0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0"/>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0"/>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0"/>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0"/>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0"/>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0"/>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0"/>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0"/>
        <w:rPr>
          <w:rStyle w:val="DefaultParagraphFont"/>
          <w:color w:val="000000"/>
        </w:rPr>
      </w:pPr>
      <w:bookmarkStart w:id="70" w:name="_DV_M46"/>
      <w:bookmarkStart w:id="71" w:name="_Ref470345491"/>
      <w:bookmarkEnd w:id="70"/>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0"/>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0"/>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0"/>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0"/>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0"/>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0"/>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0"/>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0"/>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0"/>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0"/>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0"/>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0"/>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0"/>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0"/>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1"/>
      <w:r>
        <w:rPr>
          <w:rStyle w:val="DefaultParagraphFont"/>
          <w:color w:val="000000"/>
        </w:rPr>
        <w:t xml:space="preserve"> and Uneconomic Withdrawal of Energy</w:t>
      </w:r>
    </w:p>
    <w:p w:rsidR="005E6B3F">
      <w:pPr>
        <w:pStyle w:val="romannumeralpara10"/>
        <w:rPr>
          <w:rStyle w:val="DefaultParagraphFont"/>
          <w:color w:val="000000"/>
        </w:rPr>
      </w:pPr>
      <w:bookmarkStart w:id="72" w:name="_DV_M47"/>
      <w:bookmarkEnd w:id="72"/>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0"/>
        <w:rPr>
          <w:rStyle w:val="DefaultParagraphFont"/>
          <w:color w:val="000000"/>
        </w:rPr>
      </w:pPr>
      <w:bookmarkStart w:id="73" w:name="_DV_M48"/>
      <w:bookmarkEnd w:id="73"/>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0"/>
        <w:rPr>
          <w:rStyle w:val="DefaultParagraphFont"/>
          <w:color w:val="000000"/>
        </w:rPr>
      </w:pPr>
      <w:bookmarkStart w:id="74" w:name="_DV_M49"/>
      <w:bookmarkEnd w:id="74"/>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0"/>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0"/>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0"/>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0"/>
        <w:rPr>
          <w:rStyle w:val="DefaultParagraphFont"/>
          <w:color w:val="000000"/>
        </w:rPr>
      </w:pPr>
      <w:bookmarkStart w:id="75" w:name="_DV_M50"/>
      <w:bookmarkStart w:id="76" w:name="_Ref470345644"/>
      <w:bookmarkStart w:id="77" w:name="_Ref514482984"/>
      <w:bookmarkEnd w:id="75"/>
      <w:r>
        <w:rPr>
          <w:rStyle w:val="DefaultParagraphFont"/>
          <w:color w:val="000000"/>
        </w:rPr>
        <w:t>23.3.1.4</w:t>
      </w:r>
      <w:r>
        <w:rPr>
          <w:rStyle w:val="DefaultParagraphFont"/>
          <w:color w:val="000000"/>
        </w:rPr>
        <w:tab/>
        <w:t xml:space="preserve">Reference </w:t>
      </w:r>
      <w:bookmarkStart w:id="78" w:name="_DV_M51"/>
      <w:bookmarkEnd w:id="76"/>
      <w:bookmarkEnd w:id="78"/>
      <w:r>
        <w:rPr>
          <w:rStyle w:val="DefaultParagraphFont"/>
          <w:color w:val="000000"/>
        </w:rPr>
        <w:t>Levels</w:t>
      </w:r>
      <w:bookmarkEnd w:id="77"/>
    </w:p>
    <w:p w:rsidR="005E6B3F">
      <w:pPr>
        <w:pStyle w:val="romannumeralpara10"/>
        <w:rPr>
          <w:rStyle w:val="DefaultParagraphFont"/>
          <w:color w:val="000000"/>
        </w:rPr>
      </w:pPr>
      <w:bookmarkStart w:id="79" w:name="_DV_M52"/>
      <w:bookmarkEnd w:id="79"/>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0"/>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0"/>
        <w:rPr>
          <w:rStyle w:val="DefaultParagraphFont"/>
          <w:color w:val="000000"/>
        </w:rPr>
      </w:pPr>
      <w:bookmarkStart w:id="80" w:name="_DV_M53"/>
      <w:bookmarkEnd w:id="80"/>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1" w:name="_DV_M54"/>
      <w:bookmarkStart w:id="82" w:name="_DV_M55"/>
      <w:bookmarkEnd w:id="81"/>
      <w:bookmarkEnd w:id="82"/>
    </w:p>
    <w:p w:rsidR="005E6B3F">
      <w:pPr>
        <w:pStyle w:val="romannumeralpara10"/>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0"/>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0"/>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0"/>
        <w:rPr>
          <w:rStyle w:val="DefaultParagraphFont"/>
          <w:color w:val="000000"/>
        </w:rPr>
      </w:pPr>
    </w:p>
    <w:p w:rsidR="005E6B3F">
      <w:pPr>
        <w:pStyle w:val="romannumeralpara10"/>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0"/>
        <w:rPr>
          <w:rStyle w:val="DefaultParagraphFont"/>
          <w:color w:val="000000"/>
        </w:rPr>
      </w:pPr>
      <w:bookmarkStart w:id="83" w:name="_DV_IPM51"/>
      <w:bookmarkStart w:id="84" w:name="_DV_M56"/>
      <w:bookmarkStart w:id="85" w:name="_DV_C45"/>
      <w:bookmarkEnd w:id="83"/>
      <w:bookmarkEnd w:id="84"/>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0"/>
        <w:rPr>
          <w:rStyle w:val="DefaultParagraphFont"/>
          <w:color w:val="000000"/>
        </w:rPr>
      </w:pPr>
      <w:bookmarkStart w:id="86" w:name="_DV_M57"/>
      <w:bookmarkEnd w:id="86"/>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0"/>
        <w:rPr>
          <w:rStyle w:val="DefaultParagraphFont"/>
          <w:color w:val="000000"/>
        </w:rPr>
      </w:pPr>
      <w:bookmarkStart w:id="87" w:name="_DV_M58"/>
      <w:bookmarkEnd w:id="87"/>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0"/>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0"/>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0"/>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0"/>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0"/>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0"/>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0"/>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0"/>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0"/>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0"/>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0"/>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0"/>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0"/>
        <w:rPr>
          <w:rStyle w:val="DefaultParagraphFont"/>
          <w:color w:val="000000"/>
        </w:rPr>
      </w:pPr>
      <w:bookmarkEnd w:id="85"/>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0"/>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0"/>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0"/>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0"/>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0"/>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0"/>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0"/>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0"/>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0"/>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0"/>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0"/>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0"/>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0"/>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0"/>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0"/>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0"/>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0"/>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0"/>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0"/>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0"/>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0"/>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0"/>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0"/>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0"/>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0"/>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0"/>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0"/>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0"/>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0"/>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0"/>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0"/>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0"/>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0"/>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0"/>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0"/>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0"/>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0"/>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0"/>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0"/>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0"/>
        <w:rPr>
          <w:rStyle w:val="DefaultParagraphFont"/>
          <w:color w:val="000000"/>
        </w:rPr>
      </w:pPr>
      <w:bookmarkStart w:id="88" w:name="_DV_M59"/>
      <w:bookmarkStart w:id="89" w:name="_Ref470446891"/>
      <w:bookmarkStart w:id="90" w:name="_Toc261252168"/>
      <w:bookmarkEnd w:id="88"/>
      <w:r>
        <w:rPr>
          <w:rStyle w:val="DefaultParagraphFont"/>
          <w:color w:val="000000"/>
        </w:rPr>
        <w:t>23.3.2</w:t>
      </w:r>
      <w:r>
        <w:rPr>
          <w:rStyle w:val="DefaultParagraphFont"/>
          <w:color w:val="000000"/>
        </w:rPr>
        <w:tab/>
        <w:t>Material Price Effects or Changes in Guarantee Payments</w:t>
      </w:r>
      <w:bookmarkStart w:id="91" w:name="_DV_C42"/>
      <w:bookmarkEnd w:id="89"/>
      <w:bookmarkEnd w:id="90"/>
    </w:p>
    <w:p w:rsidR="005E6B3F">
      <w:pPr>
        <w:pStyle w:val="Heading400"/>
        <w:rPr>
          <w:rStyle w:val="DefaultParagraphFont"/>
          <w:color w:val="000000"/>
        </w:rPr>
      </w:pPr>
      <w:bookmarkStart w:id="92" w:name="_DV_IPM52"/>
      <w:bookmarkStart w:id="93" w:name="_DV_C43"/>
      <w:bookmarkStart w:id="94" w:name="_Ref514737167"/>
      <w:bookmarkEnd w:id="91"/>
      <w:bookmarkEnd w:id="92"/>
      <w:r>
        <w:rPr>
          <w:rStyle w:val="DefaultParagraphFont"/>
          <w:color w:val="000000"/>
        </w:rPr>
        <w:t>23.3.2.1</w:t>
      </w:r>
      <w:r>
        <w:rPr>
          <w:rStyle w:val="DefaultParagraphFont"/>
          <w:color w:val="000000"/>
        </w:rPr>
        <w:tab/>
        <w:t>Market Impact Thresholds</w:t>
      </w:r>
      <w:bookmarkEnd w:id="93"/>
      <w:bookmarkEnd w:id="94"/>
    </w:p>
    <w:p w:rsidR="005E6B3F">
      <w:pPr>
        <w:pStyle w:val="Bodypara20"/>
        <w:rPr>
          <w:rStyle w:val="DefaultParagraphFont"/>
          <w:color w:val="000000"/>
        </w:rPr>
      </w:pPr>
      <w:bookmarkStart w:id="95" w:name="_DV_M60"/>
      <w:bookmarkEnd w:id="95"/>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0"/>
        <w:rPr>
          <w:rStyle w:val="DefaultParagraphFont"/>
          <w:color w:val="000000"/>
        </w:rPr>
      </w:pPr>
      <w:bookmarkStart w:id="96" w:name="_DV_M61"/>
      <w:bookmarkEnd w:id="96"/>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0"/>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0"/>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0"/>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0"/>
        <w:rPr>
          <w:rStyle w:val="DefaultParagraphFont"/>
          <w:iCs/>
          <w:color w:val="000000"/>
        </w:rPr>
      </w:pPr>
      <w:bookmarkStart w:id="97" w:name="_DV_M62"/>
      <w:bookmarkEnd w:id="97"/>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0"/>
        <w:rPr>
          <w:rStyle w:val="DefaultParagraphFont"/>
          <w:color w:val="000000"/>
        </w:rPr>
      </w:pPr>
      <w:bookmarkStart w:id="98" w:name="_DV_IPM53"/>
      <w:bookmarkStart w:id="99" w:name="_DV_C46"/>
      <w:bookmarkEnd w:id="98"/>
      <w:r>
        <w:rPr>
          <w:rStyle w:val="DefaultParagraphFont"/>
          <w:color w:val="000000"/>
        </w:rPr>
        <w:t>23.3.2.2</w:t>
      </w:r>
      <w:r>
        <w:rPr>
          <w:rStyle w:val="DefaultParagraphFont"/>
          <w:color w:val="000000"/>
        </w:rPr>
        <w:tab/>
        <w:t>Price Impact Analysis</w:t>
      </w:r>
      <w:bookmarkEnd w:id="99"/>
    </w:p>
    <w:p w:rsidR="005E6B3F">
      <w:pPr>
        <w:pStyle w:val="alphapara20"/>
        <w:rPr>
          <w:rStyle w:val="DefaultParagraphFont"/>
          <w:color w:val="000000"/>
        </w:rPr>
      </w:pPr>
      <w:bookmarkStart w:id="100" w:name="_DV_M63"/>
      <w:bookmarkEnd w:id="100"/>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0"/>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0"/>
        <w:rPr>
          <w:rStyle w:val="DefaultParagraphFont"/>
          <w:bCs/>
          <w:color w:val="000000"/>
        </w:rPr>
      </w:pPr>
      <w:bookmarkStart w:id="101" w:name="_DV_IPM54"/>
      <w:bookmarkStart w:id="102" w:name="_DV_IPM55"/>
      <w:bookmarkStart w:id="103" w:name="_DV_IPM62"/>
      <w:bookmarkStart w:id="104" w:name="_DV_IPM63"/>
      <w:bookmarkStart w:id="105" w:name="_DV_C54"/>
      <w:bookmarkStart w:id="106" w:name="_Ref514734795"/>
      <w:bookmarkEnd w:id="101"/>
      <w:bookmarkEnd w:id="102"/>
      <w:bookmarkEnd w:id="103"/>
      <w:bookmarkEnd w:id="104"/>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07" w:name="_DV_C55"/>
      <w:bookmarkEnd w:id="105"/>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08" w:name="_DV_C56"/>
      <w:bookmarkEnd w:id="106"/>
      <w:bookmarkEnd w:id="107"/>
    </w:p>
    <w:p w:rsidR="005E6B3F">
      <w:pPr>
        <w:pStyle w:val="alphapara20"/>
        <w:rPr>
          <w:rStyle w:val="DefaultParagraphFont"/>
          <w:bCs/>
          <w:color w:val="000000"/>
        </w:rPr>
      </w:pPr>
      <w:bookmarkStart w:id="109" w:name="_DV_IPM64"/>
      <w:bookmarkStart w:id="110" w:name="_DV_C57"/>
      <w:bookmarkEnd w:id="108"/>
      <w:bookmarkEnd w:id="109"/>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1" w:name="_DV_C58"/>
      <w:bookmarkEnd w:id="110"/>
    </w:p>
    <w:p w:rsidR="005E6B3F">
      <w:pPr>
        <w:pStyle w:val="Heading400"/>
        <w:rPr>
          <w:rStyle w:val="DefaultParagraphFont"/>
          <w:color w:val="000000"/>
        </w:rPr>
      </w:pPr>
      <w:bookmarkStart w:id="112" w:name="_DV_IPM65"/>
      <w:bookmarkStart w:id="113" w:name="_DV_C59"/>
      <w:bookmarkStart w:id="114" w:name="_Ref514566929"/>
      <w:bookmarkEnd w:id="111"/>
      <w:bookmarkEnd w:id="112"/>
      <w:r>
        <w:rPr>
          <w:rStyle w:val="DefaultParagraphFont"/>
          <w:color w:val="000000"/>
        </w:rPr>
        <w:t>23.3.2.3</w:t>
      </w:r>
      <w:r>
        <w:rPr>
          <w:rStyle w:val="DefaultParagraphFont"/>
          <w:color w:val="000000"/>
        </w:rPr>
        <w:tab/>
        <w:t>Section 205 Filings</w:t>
      </w:r>
      <w:bookmarkEnd w:id="113"/>
      <w:bookmarkEnd w:id="114"/>
    </w:p>
    <w:p w:rsidR="005E6B3F">
      <w:pPr>
        <w:pStyle w:val="Bodypara20"/>
        <w:rPr>
          <w:rStyle w:val="DefaultParagraphFont"/>
          <w:color w:val="000000"/>
        </w:rPr>
      </w:pPr>
      <w:bookmarkStart w:id="115" w:name="_DV_M64"/>
      <w:bookmarkStart w:id="116" w:name="_Ref470527716"/>
      <w:bookmarkEnd w:id="115"/>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17" w:name="_DV_M65"/>
      <w:bookmarkEnd w:id="117"/>
      <w:r>
        <w:rPr>
          <w:rStyle w:val="DefaultParagraphFont"/>
          <w:color w:val="000000"/>
        </w:rPr>
        <w:t>23.3</w:t>
      </w:r>
      <w:r>
        <w:rPr>
          <w:rStyle w:val="DefaultParagraphFont"/>
          <w:color w:val="000000"/>
        </w:rPr>
        <w:t xml:space="preserve">.1.1 through </w:t>
      </w:r>
      <w:bookmarkStart w:id="118" w:name="_DV_M66"/>
      <w:bookmarkEnd w:id="118"/>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16"/>
    </w:p>
    <w:p w:rsidR="005E6B3F">
      <w:pPr>
        <w:pStyle w:val="alphapara20"/>
        <w:rPr>
          <w:rStyle w:val="DefaultParagraphFont"/>
          <w:color w:val="000000"/>
        </w:rPr>
      </w:pPr>
      <w:bookmarkStart w:id="119" w:name="_DV_M67"/>
      <w:bookmarkEnd w:id="119"/>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0"/>
        <w:rPr>
          <w:rStyle w:val="DefaultParagraphFont"/>
          <w:color w:val="000000"/>
        </w:rPr>
      </w:pPr>
      <w:bookmarkStart w:id="120" w:name="_DV_M68"/>
      <w:bookmarkEnd w:id="120"/>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0"/>
        <w:rPr>
          <w:rStyle w:val="DefaultParagraphFont"/>
          <w:color w:val="000000"/>
        </w:rPr>
      </w:pPr>
      <w:bookmarkStart w:id="121" w:name="_DV_M69"/>
      <w:bookmarkStart w:id="122" w:name="_Toc261252169"/>
      <w:bookmarkEnd w:id="121"/>
      <w:r>
        <w:rPr>
          <w:rStyle w:val="DefaultParagraphFont"/>
          <w:color w:val="000000"/>
        </w:rPr>
        <w:t>23.3.3</w:t>
      </w:r>
      <w:r>
        <w:rPr>
          <w:rStyle w:val="DefaultParagraphFont"/>
          <w:color w:val="000000"/>
        </w:rPr>
        <w:tab/>
        <w:t>Consultation with a Market Party</w:t>
      </w:r>
      <w:bookmarkEnd w:id="122"/>
    </w:p>
    <w:p w:rsidR="005E6B3F">
      <w:pPr>
        <w:pStyle w:val="Heading40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0"/>
        <w:rPr>
          <w:rStyle w:val="DefaultParagraphFont"/>
          <w:color w:val="000000"/>
        </w:rPr>
      </w:pPr>
      <w:bookmarkStart w:id="123" w:name="_DV_M70"/>
      <w:bookmarkEnd w:id="123"/>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0"/>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4"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5" w:name="_DV_C63"/>
      <w:bookmarkEnd w:id="124"/>
      <w:r>
        <w:rPr>
          <w:rStyle w:val="DefaultParagraphFont"/>
          <w:bCs/>
          <w:color w:val="000000"/>
        </w:rPr>
        <w:t xml:space="preserve">23.3.1 above for </w:t>
      </w:r>
      <w:bookmarkStart w:id="126" w:name="_DV_IPM66"/>
      <w:bookmarkStart w:id="127" w:name="_DV_IPM73"/>
      <w:bookmarkStart w:id="128" w:name="_DV_C70"/>
      <w:bookmarkEnd w:id="125"/>
      <w:bookmarkEnd w:id="126"/>
      <w:bookmarkEnd w:id="127"/>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0"/>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0"/>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0"/>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0"/>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28"/>
    </w:p>
    <w:p w:rsidR="005E6B3F">
      <w:pPr>
        <w:pStyle w:val="alphapara20"/>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0"/>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0"/>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0"/>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0"/>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0"/>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0"/>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0"/>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0"/>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0"/>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0"/>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0"/>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0"/>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0"/>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0"/>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0"/>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0"/>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0"/>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0"/>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0"/>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0"/>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0"/>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0"/>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0"/>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0"/>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0"/>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0"/>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0"/>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0"/>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0"/>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0"/>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0"/>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0"/>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0"/>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0"/>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0"/>
        <w:rPr>
          <w:rStyle w:val="DefaultParagraphFont"/>
        </w:rPr>
        <w:sectPr>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29" w:name="_GoBack_0_0"/>
      <w:bookmarkEnd w:id="129"/>
    </w:p>
    <w:p w:rsidR="0016026A">
      <w:pPr>
        <w:pStyle w:val="Heading230"/>
        <w:rPr>
          <w:rStyle w:val="DefaultParagraphFont"/>
        </w:rPr>
      </w:pPr>
      <w:bookmarkStart w:id="130" w:name="_GoBack_0_1"/>
      <w:bookmarkStart w:id="131" w:name="_Toc261252170"/>
      <w:bookmarkStart w:id="132" w:name="_GoBack_2"/>
      <w:bookmarkEnd w:id="130"/>
      <w:bookmarkEnd w:id="132"/>
      <w:r>
        <w:rPr>
          <w:rStyle w:val="DefaultParagraphFont"/>
        </w:rPr>
        <w:t>23.4</w:t>
      </w:r>
      <w:r>
        <w:rPr>
          <w:rStyle w:val="DefaultParagraphFont"/>
        </w:rPr>
        <w:tab/>
        <w:t>Mitigation Measures</w:t>
      </w:r>
      <w:bookmarkEnd w:id="131"/>
    </w:p>
    <w:p w:rsidR="0016026A">
      <w:pPr>
        <w:pStyle w:val="Heading320"/>
        <w:rPr>
          <w:rStyle w:val="DefaultParagraphFont"/>
        </w:rPr>
      </w:pPr>
      <w:bookmarkStart w:id="133" w:name="_Toc261252171"/>
      <w:r>
        <w:rPr>
          <w:rStyle w:val="DefaultParagraphFont"/>
        </w:rPr>
        <w:t>23.4.1</w:t>
      </w:r>
      <w:r>
        <w:rPr>
          <w:rStyle w:val="DefaultParagraphFont"/>
        </w:rPr>
        <w:tab/>
        <w:t>Purpose</w:t>
      </w:r>
      <w:bookmarkEnd w:id="133"/>
      <w:r>
        <w:rPr>
          <w:rStyle w:val="DefaultParagraphFont"/>
        </w:rPr>
        <w:t xml:space="preserve"> and Terms</w:t>
      </w:r>
    </w:p>
    <w:p w:rsidR="0016026A">
      <w:pPr>
        <w:pStyle w:val="Bodypara30"/>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0"/>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0"/>
        <w:rPr>
          <w:rStyle w:val="DefaultParagraphFont"/>
        </w:rPr>
      </w:pPr>
      <w:bookmarkStart w:id="134" w:name="_Toc261252172"/>
      <w:r>
        <w:rPr>
          <w:rStyle w:val="DefaultParagraphFont"/>
        </w:rPr>
        <w:t>23.4.2</w:t>
      </w:r>
      <w:r>
        <w:rPr>
          <w:rStyle w:val="DefaultParagraphFont"/>
        </w:rPr>
        <w:tab/>
        <w:t>Default Bid</w:t>
      </w:r>
      <w:bookmarkEnd w:id="134"/>
    </w:p>
    <w:p w:rsidR="0016026A">
      <w:pPr>
        <w:pStyle w:val="Heading410"/>
        <w:rPr>
          <w:rStyle w:val="DefaultParagraphFont"/>
        </w:rPr>
      </w:pPr>
      <w:bookmarkStart w:id="135" w:name="_DV_M121"/>
      <w:bookmarkEnd w:id="135"/>
      <w:r>
        <w:rPr>
          <w:rStyle w:val="DefaultParagraphFont"/>
        </w:rPr>
        <w:t>23.4.2.1</w:t>
      </w:r>
      <w:r>
        <w:rPr>
          <w:rStyle w:val="DefaultParagraphFont"/>
        </w:rPr>
        <w:tab/>
        <w:t>Purpose</w:t>
      </w:r>
    </w:p>
    <w:p w:rsidR="0016026A">
      <w:pPr>
        <w:pStyle w:val="Bodypara30"/>
        <w:rPr>
          <w:rStyle w:val="DefaultParagraphFont"/>
          <w:b/>
          <w:bCs/>
        </w:rPr>
      </w:pPr>
      <w:bookmarkStart w:id="136" w:name="_DV_M122"/>
      <w:bookmarkEnd w:id="136"/>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37" w:name="_DV_M73"/>
      <w:bookmarkEnd w:id="137"/>
    </w:p>
    <w:p w:rsidR="0016026A">
      <w:pPr>
        <w:pStyle w:val="Heading410"/>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0"/>
        <w:rPr>
          <w:rStyle w:val="DefaultParagraphFont"/>
        </w:rPr>
      </w:pPr>
      <w:bookmarkStart w:id="138" w:name="_DV_M124"/>
      <w:bookmarkEnd w:id="138"/>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0"/>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0"/>
        <w:rPr>
          <w:rStyle w:val="DefaultParagraphFont"/>
        </w:rPr>
      </w:pPr>
      <w:bookmarkStart w:id="139" w:name="_DV_IPM80"/>
      <w:bookmarkStart w:id="140" w:name="_DV_C89"/>
      <w:bookmarkStart w:id="141" w:name="_DV_C95"/>
      <w:bookmarkEnd w:id="139"/>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0"/>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0"/>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0"/>
        <w:rPr>
          <w:rStyle w:val="DefaultParagraphFont"/>
        </w:rPr>
      </w:pPr>
      <w:bookmarkStart w:id="142" w:name="_DV_M135"/>
      <w:bookmarkEnd w:id="142"/>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0"/>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0"/>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0"/>
        <w:rPr>
          <w:rStyle w:val="DefaultParagraphFont"/>
        </w:rPr>
      </w:pPr>
      <w:bookmarkStart w:id="143" w:name="_DV_M136"/>
      <w:bookmarkEnd w:id="143"/>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0"/>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0"/>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0"/>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0"/>
        <w:rPr>
          <w:rStyle w:val="DefaultParagraphFont"/>
          <w:color w:val="000000"/>
        </w:rPr>
      </w:pPr>
      <w:bookmarkStart w:id="144" w:name="_DV_M139"/>
      <w:bookmarkEnd w:id="144"/>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0"/>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0"/>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0"/>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0"/>
        <w:rPr>
          <w:rStyle w:val="DefaultParagraphFont"/>
        </w:rPr>
      </w:pPr>
      <w:bookmarkStart w:id="145" w:name="_Toc261252173"/>
      <w:r>
        <w:rPr>
          <w:rStyle w:val="DefaultParagraphFont"/>
        </w:rPr>
        <w:t>23.4.3</w:t>
      </w:r>
      <w:r>
        <w:rPr>
          <w:rStyle w:val="DefaultParagraphFont"/>
        </w:rPr>
        <w:tab/>
        <w:t>Sanctions</w:t>
      </w:r>
      <w:bookmarkEnd w:id="145"/>
    </w:p>
    <w:p w:rsidR="0016026A">
      <w:pPr>
        <w:pStyle w:val="Heading410"/>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0"/>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0"/>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0"/>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46" w:name="_DV_M140"/>
      <w:bookmarkEnd w:id="146"/>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47" w:name="_DV_M141"/>
      <w:bookmarkEnd w:id="147"/>
      <w:r>
        <w:rPr>
          <w:rStyle w:val="DefaultParagraphFont"/>
          <w:color w:val="000000"/>
        </w:rPr>
        <w:t>that</w:t>
      </w:r>
      <w:bookmarkStart w:id="148" w:name="_DV_M142"/>
      <w:bookmarkEnd w:id="148"/>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49" w:name="_DV_M143"/>
      <w:bookmarkEnd w:id="149"/>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0"/>
        <w:rPr>
          <w:rStyle w:val="DefaultParagraphFont"/>
        </w:rPr>
      </w:pPr>
      <w:bookmarkStart w:id="150" w:name="_DV_IPM92"/>
      <w:bookmarkStart w:id="151" w:name="_DV_M93"/>
      <w:bookmarkStart w:id="152" w:name="_DV_IPM93"/>
      <w:bookmarkEnd w:id="140"/>
      <w:bookmarkEnd w:id="150"/>
      <w:bookmarkEnd w:id="151"/>
      <w:bookmarkEnd w:id="152"/>
      <w:r>
        <w:rPr>
          <w:rStyle w:val="DefaultParagraphFont"/>
        </w:rPr>
        <w:t>23.4.3.3</w:t>
      </w:r>
      <w:r>
        <w:rPr>
          <w:rStyle w:val="DefaultParagraphFont"/>
        </w:rPr>
        <w:tab/>
        <w:t>Base Penalty Amount</w:t>
      </w:r>
    </w:p>
    <w:p w:rsidR="0016026A">
      <w:pPr>
        <w:pStyle w:val="alphapara30"/>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0"/>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0"/>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0"/>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0"/>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0"/>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0"/>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0"/>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0"/>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0"/>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0"/>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0"/>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0"/>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0"/>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0"/>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0"/>
        <w:rPr>
          <w:rStyle w:val="DefaultParagraphFont"/>
        </w:rPr>
      </w:pPr>
      <w:bookmarkStart w:id="153" w:name="_DV_M153"/>
      <w:bookmarkEnd w:id="153"/>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0"/>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0"/>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0"/>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0"/>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0"/>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0"/>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0"/>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0"/>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0"/>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0"/>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0"/>
        <w:ind w:firstLine="0"/>
        <w:rPr>
          <w:rStyle w:val="DefaultParagraphFont"/>
        </w:rPr>
      </w:pPr>
      <w:r>
        <w:rPr>
          <w:rStyle w:val="DefaultParagraphFont"/>
        </w:rPr>
        <w:t>Where:</w:t>
      </w:r>
    </w:p>
    <w:p w:rsidR="0016026A">
      <w:pPr>
        <w:pStyle w:val="alphapara30"/>
        <w:ind w:firstLine="720"/>
        <w:rPr>
          <w:rStyle w:val="DefaultParagraphFont"/>
        </w:rPr>
      </w:pPr>
      <w:r>
        <w:rPr>
          <w:rStyle w:val="DefaultParagraphFont"/>
        </w:rPr>
        <w:t>g = each of the Market Party’s Generators.</w:t>
      </w:r>
    </w:p>
    <w:p w:rsidR="0016026A">
      <w:pPr>
        <w:pStyle w:val="alphapara30"/>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0"/>
        <w:ind w:firstLine="720"/>
        <w:rPr>
          <w:rStyle w:val="DefaultParagraphFont"/>
        </w:rPr>
      </w:pPr>
      <w:r>
        <w:rPr>
          <w:rStyle w:val="DefaultParagraphFont"/>
        </w:rPr>
        <w:t>Multiplier = a factor of 1.0 or 1.5.  Determined as specified below.</w:t>
      </w:r>
    </w:p>
    <w:p w:rsidR="0016026A">
      <w:pPr>
        <w:pStyle w:val="alphapara30"/>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0"/>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0"/>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0"/>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0"/>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0"/>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0"/>
        <w:rPr>
          <w:rStyle w:val="DefaultParagraphFont"/>
        </w:rPr>
      </w:pPr>
      <w:r>
        <w:rPr>
          <w:rStyle w:val="DefaultParagraphFont"/>
        </w:rPr>
        <w:t>23.4.3.3.4</w:t>
      </w:r>
      <w:r>
        <w:rPr>
          <w:rStyle w:val="DefaultParagraphFont"/>
        </w:rPr>
        <w:tab/>
        <w:t xml:space="preserve">Virtual Bidding Penalties </w:t>
      </w:r>
    </w:p>
    <w:p w:rsidR="0016026A">
      <w:pPr>
        <w:pStyle w:val="alphapara30"/>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0"/>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0"/>
        <w:ind w:firstLine="0"/>
        <w:rPr>
          <w:rStyle w:val="DefaultParagraphFont"/>
          <w:color w:val="000000"/>
        </w:rPr>
      </w:pPr>
      <w:r>
        <w:rPr>
          <w:rStyle w:val="DefaultParagraphFont"/>
          <w:color w:val="000000"/>
        </w:rPr>
        <w:t>WHERE:</w:t>
      </w:r>
    </w:p>
    <w:p w:rsidR="0016026A">
      <w:pPr>
        <w:pStyle w:val="alphapara30"/>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0"/>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0"/>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0"/>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0"/>
        <w:ind w:firstLine="0"/>
        <w:rPr>
          <w:rStyle w:val="DefaultParagraphFont"/>
          <w:color w:val="000000"/>
        </w:rPr>
      </w:pPr>
      <w:r>
        <w:rPr>
          <w:rStyle w:val="DefaultParagraphFont"/>
          <w:color w:val="000000"/>
        </w:rPr>
        <w:t>WHERE:</w:t>
      </w:r>
    </w:p>
    <w:p w:rsidR="0016026A">
      <w:pPr>
        <w:pStyle w:val="alphapara30"/>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0"/>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0"/>
        <w:rPr>
          <w:rStyle w:val="DefaultParagraphFont"/>
        </w:rPr>
      </w:pPr>
      <w:r>
        <w:rPr>
          <w:rStyle w:val="DefaultParagraphFont"/>
        </w:rPr>
        <w:t>23.4.3.3.5</w:t>
      </w:r>
      <w:r>
        <w:rPr>
          <w:rStyle w:val="DefaultParagraphFont"/>
        </w:rPr>
        <w:tab/>
        <w:t xml:space="preserve">No Revisions to Real-Time LBMPs </w:t>
      </w:r>
    </w:p>
    <w:p w:rsidR="0016026A">
      <w:pPr>
        <w:pStyle w:val="alphapara30"/>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0"/>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0"/>
        <w:rPr>
          <w:rStyle w:val="DefaultParagraphFont"/>
        </w:rPr>
      </w:pPr>
      <w:bookmarkStart w:id="154"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4"/>
    </w:p>
    <w:p w:rsidR="0016026A">
      <w:pPr>
        <w:pStyle w:val="alphapara30"/>
        <w:rPr>
          <w:rStyle w:val="DefaultParagraphFont"/>
          <w:bCs/>
          <w:color w:val="000000"/>
        </w:rPr>
      </w:pPr>
      <w:bookmarkStart w:id="155" w:name="_DV_IPM94"/>
      <w:bookmarkStart w:id="156" w:name="_DV_IPM95"/>
      <w:bookmarkStart w:id="157" w:name="_DV_C61"/>
      <w:bookmarkEnd w:id="155"/>
      <w:bookmarkEnd w:id="156"/>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57"/>
    </w:p>
    <w:p w:rsidR="0016026A">
      <w:pPr>
        <w:pStyle w:val="alphapara30"/>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0"/>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0"/>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0"/>
        <w:rPr>
          <w:rStyle w:val="DefaultParagraphFont"/>
          <w:bCs/>
          <w:color w:val="000000"/>
        </w:rPr>
      </w:pPr>
      <w:bookmarkStart w:id="158" w:name="_DV_C71"/>
      <w:r>
        <w:rPr>
          <w:rStyle w:val="DefaultParagraphFont"/>
        </w:rPr>
        <w:t>23.</w:t>
      </w:r>
      <w:r>
        <w:rPr>
          <w:rStyle w:val="DefaultParagraphFont"/>
          <w:bCs/>
          <w:color w:val="000000"/>
        </w:rPr>
        <w:t>4.3.5</w:t>
      </w:r>
      <w:r>
        <w:rPr>
          <w:rStyle w:val="DefaultParagraphFont"/>
          <w:bCs/>
          <w:color w:val="000000"/>
        </w:rPr>
        <w:tab/>
        <w:t>Dispute Resolution</w:t>
      </w:r>
      <w:bookmarkEnd w:id="158"/>
    </w:p>
    <w:p w:rsidR="0016026A">
      <w:pPr>
        <w:pStyle w:val="alphapara30"/>
        <w:rPr>
          <w:rStyle w:val="DefaultParagraphFont"/>
          <w:bCs/>
          <w:color w:val="000000"/>
        </w:rPr>
      </w:pPr>
      <w:bookmarkStart w:id="159"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59"/>
    </w:p>
    <w:p w:rsidR="0016026A">
      <w:pPr>
        <w:pStyle w:val="alphapara30"/>
        <w:rPr>
          <w:rStyle w:val="DefaultParagraphFont"/>
          <w:bCs/>
          <w:color w:val="000000"/>
        </w:rPr>
      </w:pPr>
      <w:bookmarkStart w:id="160"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0"/>
    </w:p>
    <w:p w:rsidR="0016026A">
      <w:pPr>
        <w:pStyle w:val="alphapara30"/>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0"/>
        <w:rPr>
          <w:rStyle w:val="DefaultParagraphFont"/>
          <w:bCs/>
          <w:color w:val="000000"/>
        </w:rPr>
      </w:pPr>
      <w:bookmarkStart w:id="161" w:name="_DV_IPM69"/>
      <w:bookmarkEnd w:id="161"/>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0"/>
        <w:rPr>
          <w:rStyle w:val="DefaultParagraphFont"/>
          <w:color w:val="000000"/>
        </w:rPr>
      </w:pPr>
      <w:bookmarkStart w:id="162" w:name="_DV_IPM70"/>
      <w:bookmarkEnd w:id="162"/>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0"/>
        <w:rPr>
          <w:rStyle w:val="DefaultParagraphFont"/>
          <w:bCs/>
          <w:color w:val="000000"/>
        </w:rPr>
      </w:pPr>
      <w:bookmarkStart w:id="163" w:name="_DV_IPM71"/>
      <w:bookmarkEnd w:id="163"/>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0"/>
        <w:rPr>
          <w:rStyle w:val="DefaultParagraphFont"/>
        </w:rPr>
      </w:pPr>
      <w:bookmarkStart w:id="164" w:name="_DV_M154"/>
      <w:bookmarkStart w:id="165" w:name="_Toc261252174"/>
      <w:bookmarkEnd w:id="164"/>
      <w:r>
        <w:rPr>
          <w:rStyle w:val="DefaultParagraphFont"/>
        </w:rPr>
        <w:t>23.4.4</w:t>
      </w:r>
      <w:r>
        <w:rPr>
          <w:rStyle w:val="DefaultParagraphFont"/>
        </w:rPr>
        <w:tab/>
        <w:t>Load Bid Measure</w:t>
      </w:r>
      <w:bookmarkEnd w:id="165"/>
    </w:p>
    <w:p w:rsidR="0016026A">
      <w:pPr>
        <w:pStyle w:val="Heading410"/>
        <w:rPr>
          <w:rStyle w:val="DefaultParagraphFont"/>
          <w:color w:val="000000"/>
        </w:rPr>
      </w:pPr>
      <w:bookmarkStart w:id="166" w:name="_DV_M155"/>
      <w:bookmarkEnd w:id="166"/>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0"/>
        <w:rPr>
          <w:rStyle w:val="DefaultParagraphFont"/>
          <w:color w:val="000000"/>
        </w:rPr>
      </w:pPr>
      <w:bookmarkStart w:id="167" w:name="_DV_M156"/>
      <w:bookmarkEnd w:id="167"/>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0"/>
        <w:rPr>
          <w:rStyle w:val="DefaultParagraphFont"/>
          <w:color w:val="000000"/>
        </w:rPr>
      </w:pPr>
      <w:bookmarkStart w:id="168" w:name="_DV_M157"/>
      <w:bookmarkEnd w:id="168"/>
      <w:r>
        <w:rPr>
          <w:rStyle w:val="DefaultParagraphFont"/>
        </w:rPr>
        <w:t>23.</w:t>
      </w:r>
      <w:r>
        <w:rPr>
          <w:rStyle w:val="DefaultParagraphFont"/>
          <w:color w:val="000000"/>
        </w:rPr>
        <w:t>4.4.2</w:t>
      </w:r>
      <w:r>
        <w:rPr>
          <w:rStyle w:val="DefaultParagraphFont"/>
          <w:color w:val="000000"/>
        </w:rPr>
        <w:tab/>
        <w:t>Implementation</w:t>
      </w:r>
    </w:p>
    <w:p w:rsidR="0016026A">
      <w:pPr>
        <w:pStyle w:val="alphapara30"/>
        <w:rPr>
          <w:rStyle w:val="DefaultParagraphFont"/>
          <w:color w:val="000000"/>
        </w:rPr>
      </w:pPr>
      <w:bookmarkStart w:id="169" w:name="_DV_M158"/>
      <w:bookmarkEnd w:id="169"/>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0"/>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0"/>
        <w:rPr>
          <w:rStyle w:val="DefaultParagraphFont"/>
          <w:color w:val="000000"/>
        </w:rPr>
      </w:pPr>
      <w:bookmarkStart w:id="170" w:name="_DV_M159"/>
      <w:bookmarkStart w:id="171" w:name="_DV_M160"/>
      <w:bookmarkEnd w:id="170"/>
      <w:bookmarkEnd w:id="171"/>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0"/>
        <w:rPr>
          <w:rStyle w:val="DefaultParagraphFont"/>
        </w:rPr>
      </w:pPr>
      <w:bookmarkStart w:id="172" w:name="_DV_IPM88"/>
      <w:bookmarkStart w:id="173" w:name="_DV_IPM100"/>
      <w:bookmarkStart w:id="174" w:name="_DV_M102"/>
      <w:bookmarkStart w:id="175" w:name="_DV_C103"/>
      <w:bookmarkEnd w:id="141"/>
      <w:bookmarkEnd w:id="172"/>
      <w:bookmarkEnd w:id="173"/>
      <w:bookmarkEnd w:id="174"/>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0"/>
        <w:rPr>
          <w:rStyle w:val="DefaultParagraphFont"/>
        </w:rPr>
      </w:pPr>
      <w:bookmarkStart w:id="176" w:name="_DV_M103"/>
      <w:bookmarkEnd w:id="176"/>
      <w:r>
        <w:rPr>
          <w:rStyle w:val="DefaultParagraphFont"/>
        </w:rPr>
        <w:t>23.4.4.3</w:t>
      </w:r>
      <w:r>
        <w:rPr>
          <w:rStyle w:val="DefaultParagraphFont"/>
        </w:rPr>
        <w:tab/>
        <w:t>Description of the Measure</w:t>
      </w:r>
    </w:p>
    <w:p w:rsidR="0016026A">
      <w:pPr>
        <w:pStyle w:val="alphapara30"/>
        <w:rPr>
          <w:rStyle w:val="DefaultParagraphFont"/>
        </w:rPr>
      </w:pPr>
      <w:bookmarkStart w:id="177" w:name="_DV_M104"/>
      <w:bookmarkEnd w:id="177"/>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0"/>
        <w:rPr>
          <w:rStyle w:val="DefaultParagraphFont"/>
        </w:rPr>
      </w:pPr>
      <w:bookmarkStart w:id="178" w:name="_DV_M105"/>
      <w:bookmarkEnd w:id="178"/>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0"/>
        <w:rPr>
          <w:rStyle w:val="DefaultParagraphFont"/>
        </w:rPr>
      </w:pPr>
      <w:bookmarkStart w:id="179" w:name="_DV_M106"/>
      <w:bookmarkEnd w:id="179"/>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0" w:name="_DV_M107"/>
      <w:bookmarkEnd w:id="180"/>
      <w:r>
        <w:rPr>
          <w:rStyle w:val="DefaultParagraphFont"/>
        </w:rPr>
        <w:t>23.4.4.  In addition, the Penalty Level payments shall be waived in any hour in which the Allowance Level is exceeded because of unexpected system conditions.</w:t>
      </w:r>
      <w:bookmarkStart w:id="181" w:name="_DV_M108"/>
      <w:bookmarkEnd w:id="175"/>
      <w:bookmarkEnd w:id="181"/>
    </w:p>
    <w:p w:rsidR="0016026A">
      <w:pPr>
        <w:pStyle w:val="Bodypara50"/>
        <w:ind w:firstLine="0"/>
        <w:rPr>
          <w:rStyle w:val="DefaultParagraphFont"/>
        </w:rPr>
      </w:pPr>
    </w:p>
    <w:sectPr>
      <w:headerReference w:type="even" r:id="rId23"/>
      <w:headerReference w:type="default" r:id="rId24"/>
      <w:footerReference w:type="even" r:id="rId25"/>
      <w:footerReference w:type="default" r:id="rId26"/>
      <w:headerReference w:type="first" r:id="rId27"/>
      <w:footerReference w:type="first" r:id="rId28"/>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8/26/2020 - Docket #: ER19-467-005 -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8/26/2020 - Docket #: ER19-467-005 -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8/26/2020 - Docket #: ER19-467-005 -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link w:val="CommentTextChar"/>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1"/>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Normal0">
    <w:name w:val="Normal_0"/>
    <w:qFormat/>
    <w:rsid w:val="006A1617"/>
    <w:pPr>
      <w:widowControl w:val="0"/>
    </w:pPr>
    <w:rPr>
      <w:snapToGrid w:val="0"/>
      <w:sz w:val="24"/>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alphapara0">
    <w:name w:val="alpha para_0"/>
    <w:basedOn w:val="Bodypara0"/>
    <w:link w:val="alphaparaChar0"/>
    <w:rsid w:val="006A1617"/>
    <w:pPr>
      <w:ind w:left="1440" w:hanging="720"/>
    </w:pPr>
  </w:style>
  <w:style w:type="paragraph" w:customStyle="1" w:styleId="Bodypara0">
    <w:name w:val="Body para_0"/>
    <w:basedOn w:val="Normal0"/>
    <w:link w:val="BodyparaChar0"/>
    <w:rsid w:val="006A1617"/>
    <w:pPr>
      <w:spacing w:line="480" w:lineRule="auto"/>
      <w:ind w:firstLine="720"/>
    </w:pPr>
  </w:style>
  <w:style w:type="character" w:customStyle="1" w:styleId="BodyparaChar0">
    <w:name w:val="Body para Char_0"/>
    <w:basedOn w:val="DefaultParagraphFont"/>
    <w:link w:val="Bodypara0"/>
    <w:rsid w:val="006A1617"/>
    <w:rPr>
      <w:snapToGrid w:val="0"/>
      <w:sz w:val="24"/>
    </w:rPr>
  </w:style>
  <w:style w:type="character" w:customStyle="1" w:styleId="alphaparaChar0">
    <w:name w:val="alpha para Char_0"/>
    <w:basedOn w:val="BodyparaChar0"/>
    <w:link w:val="alphapara0"/>
    <w:rsid w:val="00166FE4"/>
    <w:rPr>
      <w:snapToGrid w:val="0"/>
      <w:sz w:val="24"/>
    </w:rPr>
  </w:style>
  <w:style w:type="paragraph" w:customStyle="1" w:styleId="Heading21">
    <w:name w:val="Heading 2_1"/>
    <w:basedOn w:val="Normal1"/>
    <w:next w:val="Normal1"/>
    <w:qFormat/>
    <w:rsid w:val="00D55820"/>
    <w:pPr>
      <w:keepNext/>
      <w:tabs>
        <w:tab w:val="left" w:pos="1080"/>
      </w:tabs>
      <w:spacing w:before="240" w:after="240"/>
      <w:ind w:left="1080" w:right="14" w:hanging="1080"/>
      <w:outlineLvl w:val="1"/>
    </w:pPr>
    <w:rPr>
      <w:b/>
    </w:rPr>
  </w:style>
  <w:style w:type="paragraph" w:customStyle="1" w:styleId="Normal1">
    <w:name w:val="Normal_1"/>
    <w:qFormat/>
    <w:rsid w:val="00D55820"/>
    <w:rPr>
      <w:sz w:val="24"/>
      <w:szCs w:val="24"/>
    </w:rPr>
  </w:style>
  <w:style w:type="paragraph" w:customStyle="1" w:styleId="Heading30">
    <w:name w:val="Heading 3_0"/>
    <w:basedOn w:val="Normal1"/>
    <w:next w:val="Normal1"/>
    <w:link w:val="Heading3Char0"/>
    <w:qFormat/>
    <w:rsid w:val="00D55820"/>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D55820"/>
    <w:rPr>
      <w:b/>
      <w:snapToGrid w:val="0"/>
      <w:sz w:val="24"/>
      <w:lang w:val="en-US" w:eastAsia="en-US" w:bidi="ar-SA"/>
    </w:rPr>
  </w:style>
  <w:style w:type="paragraph" w:customStyle="1" w:styleId="Bodypara1">
    <w:name w:val="Body para_1"/>
    <w:basedOn w:val="Normal1"/>
    <w:link w:val="BodyparaChar1"/>
    <w:rsid w:val="00D55820"/>
    <w:pPr>
      <w:spacing w:line="480" w:lineRule="auto"/>
      <w:ind w:firstLine="720"/>
    </w:pPr>
  </w:style>
  <w:style w:type="character" w:customStyle="1" w:styleId="BodyparaChar1">
    <w:name w:val="Body para Char_1"/>
    <w:basedOn w:val="DefaultParagraphFont"/>
    <w:link w:val="Bodypara1"/>
    <w:rsid w:val="00D55820"/>
    <w:rPr>
      <w:snapToGrid w:val="0"/>
      <w:sz w:val="24"/>
      <w:lang w:val="en-US" w:eastAsia="en-US" w:bidi="ar-SA"/>
    </w:rPr>
  </w:style>
  <w:style w:type="paragraph" w:customStyle="1" w:styleId="Definition0">
    <w:name w:val="Definition_0"/>
    <w:basedOn w:val="Normal1"/>
    <w:rsid w:val="00D55820"/>
    <w:pPr>
      <w:spacing w:before="240" w:after="240"/>
    </w:pPr>
  </w:style>
  <w:style w:type="paragraph" w:customStyle="1" w:styleId="romannumeralpara0">
    <w:name w:val="roman numeral para_0"/>
    <w:basedOn w:val="Normal1"/>
    <w:link w:val="romannumeralparaChar0"/>
    <w:rsid w:val="00D55820"/>
    <w:pPr>
      <w:spacing w:line="480" w:lineRule="auto"/>
      <w:ind w:left="1440" w:hanging="720"/>
    </w:pPr>
  </w:style>
  <w:style w:type="character" w:customStyle="1" w:styleId="romannumeralparaChar0">
    <w:name w:val="roman numeral para Char_0"/>
    <w:basedOn w:val="DefaultParagraphFont"/>
    <w:link w:val="romannumeralpara0"/>
    <w:rsid w:val="00D55820"/>
    <w:rPr>
      <w:snapToGrid w:val="0"/>
      <w:sz w:val="24"/>
      <w:lang w:val="en-US" w:eastAsia="en-US" w:bidi="ar-SA"/>
    </w:rPr>
  </w:style>
  <w:style w:type="paragraph" w:customStyle="1" w:styleId="romannumeraldefinition0">
    <w:name w:val="roman numeral definition_0"/>
    <w:basedOn w:val="romannumeralpara0"/>
    <w:link w:val="romannumeraldefinitionChar0"/>
    <w:rsid w:val="00D5582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sid w:val="00D55820"/>
    <w:rPr>
      <w:bCs/>
      <w:snapToGrid w:val="0"/>
      <w:sz w:val="24"/>
      <w:u w:val="double"/>
      <w:lang w:val="en-US" w:eastAsia="en-US" w:bidi="ar-SA"/>
    </w:rPr>
  </w:style>
  <w:style w:type="paragraph" w:customStyle="1" w:styleId="alphapara1">
    <w:name w:val="alpha para_1"/>
    <w:basedOn w:val="Bodypara1"/>
    <w:link w:val="alphaparaChar1"/>
    <w:rsid w:val="00D55820"/>
    <w:pPr>
      <w:ind w:left="1440" w:hanging="720"/>
    </w:pPr>
  </w:style>
  <w:style w:type="character" w:customStyle="1" w:styleId="alphaparaChar1">
    <w:name w:val="alpha para Char_1"/>
    <w:basedOn w:val="BodyparaChar1"/>
    <w:link w:val="alphapara1"/>
    <w:rsid w:val="00D55820"/>
    <w:rPr>
      <w:snapToGrid w:val="0"/>
      <w:sz w:val="24"/>
      <w:lang w:val="en-US" w:eastAsia="en-US" w:bidi="ar-SA"/>
    </w:rPr>
  </w:style>
  <w:style w:type="paragraph" w:styleId="EndnoteText">
    <w:name w:val="endnote text"/>
    <w:basedOn w:val="Normal1"/>
    <w:semiHidden/>
    <w:rsid w:val="00D55820"/>
    <w:rPr>
      <w:sz w:val="20"/>
      <w:szCs w:val="20"/>
    </w:rPr>
  </w:style>
  <w:style w:type="paragraph" w:customStyle="1" w:styleId="Heading22">
    <w:name w:val="Heading 2_2"/>
    <w:basedOn w:val="Normal2"/>
    <w:next w:val="Normal2"/>
    <w:link w:val="Heading2Char"/>
    <w:uiPriority w:val="99"/>
    <w:qFormat/>
    <w:rsid w:val="00F645CC"/>
    <w:pPr>
      <w:keepNext/>
      <w:pageBreakBefore/>
      <w:tabs>
        <w:tab w:val="left" w:pos="1080"/>
      </w:tabs>
      <w:spacing w:before="240" w:after="240"/>
      <w:ind w:left="1080" w:right="14" w:hanging="1080"/>
      <w:outlineLvl w:val="1"/>
    </w:pPr>
    <w:rPr>
      <w:b/>
    </w:rPr>
  </w:style>
  <w:style w:type="paragraph" w:customStyle="1" w:styleId="Normal2">
    <w:name w:val="Normal_2"/>
    <w:qFormat/>
    <w:rsid w:val="00F645CC"/>
    <w:rPr>
      <w:sz w:val="24"/>
      <w:szCs w:val="24"/>
    </w:rPr>
  </w:style>
  <w:style w:type="character" w:customStyle="1" w:styleId="Heading2Char">
    <w:name w:val="Heading 2 Char"/>
    <w:basedOn w:val="DefaultParagraphFont"/>
    <w:link w:val="Heading22"/>
    <w:locked/>
    <w:rsid w:val="00F645CC"/>
    <w:rPr>
      <w:b/>
      <w:sz w:val="24"/>
      <w:szCs w:val="24"/>
    </w:rPr>
  </w:style>
  <w:style w:type="paragraph" w:customStyle="1" w:styleId="Heading31">
    <w:name w:val="Heading 3_1"/>
    <w:basedOn w:val="Normal2"/>
    <w:next w:val="Normal2"/>
    <w:link w:val="Heading3Char1"/>
    <w:uiPriority w:val="99"/>
    <w:qFormat/>
    <w:rsid w:val="00F645CC"/>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sid w:val="00F645CC"/>
    <w:rPr>
      <w:b/>
      <w:sz w:val="24"/>
      <w:szCs w:val="24"/>
    </w:rPr>
  </w:style>
  <w:style w:type="paragraph" w:customStyle="1" w:styleId="Bodypara2">
    <w:name w:val="Body para_2"/>
    <w:basedOn w:val="Normal2"/>
    <w:link w:val="BodyparaChar2"/>
    <w:uiPriority w:val="99"/>
    <w:rsid w:val="00F645CC"/>
    <w:pPr>
      <w:spacing w:line="480" w:lineRule="auto"/>
      <w:ind w:firstLine="720"/>
    </w:pPr>
  </w:style>
  <w:style w:type="character" w:customStyle="1" w:styleId="BodyparaChar2">
    <w:name w:val="Body para Char_2"/>
    <w:basedOn w:val="DefaultParagraphFont"/>
    <w:link w:val="Bodypara2"/>
    <w:uiPriority w:val="99"/>
    <w:rsid w:val="00E640EE"/>
    <w:rPr>
      <w:sz w:val="24"/>
      <w:szCs w:val="24"/>
    </w:rPr>
  </w:style>
  <w:style w:type="paragraph" w:customStyle="1" w:styleId="Heading40">
    <w:name w:val="Heading 4_0"/>
    <w:basedOn w:val="Normal2"/>
    <w:next w:val="Normal2"/>
    <w:link w:val="Heading4Char"/>
    <w:uiPriority w:val="99"/>
    <w:qFormat/>
    <w:rsid w:val="00F645CC"/>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sid w:val="00F645CC"/>
    <w:rPr>
      <w:b/>
      <w:sz w:val="24"/>
      <w:szCs w:val="24"/>
    </w:rPr>
  </w:style>
  <w:style w:type="paragraph" w:customStyle="1" w:styleId="alphapara2">
    <w:name w:val="alpha para_2"/>
    <w:basedOn w:val="Bodypara2"/>
    <w:link w:val="alphaparaChar2"/>
    <w:uiPriority w:val="99"/>
    <w:rsid w:val="00F645CC"/>
    <w:pPr>
      <w:ind w:left="1440" w:hanging="720"/>
    </w:pPr>
  </w:style>
  <w:style w:type="character" w:customStyle="1" w:styleId="alphaparaChar2">
    <w:name w:val="alpha para Char_2"/>
    <w:basedOn w:val="DefaultParagraphFont"/>
    <w:link w:val="alphapara2"/>
    <w:uiPriority w:val="99"/>
    <w:rsid w:val="00F645CC"/>
    <w:rPr>
      <w:sz w:val="24"/>
      <w:szCs w:val="24"/>
    </w:rPr>
  </w:style>
  <w:style w:type="paragraph" w:customStyle="1" w:styleId="romannumeralpara1">
    <w:name w:val="roman numeral para_1"/>
    <w:basedOn w:val="Normal2"/>
    <w:link w:val="romannumeralparaChar1"/>
    <w:uiPriority w:val="99"/>
    <w:rsid w:val="00F645CC"/>
    <w:pPr>
      <w:spacing w:line="480" w:lineRule="auto"/>
      <w:ind w:left="1440" w:hanging="720"/>
    </w:pPr>
  </w:style>
  <w:style w:type="character" w:customStyle="1" w:styleId="romannumeralparaChar1">
    <w:name w:val="roman numeral para Char_1"/>
    <w:basedOn w:val="DefaultParagraphFont"/>
    <w:link w:val="romannumeralpara1"/>
    <w:uiPriority w:val="99"/>
    <w:rsid w:val="00E640EE"/>
    <w:rPr>
      <w:sz w:val="24"/>
      <w:szCs w:val="24"/>
    </w:rPr>
  </w:style>
  <w:style w:type="paragraph" w:customStyle="1" w:styleId="equationtext0">
    <w:name w:val="equation text_0"/>
    <w:basedOn w:val="romannumeralpara1"/>
    <w:rsid w:val="00E640EE"/>
    <w:pPr>
      <w:spacing w:before="120" w:after="120" w:line="240" w:lineRule="auto"/>
      <w:ind w:left="2880" w:hanging="2160"/>
    </w:pPr>
  </w:style>
  <w:style w:type="paragraph" w:customStyle="1" w:styleId="Heading70">
    <w:name w:val="Heading 7_0"/>
    <w:basedOn w:val="Normal2"/>
    <w:next w:val="Normal2"/>
    <w:link w:val="Heading7Char"/>
    <w:uiPriority w:val="99"/>
    <w:qFormat/>
    <w:rsid w:val="00F645CC"/>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sid w:val="00F645CC"/>
    <w:rPr>
      <w:b/>
      <w:sz w:val="24"/>
      <w:szCs w:val="24"/>
    </w:rPr>
  </w:style>
  <w:style w:type="paragraph" w:customStyle="1" w:styleId="HeadingBody2">
    <w:name w:val="Heading Body 2"/>
    <w:basedOn w:val="BodyText"/>
    <w:rsid w:val="00E640EE"/>
    <w:pPr>
      <w:ind w:firstLine="720"/>
      <w:jc w:val="both"/>
    </w:pPr>
    <w:rPr>
      <w:snapToGrid w:val="0"/>
      <w:szCs w:val="20"/>
    </w:rPr>
  </w:style>
  <w:style w:type="paragraph" w:styleId="BodyText">
    <w:name w:val="Body Text"/>
    <w:basedOn w:val="Normal2"/>
    <w:rsid w:val="00E640EE"/>
    <w:pPr>
      <w:spacing w:after="120"/>
    </w:pPr>
  </w:style>
  <w:style w:type="paragraph" w:customStyle="1" w:styleId="Heading23">
    <w:name w:val="Heading 2_3"/>
    <w:basedOn w:val="Normal3"/>
    <w:next w:val="Normal3"/>
    <w:qFormat/>
    <w:rsid w:val="0059278D"/>
    <w:pPr>
      <w:keepNext/>
      <w:tabs>
        <w:tab w:val="left" w:pos="1080"/>
      </w:tabs>
      <w:spacing w:before="240" w:after="240"/>
      <w:ind w:left="1080" w:right="14" w:hanging="1080"/>
      <w:outlineLvl w:val="1"/>
    </w:pPr>
    <w:rPr>
      <w:b/>
    </w:rPr>
  </w:style>
  <w:style w:type="paragraph" w:customStyle="1" w:styleId="Normal3">
    <w:name w:val="Normal_3"/>
    <w:qFormat/>
    <w:rsid w:val="0059278D"/>
    <w:rPr>
      <w:sz w:val="24"/>
      <w:szCs w:val="24"/>
    </w:rPr>
  </w:style>
  <w:style w:type="paragraph" w:customStyle="1" w:styleId="Heading32">
    <w:name w:val="Heading 3_2"/>
    <w:basedOn w:val="Normal3"/>
    <w:next w:val="Normal3"/>
    <w:link w:val="Heading3Char2"/>
    <w:qFormat/>
    <w:rsid w:val="0059278D"/>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59278D"/>
    <w:rPr>
      <w:b/>
      <w:snapToGrid w:val="0"/>
      <w:sz w:val="24"/>
      <w:lang w:val="en-US" w:eastAsia="en-US" w:bidi="ar-SA"/>
    </w:rPr>
  </w:style>
  <w:style w:type="paragraph" w:customStyle="1" w:styleId="Bodypara3">
    <w:name w:val="Body para_3"/>
    <w:basedOn w:val="Normal3"/>
    <w:link w:val="BodyparaChar3"/>
    <w:rsid w:val="0059278D"/>
    <w:pPr>
      <w:spacing w:line="480" w:lineRule="auto"/>
      <w:ind w:firstLine="720"/>
    </w:pPr>
  </w:style>
  <w:style w:type="character" w:customStyle="1" w:styleId="BodyparaChar3">
    <w:name w:val="Body para Char_3"/>
    <w:basedOn w:val="DefaultParagraphFont"/>
    <w:link w:val="Bodypara3"/>
    <w:rsid w:val="0059278D"/>
    <w:rPr>
      <w:snapToGrid w:val="0"/>
      <w:sz w:val="24"/>
      <w:lang w:val="en-US" w:eastAsia="en-US" w:bidi="ar-SA"/>
    </w:rPr>
  </w:style>
  <w:style w:type="paragraph" w:customStyle="1" w:styleId="Heading41">
    <w:name w:val="Heading 4_1"/>
    <w:basedOn w:val="Normal3"/>
    <w:next w:val="Normal3"/>
    <w:qFormat/>
    <w:rsid w:val="0059278D"/>
    <w:pPr>
      <w:keepNext/>
      <w:tabs>
        <w:tab w:val="left" w:pos="1800"/>
      </w:tabs>
      <w:spacing w:before="240" w:after="240"/>
      <w:ind w:left="1800" w:hanging="1080"/>
      <w:outlineLvl w:val="3"/>
    </w:pPr>
    <w:rPr>
      <w:b/>
    </w:rPr>
  </w:style>
  <w:style w:type="paragraph" w:customStyle="1" w:styleId="alphapara3">
    <w:name w:val="alpha para_3"/>
    <w:basedOn w:val="Bodypara3"/>
    <w:link w:val="alphaparaChar3"/>
    <w:rsid w:val="0059278D"/>
    <w:pPr>
      <w:ind w:left="1440" w:hanging="720"/>
    </w:pPr>
  </w:style>
  <w:style w:type="character" w:customStyle="1" w:styleId="alphaparaChar3">
    <w:name w:val="alpha para Char_3"/>
    <w:basedOn w:val="BodyparaChar3"/>
    <w:link w:val="alphapara3"/>
    <w:rsid w:val="0059278D"/>
    <w:rPr>
      <w:snapToGrid w:val="0"/>
      <w:sz w:val="24"/>
      <w:lang w:val="en-US" w:eastAsia="en-US" w:bidi="ar-SA"/>
    </w:rPr>
  </w:style>
  <w:style w:type="paragraph" w:customStyle="1" w:styleId="subhead0">
    <w:name w:val="subhead_0"/>
    <w:basedOn w:val="Heading41"/>
    <w:rsid w:val="00060B3E"/>
    <w:pPr>
      <w:tabs>
        <w:tab w:val="clear" w:pos="1800"/>
      </w:tabs>
      <w:ind w:left="2160" w:hanging="1440"/>
    </w:pPr>
  </w:style>
  <w:style w:type="paragraph" w:customStyle="1" w:styleId="romannumeralpara2">
    <w:name w:val="roman numeral para_2"/>
    <w:basedOn w:val="Normal3"/>
    <w:link w:val="romannumeralparaChar2"/>
    <w:rsid w:val="0059278D"/>
    <w:pPr>
      <w:spacing w:line="480" w:lineRule="auto"/>
      <w:ind w:left="1440" w:hanging="720"/>
    </w:pPr>
  </w:style>
  <w:style w:type="character" w:customStyle="1" w:styleId="romannumeralparaChar2">
    <w:name w:val="roman numeral para Char_2"/>
    <w:basedOn w:val="DefaultParagraphFont"/>
    <w:link w:val="romannumeralpara2"/>
    <w:rsid w:val="0059278D"/>
    <w:rPr>
      <w:snapToGrid w:val="0"/>
      <w:sz w:val="24"/>
      <w:lang w:val="en-US" w:eastAsia="en-US" w:bidi="ar-SA"/>
    </w:rPr>
  </w:style>
  <w:style w:type="paragraph" w:customStyle="1" w:styleId="Heading33">
    <w:name w:val="Heading 3_3"/>
    <w:basedOn w:val="Normal4"/>
    <w:next w:val="Normal4"/>
    <w:link w:val="Heading3Char3"/>
    <w:qFormat/>
    <w:rsid w:val="0059278D"/>
    <w:pPr>
      <w:keepNext/>
      <w:keepLines/>
      <w:tabs>
        <w:tab w:val="left" w:pos="1080"/>
      </w:tabs>
      <w:spacing w:before="240" w:after="240"/>
      <w:ind w:left="1080" w:right="634" w:hanging="1080"/>
      <w:outlineLvl w:val="2"/>
    </w:pPr>
    <w:rPr>
      <w:b/>
    </w:rPr>
  </w:style>
  <w:style w:type="paragraph" w:customStyle="1" w:styleId="Normal4">
    <w:name w:val="Normal_4"/>
    <w:qFormat/>
    <w:rsid w:val="0059278D"/>
    <w:rPr>
      <w:sz w:val="24"/>
      <w:szCs w:val="24"/>
    </w:rPr>
  </w:style>
  <w:style w:type="character" w:customStyle="1" w:styleId="Heading3Char3">
    <w:name w:val="Heading 3 Char_3"/>
    <w:basedOn w:val="DefaultParagraphFont"/>
    <w:link w:val="Heading33"/>
    <w:rsid w:val="0059278D"/>
    <w:rPr>
      <w:b/>
      <w:snapToGrid w:val="0"/>
      <w:sz w:val="24"/>
      <w:lang w:val="en-US" w:eastAsia="en-US" w:bidi="ar-SA"/>
    </w:rPr>
  </w:style>
  <w:style w:type="paragraph" w:customStyle="1" w:styleId="Heading42">
    <w:name w:val="Heading 4_2"/>
    <w:basedOn w:val="Normal4"/>
    <w:next w:val="Normal4"/>
    <w:qFormat/>
    <w:rsid w:val="0059278D"/>
    <w:pPr>
      <w:keepNext/>
      <w:tabs>
        <w:tab w:val="left" w:pos="1800"/>
      </w:tabs>
      <w:spacing w:before="240" w:after="240"/>
      <w:ind w:left="1800" w:hanging="1080"/>
      <w:outlineLvl w:val="3"/>
    </w:pPr>
    <w:rPr>
      <w:b/>
    </w:rPr>
  </w:style>
  <w:style w:type="paragraph" w:customStyle="1" w:styleId="Bodypara4">
    <w:name w:val="Body para_4"/>
    <w:basedOn w:val="Normal4"/>
    <w:link w:val="BodyparaChar4"/>
    <w:rsid w:val="0059278D"/>
    <w:pPr>
      <w:spacing w:line="480" w:lineRule="auto"/>
      <w:ind w:firstLine="720"/>
    </w:pPr>
  </w:style>
  <w:style w:type="character" w:customStyle="1" w:styleId="BodyparaChar4">
    <w:name w:val="Body para Char_4"/>
    <w:basedOn w:val="DefaultParagraphFont"/>
    <w:link w:val="Bodypara4"/>
    <w:rsid w:val="0059278D"/>
    <w:rPr>
      <w:snapToGrid w:val="0"/>
      <w:sz w:val="24"/>
      <w:lang w:val="en-US" w:eastAsia="en-US" w:bidi="ar-SA"/>
    </w:rPr>
  </w:style>
  <w:style w:type="paragraph" w:customStyle="1" w:styleId="alphapara4">
    <w:name w:val="alpha para_4"/>
    <w:basedOn w:val="Bodypara4"/>
    <w:link w:val="alphaparaChar4"/>
    <w:rsid w:val="0059278D"/>
    <w:pPr>
      <w:ind w:left="1440" w:hanging="720"/>
    </w:pPr>
  </w:style>
  <w:style w:type="character" w:customStyle="1" w:styleId="alphaparaChar4">
    <w:name w:val="alpha para Char_4"/>
    <w:basedOn w:val="BodyparaChar4"/>
    <w:link w:val="alphapara4"/>
    <w:rsid w:val="0059278D"/>
    <w:rPr>
      <w:snapToGrid w:val="0"/>
      <w:sz w:val="24"/>
      <w:lang w:val="en-US" w:eastAsia="en-US" w:bidi="ar-SA"/>
    </w:rPr>
  </w:style>
  <w:style w:type="paragraph" w:customStyle="1" w:styleId="Heading24">
    <w:name w:val="Heading 2_4"/>
    <w:basedOn w:val="Normal5"/>
    <w:next w:val="Normal5"/>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5">
    <w:name w:val="Normal_5"/>
    <w:qFormat/>
    <w:rsid w:val="000C4D21"/>
    <w:rPr>
      <w:sz w:val="24"/>
      <w:szCs w:val="24"/>
    </w:rPr>
  </w:style>
  <w:style w:type="character" w:customStyle="1" w:styleId="Heading2Char0">
    <w:name w:val="Heading 2 Char_0"/>
    <w:basedOn w:val="DefaultParagraphFont"/>
    <w:link w:val="Heading24"/>
    <w:uiPriority w:val="99"/>
    <w:locked/>
    <w:rsid w:val="000C4D21"/>
    <w:rPr>
      <w:b/>
      <w:sz w:val="24"/>
      <w:szCs w:val="24"/>
    </w:rPr>
  </w:style>
  <w:style w:type="paragraph" w:customStyle="1" w:styleId="Heading34">
    <w:name w:val="Heading 3_4"/>
    <w:basedOn w:val="Normal5"/>
    <w:next w:val="Normal5"/>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5">
    <w:name w:val="Body para_5"/>
    <w:basedOn w:val="Normal5"/>
    <w:link w:val="BodyparaChar5"/>
    <w:uiPriority w:val="99"/>
    <w:rsid w:val="000C4D21"/>
    <w:pPr>
      <w:spacing w:line="480" w:lineRule="auto"/>
      <w:ind w:firstLine="720"/>
    </w:pPr>
  </w:style>
  <w:style w:type="character" w:customStyle="1" w:styleId="BodyparaChar5">
    <w:name w:val="Body para Char_5"/>
    <w:basedOn w:val="DefaultParagraphFont"/>
    <w:link w:val="Bodypara5"/>
    <w:uiPriority w:val="99"/>
    <w:rPr>
      <w:sz w:val="24"/>
      <w:szCs w:val="24"/>
    </w:rPr>
  </w:style>
  <w:style w:type="paragraph" w:customStyle="1" w:styleId="alphapara5">
    <w:name w:val="alpha para_5"/>
    <w:basedOn w:val="Bodypara5"/>
    <w:link w:val="alphaparaChar5"/>
    <w:uiPriority w:val="99"/>
    <w:rsid w:val="000C4D21"/>
    <w:pPr>
      <w:ind w:left="1440" w:hanging="720"/>
    </w:pPr>
  </w:style>
  <w:style w:type="character" w:customStyle="1" w:styleId="alphaparaChar5">
    <w:name w:val="alpha para Char_5"/>
    <w:basedOn w:val="DefaultParagraphFont"/>
    <w:link w:val="alphapara5"/>
    <w:uiPriority w:val="99"/>
    <w:rsid w:val="000C4D21"/>
    <w:rPr>
      <w:sz w:val="24"/>
      <w:szCs w:val="24"/>
    </w:rPr>
  </w:style>
  <w:style w:type="paragraph" w:styleId="CommentSubject">
    <w:name w:val="annotation subject"/>
    <w:basedOn w:val="CommentText"/>
    <w:next w:val="CommentText"/>
    <w:link w:val="CommentSubjectChar"/>
    <w:semiHidden/>
    <w:unhideWhenUsed/>
    <w:rsid w:val="00017821"/>
    <w:rPr>
      <w:b/>
      <w:bCs/>
      <w:szCs w:val="20"/>
    </w:rPr>
  </w:style>
  <w:style w:type="character" w:customStyle="1" w:styleId="CommentTextChar">
    <w:name w:val="Comment Text Char"/>
    <w:basedOn w:val="DefaultParagraphFont"/>
    <w:link w:val="CommentText"/>
    <w:semiHidden/>
    <w:rsid w:val="00017821"/>
    <w:rPr>
      <w:szCs w:val="24"/>
    </w:rPr>
  </w:style>
  <w:style w:type="character" w:customStyle="1" w:styleId="CommentSubjectChar">
    <w:name w:val="Comment Subject Char"/>
    <w:basedOn w:val="CommentTextChar"/>
    <w:link w:val="CommentSubject"/>
    <w:semiHidden/>
    <w:rsid w:val="00017821"/>
    <w:rPr>
      <w:b/>
      <w:bCs/>
      <w:szCs w:val="24"/>
    </w:rPr>
  </w:style>
  <w:style w:type="paragraph" w:styleId="ListParagraph">
    <w:name w:val="List Paragraph"/>
    <w:basedOn w:val="Normal"/>
    <w:uiPriority w:val="34"/>
    <w:qFormat/>
    <w:rsid w:val="00033CF9"/>
    <w:pPr>
      <w:ind w:left="720"/>
      <w:contextualSpacing/>
    </w:pPr>
  </w:style>
  <w:style w:type="paragraph" w:customStyle="1" w:styleId="Heading25">
    <w:name w:val="Heading 2_5"/>
    <w:basedOn w:val="Normal6"/>
    <w:next w:val="Normal6"/>
    <w:qFormat/>
    <w:pPr>
      <w:keepNext/>
      <w:tabs>
        <w:tab w:val="left" w:pos="1080"/>
      </w:tabs>
      <w:spacing w:before="240" w:after="240"/>
      <w:ind w:left="1080" w:right="14" w:hanging="1080"/>
      <w:outlineLvl w:val="1"/>
    </w:pPr>
    <w:rPr>
      <w:b/>
    </w:rPr>
  </w:style>
  <w:style w:type="paragraph" w:customStyle="1" w:styleId="Normal6">
    <w:name w:val="Normal_6"/>
    <w:qFormat/>
    <w:rPr>
      <w:sz w:val="24"/>
      <w:szCs w:val="24"/>
    </w:rPr>
  </w:style>
  <w:style w:type="paragraph" w:customStyle="1" w:styleId="Heading35">
    <w:name w:val="Heading 3_5"/>
    <w:basedOn w:val="Normal6"/>
    <w:next w:val="Normal6"/>
    <w:link w:val="Heading3Char5"/>
    <w:qFormat/>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Pr>
      <w:b/>
      <w:snapToGrid w:val="0"/>
      <w:sz w:val="24"/>
      <w:lang w:val="en-US" w:eastAsia="en-US" w:bidi="ar-SA"/>
    </w:rPr>
  </w:style>
  <w:style w:type="paragraph" w:customStyle="1" w:styleId="Bodypara6">
    <w:name w:val="Body para_6"/>
    <w:basedOn w:val="Normal6"/>
    <w:link w:val="BodyparaChar6"/>
    <w:pPr>
      <w:spacing w:line="480" w:lineRule="auto"/>
      <w:ind w:firstLine="720"/>
    </w:pPr>
  </w:style>
  <w:style w:type="character" w:customStyle="1" w:styleId="BodyparaChar6">
    <w:name w:val="Body para Char_6"/>
    <w:basedOn w:val="DefaultParagraphFont"/>
    <w:link w:val="Bodypara6"/>
    <w:rPr>
      <w:snapToGrid w:val="0"/>
      <w:sz w:val="24"/>
      <w:lang w:val="en-US" w:eastAsia="en-US" w:bidi="ar-SA"/>
    </w:rPr>
  </w:style>
  <w:style w:type="paragraph" w:customStyle="1" w:styleId="Definition1">
    <w:name w:val="Definition_1"/>
    <w:basedOn w:val="Normal6"/>
    <w:pPr>
      <w:spacing w:before="240" w:after="240"/>
    </w:pPr>
  </w:style>
  <w:style w:type="paragraph" w:customStyle="1" w:styleId="romannumeralpara3">
    <w:name w:val="roman numeral para_3"/>
    <w:basedOn w:val="Normal6"/>
    <w:link w:val="romannumeralparaChar3"/>
    <w:pPr>
      <w:spacing w:line="480" w:lineRule="auto"/>
      <w:ind w:left="1440" w:hanging="720"/>
    </w:p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definition1">
    <w:name w:val="roman numeral definition_1"/>
    <w:basedOn w:val="romannumeralpara3"/>
    <w:link w:val="romannumeraldefinitionChar1"/>
    <w:pPr>
      <w:spacing w:before="120" w:after="120" w:line="240" w:lineRule="auto"/>
    </w:pPr>
    <w:rPr>
      <w:bCs/>
      <w:u w:val="double"/>
    </w:rPr>
  </w:style>
  <w:style w:type="character" w:customStyle="1" w:styleId="romannumeraldefinitionChar1">
    <w:name w:val="roman numeral definition Char_1"/>
    <w:basedOn w:val="romannumeralparaChar3"/>
    <w:link w:val="romannumeraldefinition1"/>
    <w:rPr>
      <w:bCs/>
      <w:snapToGrid w:val="0"/>
      <w:sz w:val="24"/>
      <w:u w:val="double"/>
      <w:lang w:val="en-US" w:eastAsia="en-US" w:bidi="ar-SA"/>
    </w:rPr>
  </w:style>
  <w:style w:type="paragraph" w:customStyle="1" w:styleId="alphapara6">
    <w:name w:val="alpha para_6"/>
    <w:basedOn w:val="Bodypara6"/>
    <w:link w:val="alphaparaChar6"/>
    <w:pPr>
      <w:ind w:left="1440" w:hanging="720"/>
    </w:pPr>
  </w:style>
  <w:style w:type="character" w:customStyle="1" w:styleId="alphaparaChar6">
    <w:name w:val="alpha para Char_6"/>
    <w:basedOn w:val="BodyparaChar6"/>
    <w:link w:val="alphapara6"/>
    <w:rPr>
      <w:snapToGrid w:val="0"/>
      <w:sz w:val="24"/>
      <w:lang w:val="en-US" w:eastAsia="en-US" w:bidi="ar-SA"/>
    </w:rPr>
  </w:style>
  <w:style w:type="paragraph" w:customStyle="1" w:styleId="EndnoteText0">
    <w:name w:val="Endnote Text_0"/>
    <w:basedOn w:val="Normal6"/>
    <w:semiHidden/>
    <w:rPr>
      <w:sz w:val="20"/>
      <w:szCs w:val="20"/>
    </w:rPr>
  </w:style>
  <w:style w:type="paragraph" w:customStyle="1" w:styleId="Heading220">
    <w:name w:val="Heading 2_2_0"/>
    <w:basedOn w:val="Normal20"/>
    <w:next w:val="Normal20"/>
    <w:link w:val="Heading2Char1"/>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1">
    <w:name w:val="Heading 2 Char_1"/>
    <w:basedOn w:val="DefaultParagraphFont"/>
    <w:link w:val="Heading220"/>
    <w:locked/>
    <w:rPr>
      <w:b/>
      <w:sz w:val="24"/>
      <w:szCs w:val="24"/>
    </w:rPr>
  </w:style>
  <w:style w:type="paragraph" w:customStyle="1" w:styleId="Heading310">
    <w:name w:val="Heading 3_1_0"/>
    <w:basedOn w:val="Normal20"/>
    <w:next w:val="Normal20"/>
    <w:link w:val="Heading3Char10"/>
    <w:uiPriority w:val="99"/>
    <w:qFormat/>
    <w:pPr>
      <w:keepNext/>
      <w:keepLines/>
      <w:tabs>
        <w:tab w:val="left" w:pos="1080"/>
      </w:tabs>
      <w:spacing w:before="240" w:after="240"/>
      <w:ind w:left="1080" w:right="634" w:hanging="1080"/>
      <w:outlineLvl w:val="2"/>
    </w:pPr>
    <w:rPr>
      <w:b/>
    </w:rPr>
  </w:style>
  <w:style w:type="character" w:customStyle="1" w:styleId="Heading3Char10">
    <w:name w:val="Heading 3 Char_1_0"/>
    <w:basedOn w:val="DefaultParagraphFont"/>
    <w:link w:val="Heading310"/>
    <w:uiPriority w:val="99"/>
    <w:rPr>
      <w:b/>
      <w:sz w:val="24"/>
      <w:szCs w:val="24"/>
    </w:rPr>
  </w:style>
  <w:style w:type="paragraph" w:customStyle="1" w:styleId="Bodypara20">
    <w:name w:val="Body para_2_0"/>
    <w:basedOn w:val="Normal20"/>
    <w:link w:val="BodyparaChar20"/>
    <w:uiPriority w:val="99"/>
    <w:pPr>
      <w:spacing w:line="480" w:lineRule="auto"/>
      <w:ind w:firstLine="720"/>
    </w:pPr>
  </w:style>
  <w:style w:type="character" w:customStyle="1" w:styleId="BodyparaChar20">
    <w:name w:val="Body para Char_2_0"/>
    <w:basedOn w:val="DefaultParagraphFont"/>
    <w:link w:val="Bodypara20"/>
    <w:uiPriority w:val="99"/>
    <w:rPr>
      <w:sz w:val="24"/>
      <w:szCs w:val="24"/>
    </w:rPr>
  </w:style>
  <w:style w:type="paragraph" w:customStyle="1" w:styleId="Heading400">
    <w:name w:val="Heading 4_0_0"/>
    <w:basedOn w:val="Normal20"/>
    <w:next w:val="Normal20"/>
    <w:link w:val="Heading4Char0"/>
    <w:uiPriority w:val="99"/>
    <w:qFormat/>
    <w:pPr>
      <w:keepNext/>
      <w:tabs>
        <w:tab w:val="left" w:pos="1800"/>
      </w:tabs>
      <w:spacing w:before="240" w:after="240"/>
      <w:ind w:left="1800" w:hanging="1080"/>
      <w:outlineLvl w:val="3"/>
    </w:pPr>
    <w:rPr>
      <w:b/>
    </w:rPr>
  </w:style>
  <w:style w:type="character" w:customStyle="1" w:styleId="Heading4Char0">
    <w:name w:val="Heading 4 Char_0"/>
    <w:basedOn w:val="DefaultParagraphFont"/>
    <w:link w:val="Heading40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0">
    <w:name w:val="alpha para_2_0"/>
    <w:basedOn w:val="Bodypara20"/>
    <w:link w:val="alphaparaChar20"/>
    <w:uiPriority w:val="99"/>
    <w:pPr>
      <w:ind w:left="1440" w:hanging="720"/>
    </w:pPr>
  </w:style>
  <w:style w:type="character" w:customStyle="1" w:styleId="alphaparaChar20">
    <w:name w:val="alpha para Char_2_0"/>
    <w:basedOn w:val="DefaultParagraphFont"/>
    <w:link w:val="alphapara20"/>
    <w:uiPriority w:val="99"/>
    <w:rPr>
      <w:sz w:val="24"/>
      <w:szCs w:val="24"/>
    </w:rPr>
  </w:style>
  <w:style w:type="paragraph" w:customStyle="1" w:styleId="romannumeralpara10">
    <w:name w:val="roman numeral para_1_0"/>
    <w:basedOn w:val="Normal20"/>
    <w:link w:val="romannumeralparaChar10"/>
    <w:uiPriority w:val="99"/>
    <w:pPr>
      <w:spacing w:line="480" w:lineRule="auto"/>
      <w:ind w:left="1440" w:hanging="720"/>
    </w:pPr>
  </w:style>
  <w:style w:type="character" w:customStyle="1" w:styleId="romannumeralparaChar10">
    <w:name w:val="roman numeral para Char_1_0"/>
    <w:basedOn w:val="DefaultParagraphFont"/>
    <w:link w:val="romannumeralpara10"/>
    <w:uiPriority w:val="99"/>
    <w:rPr>
      <w:sz w:val="24"/>
      <w:szCs w:val="24"/>
    </w:rPr>
  </w:style>
  <w:style w:type="paragraph" w:customStyle="1" w:styleId="equationtext00">
    <w:name w:val="equation text_0_0"/>
    <w:basedOn w:val="romannumeralpara10"/>
    <w:pPr>
      <w:spacing w:before="120" w:after="120" w:line="240" w:lineRule="auto"/>
      <w:ind w:left="2880" w:hanging="2160"/>
    </w:pPr>
  </w:style>
  <w:style w:type="paragraph" w:customStyle="1" w:styleId="Heading700">
    <w:name w:val="Heading 7_0_0"/>
    <w:basedOn w:val="Normal20"/>
    <w:next w:val="Normal20"/>
    <w:link w:val="Heading7Char0"/>
    <w:uiPriority w:val="99"/>
    <w:qFormat/>
    <w:pPr>
      <w:keepNext/>
      <w:spacing w:line="480" w:lineRule="auto"/>
      <w:ind w:left="720" w:right="630"/>
      <w:outlineLvl w:val="6"/>
    </w:pPr>
    <w:rPr>
      <w:b/>
    </w:rPr>
  </w:style>
  <w:style w:type="character" w:customStyle="1" w:styleId="Heading7Char0">
    <w:name w:val="Heading 7 Char_0"/>
    <w:basedOn w:val="DefaultParagraphFont"/>
    <w:link w:val="Heading700"/>
    <w:uiPriority w:val="99"/>
    <w:locked/>
    <w:rPr>
      <w:b/>
      <w:sz w:val="24"/>
      <w:szCs w:val="24"/>
    </w:rPr>
  </w:style>
  <w:style w:type="paragraph" w:customStyle="1" w:styleId="HeadingBody20">
    <w:name w:val="Heading Body 2_0"/>
    <w:basedOn w:val="BodyText0"/>
    <w:pPr>
      <w:ind w:firstLine="720"/>
      <w:jc w:val="both"/>
    </w:pPr>
    <w:rPr>
      <w:snapToGrid w:val="0"/>
      <w:szCs w:val="20"/>
    </w:rPr>
  </w:style>
  <w:style w:type="paragraph" w:customStyle="1" w:styleId="BodyText0">
    <w:name w:val="Body Text_0"/>
    <w:basedOn w:val="Normal20"/>
    <w:pPr>
      <w:spacing w:after="120"/>
    </w:pPr>
  </w:style>
  <w:style w:type="paragraph" w:customStyle="1" w:styleId="Normal7">
    <w:name w:val="Normal_7"/>
    <w:qFormat/>
    <w:rPr>
      <w:sz w:val="24"/>
      <w:szCs w:val="24"/>
    </w:rPr>
  </w:style>
  <w:style w:type="paragraph" w:customStyle="1" w:styleId="Heading230">
    <w:name w:val="Heading 2_3_0"/>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0">
    <w:name w:val="Heading 3_2_0"/>
    <w:basedOn w:val="Normal30"/>
    <w:next w:val="Normal30"/>
    <w:link w:val="Heading3Char20"/>
    <w:qFormat/>
    <w:pPr>
      <w:keepNext/>
      <w:keepLines/>
      <w:tabs>
        <w:tab w:val="left" w:pos="1080"/>
      </w:tabs>
      <w:spacing w:before="240" w:after="240"/>
      <w:ind w:left="1080" w:right="634" w:hanging="1080"/>
      <w:outlineLvl w:val="2"/>
    </w:pPr>
    <w:rPr>
      <w:b/>
    </w:rPr>
  </w:style>
  <w:style w:type="character" w:customStyle="1" w:styleId="Heading3Char20">
    <w:name w:val="Heading 3 Char_2_0"/>
    <w:basedOn w:val="DefaultParagraphFont"/>
    <w:link w:val="Heading320"/>
    <w:rPr>
      <w:b/>
      <w:snapToGrid w:val="0"/>
      <w:sz w:val="24"/>
      <w:lang w:val="en-US" w:eastAsia="en-US" w:bidi="ar-SA"/>
    </w:rPr>
  </w:style>
  <w:style w:type="paragraph" w:customStyle="1" w:styleId="Bodypara30">
    <w:name w:val="Body para_3_0"/>
    <w:basedOn w:val="Normal30"/>
    <w:link w:val="BodyparaChar30"/>
    <w:pPr>
      <w:spacing w:line="480" w:lineRule="auto"/>
      <w:ind w:firstLine="720"/>
    </w:pPr>
  </w:style>
  <w:style w:type="character" w:customStyle="1" w:styleId="BodyparaChar30">
    <w:name w:val="Body para Char_3_0"/>
    <w:basedOn w:val="DefaultParagraphFont"/>
    <w:link w:val="Bodypara30"/>
    <w:rPr>
      <w:snapToGrid w:val="0"/>
      <w:sz w:val="24"/>
      <w:lang w:val="en-US" w:eastAsia="en-US" w:bidi="ar-SA"/>
    </w:rPr>
  </w:style>
  <w:style w:type="paragraph" w:customStyle="1" w:styleId="Heading410">
    <w:name w:val="Heading 4_1_0"/>
    <w:basedOn w:val="Normal30"/>
    <w:next w:val="Normal30"/>
    <w:qFormat/>
    <w:pPr>
      <w:keepNext/>
      <w:tabs>
        <w:tab w:val="left" w:pos="1800"/>
      </w:tabs>
      <w:spacing w:before="240" w:after="240"/>
      <w:ind w:left="1800" w:hanging="1080"/>
      <w:outlineLvl w:val="3"/>
    </w:pPr>
    <w:rPr>
      <w:b/>
    </w:rPr>
  </w:style>
  <w:style w:type="paragraph" w:customStyle="1" w:styleId="alphapara30">
    <w:name w:val="alpha para_3_0"/>
    <w:basedOn w:val="Bodypara30"/>
    <w:link w:val="alphaparaChar30"/>
    <w:pPr>
      <w:ind w:left="1440" w:hanging="720"/>
    </w:pPr>
  </w:style>
  <w:style w:type="character" w:customStyle="1" w:styleId="alphaparaChar30">
    <w:name w:val="alpha para Char_3_0"/>
    <w:basedOn w:val="BodyparaChar30"/>
    <w:link w:val="alphapara30"/>
    <w:rPr>
      <w:snapToGrid w:val="0"/>
      <w:sz w:val="24"/>
      <w:lang w:val="en-US" w:eastAsia="en-US" w:bidi="ar-SA"/>
    </w:rPr>
  </w:style>
  <w:style w:type="paragraph" w:customStyle="1" w:styleId="subhead00">
    <w:name w:val="subhead_0_0"/>
    <w:basedOn w:val="Heading410"/>
    <w:pPr>
      <w:tabs>
        <w:tab w:val="clear" w:pos="1800"/>
      </w:tabs>
      <w:ind w:left="2160" w:hanging="1440"/>
    </w:pPr>
  </w:style>
  <w:style w:type="paragraph" w:customStyle="1" w:styleId="romannumeralpara20">
    <w:name w:val="roman numeral para_2_0"/>
    <w:basedOn w:val="Normal30"/>
    <w:link w:val="romannumeralparaChar20"/>
    <w:pPr>
      <w:spacing w:line="480" w:lineRule="auto"/>
      <w:ind w:left="1440" w:hanging="720"/>
    </w:pPr>
  </w:style>
  <w:style w:type="character" w:customStyle="1" w:styleId="romannumeralparaChar20">
    <w:name w:val="roman numeral para Char_2_0"/>
    <w:basedOn w:val="DefaultParagraphFont"/>
    <w:link w:val="romannumeralpara20"/>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8">
    <w:name w:val="Normal_8"/>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86D9-340B-4BFF-B9F7-7A9B3B85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Schnell, Alex</dc:creator>
  <cp:lastModifiedBy>TMS IIS</cp:lastModifiedBy>
  <cp:revision>2</cp:revision>
  <cp:lastPrinted>2018-11-15T18:43:00Z</cp:lastPrinted>
  <dcterms:created xsi:type="dcterms:W3CDTF">2024-02-01T22:49:00Z</dcterms:created>
  <dcterms:modified xsi:type="dcterms:W3CDTF">2024-02-01T22:49:00Z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y fmtid="{D5CDD505-2E9C-101B-9397-08002B2CF9AE}" pid="5" name="_AdHocReviewCycleID">
    <vt:i4>-5310434</vt:i4>
  </property>
  <property fmtid="{D5CDD505-2E9C-101B-9397-08002B2CF9AE}" pid="6" name="_AuthorEmail">
    <vt:lpwstr>ASchnell@nyiso.com</vt:lpwstr>
  </property>
  <property fmtid="{D5CDD505-2E9C-101B-9397-08002B2CF9AE}" pid="7" name="_AuthorEmailDisplayName">
    <vt:lpwstr>Schnell, Alex</vt:lpwstr>
  </property>
  <property fmtid="{D5CDD505-2E9C-101B-9397-08002B2CF9AE}" pid="8" name="_EmailSubject">
    <vt:lpwstr>Energy Market Mitigation Rules for Energy Storage Resources</vt:lpwstr>
  </property>
  <property fmtid="{D5CDD505-2E9C-101B-9397-08002B2CF9AE}" pid="9" name="_NewReviewCycle">
    <vt:lpwstr/>
  </property>
  <property fmtid="{D5CDD505-2E9C-101B-9397-08002B2CF9AE}" pid="10" name="_PreviousAdHocReviewCycleID">
    <vt:i4>1772685061</vt:i4>
  </property>
  <property fmtid="{D5CDD505-2E9C-101B-9397-08002B2CF9AE}" pid="11" name="_ReviewingToolsShownOnce">
    <vt:lpwstr/>
  </property>
</Properties>
</file>