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39"/>
      <w:bookmarkStart w:id="1" w:name="_Toc260839847"/>
      <w:bookmarkStart w:id="2" w:name="_Toc311192605"/>
      <w:bookmarkStart w:id="3" w:name="_GoBack"/>
      <w:bookmarkEnd w:id="3"/>
      <w:r>
        <w:t>35.14</w:t>
      </w:r>
      <w:r>
        <w:tab/>
        <w:t>TTC/ATC/AFC Calculations</w:t>
      </w:r>
      <w:bookmarkEnd w:id="0"/>
      <w:bookmarkEnd w:id="1"/>
      <w:bookmarkEnd w:id="2"/>
    </w:p>
    <w:p w:rsidR="00E20052" w:rsidRPr="00EF58EE" w:rsidP="00EF58EE">
      <w:pPr>
        <w:pStyle w:val="Heading3"/>
        <w:tabs>
          <w:tab w:val="left" w:pos="1080"/>
        </w:tabs>
        <w:spacing w:before="240" w:after="240"/>
        <w:ind w:left="1080" w:right="634" w:hanging="1080"/>
        <w:rPr>
          <w:rFonts w:ascii="Times New Roman" w:hAnsi="Times New Roman" w:cs="Times New Roman"/>
          <w:color w:val="auto"/>
        </w:rPr>
      </w:pPr>
      <w:bookmarkStart w:id="4" w:name="_Toc260839848"/>
      <w:bookmarkStart w:id="5" w:name="_Toc311192606"/>
      <w:r w:rsidRPr="00EF58EE">
        <w:rPr>
          <w:rFonts w:ascii="Times New Roman" w:hAnsi="Times New Roman" w:cs="Times New Roman"/>
          <w:color w:val="auto"/>
        </w:rPr>
        <w:t>35.14.1</w:t>
      </w:r>
      <w:r w:rsidRPr="00EF58EE">
        <w:rPr>
          <w:rFonts w:ascii="Times New Roman" w:hAnsi="Times New Roman" w:cs="Times New Roman"/>
          <w:color w:val="auto"/>
        </w:rPr>
        <w:tab/>
        <w:t>TTC/ATC/AFC Protocols</w:t>
      </w:r>
      <w:bookmarkEnd w:id="4"/>
      <w:bookmarkEnd w:id="5"/>
      <w:r w:rsidRPr="00EF58EE">
        <w:rPr>
          <w:rFonts w:ascii="Times New Roman" w:hAnsi="Times New Roman" w:cs="Times New Roman"/>
          <w:color w:val="auto"/>
        </w:rPr>
        <w:t xml:space="preserve">  </w:t>
      </w:r>
    </w:p>
    <w:p w:rsidR="00E20052">
      <w:pPr>
        <w:pStyle w:val="Bodypara"/>
        <w:rPr>
          <w:b/>
        </w:rPr>
      </w:pPr>
      <w:r>
        <w:rPr>
          <w:bCs/>
        </w:rPr>
        <w:t xml:space="preserve">In </w:t>
      </w:r>
      <w:r>
        <w:t>accordance</w:t>
      </w:r>
      <w:r>
        <w:rPr>
          <w:bCs/>
        </w:rPr>
        <w:t xml:space="preserve"> with Section 35.9, t</w:t>
      </w:r>
      <w:r>
        <w:t>he Parties will exchange scheduled Outages of all interconnections and other Transmission Facilities.</w:t>
      </w:r>
    </w:p>
    <w:p w:rsidR="00E20052" w:rsidRPr="00EF58EE"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6" w:name="_Toc260839849"/>
      <w:bookmarkStart w:id="7" w:name="_Toc311192607"/>
      <w:r w:rsidRPr="00EF58EE">
        <w:rPr>
          <w:rFonts w:ascii="Times New Roman" w:hAnsi="Times New Roman" w:cs="Times New Roman"/>
          <w:i w:val="0"/>
          <w:color w:val="auto"/>
        </w:rPr>
        <w:t>35.14.1.1</w:t>
      </w:r>
      <w:r w:rsidRPr="00EF58EE">
        <w:rPr>
          <w:rFonts w:ascii="Times New Roman" w:hAnsi="Times New Roman" w:cs="Times New Roman"/>
          <w:i w:val="0"/>
          <w:color w:val="auto"/>
        </w:rPr>
        <w:tab/>
        <w:t>Scheduled Outages of Transmission Resources</w:t>
      </w:r>
      <w:bookmarkEnd w:id="6"/>
      <w:bookmarkEnd w:id="7"/>
      <w:r w:rsidRPr="00EF58EE">
        <w:rPr>
          <w:rFonts w:ascii="Times New Roman" w:hAnsi="Times New Roman" w:cs="Times New Roman"/>
          <w:i w:val="0"/>
          <w:color w:val="auto"/>
        </w:rPr>
        <w:t xml:space="preserve"> </w:t>
      </w:r>
    </w:p>
    <w:p w:rsidR="00E20052">
      <w:pPr>
        <w:pStyle w:val="Bodypara"/>
      </w:pPr>
      <w:r>
        <w:t xml:space="preserve">Each Party will provide the projected status of scheduled Outages of Transmission Facilities for a minimum of eighteen (18) months or more if available.  </w:t>
      </w:r>
    </w:p>
    <w:p w:rsidR="00E20052" w:rsidRPr="00EF58EE"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8" w:name="_Toc260839850"/>
      <w:bookmarkStart w:id="9" w:name="_Toc311192608"/>
      <w:r w:rsidRPr="00EF58EE">
        <w:rPr>
          <w:rFonts w:ascii="Times New Roman" w:hAnsi="Times New Roman" w:cs="Times New Roman"/>
          <w:i w:val="0"/>
          <w:color w:val="auto"/>
        </w:rPr>
        <w:t>35.14.1.2</w:t>
      </w:r>
      <w:r w:rsidRPr="00EF58EE">
        <w:rPr>
          <w:rFonts w:ascii="Times New Roman" w:hAnsi="Times New Roman" w:cs="Times New Roman"/>
          <w:i w:val="0"/>
          <w:color w:val="auto"/>
        </w:rPr>
        <w:tab/>
        <w:t>Transmission Interchange Schedules</w:t>
      </w:r>
      <w:bookmarkEnd w:id="8"/>
      <w:bookmarkEnd w:id="9"/>
      <w:r w:rsidRPr="00EF58EE">
        <w:rPr>
          <w:rFonts w:ascii="Times New Roman" w:hAnsi="Times New Roman" w:cs="Times New Roman"/>
          <w:i w:val="0"/>
          <w:color w:val="auto"/>
        </w:rPr>
        <w:t xml:space="preserve"> </w:t>
      </w:r>
    </w:p>
    <w:p w:rsidR="00E20052">
      <w:pPr>
        <w:pStyle w:val="Bodypara"/>
      </w:pPr>
      <w:r>
        <w:t>Each Party will make available its interchange schedule</w:t>
      </w:r>
      <w:r>
        <w:t xml:space="preserve">s to permit accurate calculation of TTC and ATC/AFC values.  </w:t>
      </w:r>
    </w:p>
    <w:p w:rsidR="00E20052" w:rsidRPr="00EF58EE" w:rsidP="00EF58EE">
      <w:pPr>
        <w:pStyle w:val="Heading3"/>
        <w:tabs>
          <w:tab w:val="left" w:pos="1080"/>
        </w:tabs>
        <w:spacing w:before="240" w:after="240"/>
        <w:ind w:left="1080" w:right="634" w:hanging="1080"/>
        <w:rPr>
          <w:rFonts w:ascii="Times New Roman" w:hAnsi="Times New Roman" w:cs="Times New Roman"/>
          <w:color w:val="auto"/>
        </w:rPr>
      </w:pPr>
      <w:bookmarkStart w:id="10" w:name="_Toc260839851"/>
      <w:bookmarkStart w:id="11" w:name="_Toc311192609"/>
      <w:r w:rsidRPr="00EF58EE">
        <w:rPr>
          <w:rFonts w:ascii="Times New Roman" w:hAnsi="Times New Roman" w:cs="Times New Roman"/>
          <w:color w:val="auto"/>
        </w:rPr>
        <w:t>35.14.2</w:t>
      </w:r>
      <w:r w:rsidRPr="00EF58EE">
        <w:rPr>
          <w:rFonts w:ascii="Times New Roman" w:hAnsi="Times New Roman" w:cs="Times New Roman"/>
          <w:color w:val="auto"/>
        </w:rPr>
        <w:tab/>
        <w:t>Configuration/Facility Changes</w:t>
      </w:r>
      <w:bookmarkEnd w:id="10"/>
      <w:bookmarkEnd w:id="11"/>
    </w:p>
    <w:p w:rsidR="00E20052">
      <w:pPr>
        <w:pStyle w:val="Bodypara"/>
      </w:pPr>
      <w:r>
        <w:t>Transmission configuration changes and generation additions (or retirements) shall be communicated via the NERC MMWG process.</w:t>
      </w:r>
    </w:p>
    <w:p w:rsidR="00E20052" w:rsidRPr="00EF58EE" w:rsidP="00EF58EE">
      <w:pPr>
        <w:pStyle w:val="Heading3"/>
        <w:tabs>
          <w:tab w:val="left" w:pos="1080"/>
        </w:tabs>
        <w:spacing w:before="240" w:after="240"/>
        <w:ind w:left="1080" w:right="634" w:hanging="1080"/>
        <w:rPr>
          <w:rFonts w:ascii="Times New Roman" w:hAnsi="Times New Roman" w:cs="Times New Roman"/>
          <w:color w:val="auto"/>
        </w:rPr>
      </w:pPr>
      <w:bookmarkStart w:id="12" w:name="_Toc260839852"/>
      <w:bookmarkStart w:id="13" w:name="_Toc311192610"/>
      <w:r w:rsidRPr="00EF58EE">
        <w:rPr>
          <w:rFonts w:ascii="Times New Roman" w:hAnsi="Times New Roman" w:cs="Times New Roman"/>
          <w:color w:val="auto"/>
        </w:rPr>
        <w:t>35.14. 3</w:t>
      </w:r>
      <w:r w:rsidRPr="00EF58EE">
        <w:rPr>
          <w:rFonts w:ascii="Times New Roman" w:hAnsi="Times New Roman" w:cs="Times New Roman"/>
          <w:color w:val="auto"/>
        </w:rPr>
        <w:tab/>
        <w:t xml:space="preserve">Transmission System </w:t>
      </w:r>
      <w:r w:rsidRPr="00EF58EE">
        <w:rPr>
          <w:rFonts w:ascii="Times New Roman" w:hAnsi="Times New Roman" w:cs="Times New Roman"/>
          <w:color w:val="auto"/>
        </w:rPr>
        <w:t>Impacts</w:t>
      </w:r>
      <w:bookmarkEnd w:id="12"/>
      <w:bookmarkEnd w:id="13"/>
    </w:p>
    <w:p w:rsidR="00E20052">
      <w:pPr>
        <w:pStyle w:val="romannumeralpara"/>
      </w:pPr>
      <w:r>
        <w:t>35.14.3.1</w:t>
      </w:r>
      <w:r>
        <w:tab/>
        <w:t>The Parties shall coordinate with each other as needed and with other Reliability Coordinators, Balancing Authorities, and Generator Operators as needed to develop and implement action plans to mitigate potential or actual SOL, IROL, CPS,</w:t>
      </w:r>
      <w:r>
        <w:t xml:space="preserve"> or DCS violations.</w:t>
      </w:r>
    </w:p>
    <w:p w:rsidR="00E20052">
      <w:pPr>
        <w:pStyle w:val="romannumeralpara"/>
      </w:pPr>
      <w:r>
        <w:t>35.14.3.2</w:t>
      </w:r>
      <w:r>
        <w:tab/>
        <w:t xml:space="preserve">Each Party shall operate to prevent the likelihood that a disturbance, action, or non-action in its area will result in a SOL or IROL violation for the other Party.  In instances where there is a difference in derived limits, </w:t>
      </w:r>
      <w:r>
        <w:t>Parties shall respect the most limiting parameter.</w:t>
      </w:r>
    </w:p>
    <w:p w:rsidR="00E20052">
      <w:pPr>
        <w:pStyle w:val="romannumeralpara"/>
      </w:pPr>
      <w:r>
        <w:t>35.14.3.3</w:t>
      </w:r>
      <w:r>
        <w:tab/>
        <w:t>A Party who foresees a transmission problem (such as an SOL or IROL violation, loss of reactive reserves, etc.) that impacts the other Party shall issue an alert to the other Party without unreas</w:t>
      </w:r>
      <w:r>
        <w:t xml:space="preserve">onable delay. </w:t>
      </w:r>
    </w:p>
    <w:p w:rsidR="00E20052">
      <w:pPr>
        <w:pStyle w:val="romannumeralpara"/>
      </w:pPr>
      <w:r>
        <w:t>35.14.3.4</w:t>
      </w:r>
      <w:r>
        <w:tab/>
        <w:t>Each Party shall confirm reliability assessment results and determine the effects within its own and the other Party’s areas.  The Parties shall discuss options to mitigate potential or actual SOL or IROL violations and take action</w:t>
      </w:r>
      <w:r>
        <w:t xml:space="preserve">s as necessary to always act in the best interests of the Interconnection at all times. </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89"/>
    <w:rsid w:val="00547B25"/>
    <w:rsid w:val="008D3589"/>
    <w:rsid w:val="00E20052"/>
    <w:rsid w:val="00EF58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EAA5-4E7F-47A1-8A12-B2007C23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2019-09-01T18:35:00Z</dcterms:created>
  <dcterms:modified xsi:type="dcterms:W3CDTF">2019-09-01T18:35:00Z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