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60" w:rsidRDefault="008F48C2">
      <w:pPr>
        <w:pStyle w:val="Heading2"/>
      </w:pPr>
      <w:bookmarkStart w:id="0" w:name="_Toc261446060"/>
      <w:bookmarkStart w:id="1" w:name="_GoBack"/>
      <w:bookmarkEnd w:id="1"/>
      <w:r>
        <w:t xml:space="preserve">4.3 </w:t>
      </w:r>
      <w:r>
        <w:tab/>
        <w:t>In-Day Scheduling Changes</w:t>
      </w:r>
      <w:bookmarkEnd w:id="0"/>
    </w:p>
    <w:p w:rsidR="004A3360" w:rsidRDefault="008F48C2">
      <w:pPr>
        <w:pStyle w:val="Bodypara"/>
      </w:pPr>
      <w:r>
        <w:t xml:space="preserve">After the Day-Ahead schedule is published, the ISO shall </w:t>
      </w:r>
      <w:r>
        <w:rPr>
          <w:iCs/>
        </w:rPr>
        <w:t xml:space="preserve">normally </w:t>
      </w:r>
      <w:r>
        <w:t>grant requests by Capacity Limited Resources and Energy Limited Resources for reductions from Day-Ahead schedule</w:t>
      </w:r>
      <w:r>
        <w:rPr>
          <w:iCs/>
        </w:rPr>
        <w:t>s</w:t>
      </w:r>
      <w:r>
        <w:t xml:space="preserve"> to </w:t>
      </w:r>
      <w:r>
        <w:rPr>
          <w:iCs/>
        </w:rPr>
        <w:t>their UOL</w:t>
      </w:r>
      <w:r>
        <w:rPr>
          <w:iCs/>
          <w:smallCaps/>
          <w:vertAlign w:val="subscript"/>
        </w:rPr>
        <w:t>n</w:t>
      </w:r>
      <w:r>
        <w:rPr>
          <w:iCs/>
        </w:rPr>
        <w:t xml:space="preserve">s </w:t>
      </w:r>
      <w:r>
        <w:t xml:space="preserve">for any hour(s) in which they are scheduled above their </w:t>
      </w:r>
      <w:r>
        <w:rPr>
          <w:iCs/>
        </w:rPr>
        <w:t>UOL</w:t>
      </w:r>
      <w:r>
        <w:rPr>
          <w:iCs/>
          <w:smallCaps/>
          <w:vertAlign w:val="subscript"/>
        </w:rPr>
        <w:t>n</w:t>
      </w:r>
      <w:r>
        <w:rPr>
          <w:iCs/>
        </w:rPr>
        <w:t>s</w:t>
      </w:r>
      <w:r>
        <w:t xml:space="preserve">.  </w:t>
      </w:r>
      <w:r>
        <w:rPr>
          <w:iCs/>
        </w:rPr>
        <w:t xml:space="preserve">However, the ISO may schedule such Resources to provide Energy </w:t>
      </w:r>
      <w:r>
        <w:t xml:space="preserve">in the Real-Time Market </w:t>
      </w:r>
      <w:r>
        <w:rPr>
          <w:iCs/>
        </w:rPr>
        <w:t xml:space="preserve">in an amount up to its Day-Ahead schedule </w:t>
      </w:r>
      <w:r>
        <w:t>during the relevant hour(s) at a price no higher than the relev</w:t>
      </w:r>
      <w:r>
        <w:t xml:space="preserve">ant Day-Ahead offer price </w:t>
      </w:r>
      <w:r>
        <w:rPr>
          <w:iCs/>
        </w:rPr>
        <w:t xml:space="preserve">when it is needed </w:t>
      </w:r>
      <w:r>
        <w:t xml:space="preserve">to prevent or </w:t>
      </w:r>
      <w:r>
        <w:rPr>
          <w:iCs/>
        </w:rPr>
        <w:t xml:space="preserve">to </w:t>
      </w:r>
      <w:r>
        <w:t xml:space="preserve">address an Emergency. </w:t>
      </w:r>
    </w:p>
    <w:p w:rsidR="004A3360" w:rsidRDefault="008F48C2">
      <w:pPr>
        <w:pStyle w:val="Bodypara"/>
      </w:pPr>
      <w:r>
        <w:rPr>
          <w:color w:val="000000"/>
        </w:rPr>
        <w:t xml:space="preserve">The </w:t>
      </w:r>
      <w:r>
        <w:t>ISO</w:t>
      </w:r>
      <w:r>
        <w:rPr>
          <w:color w:val="000000"/>
        </w:rPr>
        <w:t xml:space="preserve"> will not recall Energy produced by a Generator serving External Load to the extent that the Generator is not providing Installed Capacity (and has not indicated tha</w:t>
      </w:r>
      <w:r>
        <w:rPr>
          <w:color w:val="000000"/>
        </w:rPr>
        <w:t>t it wishes to qualify as a provider of Installed Capacity) in the NYCA.  The ISO shall take action, including manual intervention, to schedule Export Transactions from Generators that have Available Generating Capacity and that have supplied installed Cap</w:t>
      </w:r>
      <w:r>
        <w:rPr>
          <w:color w:val="000000"/>
        </w:rPr>
        <w:t>acity to entities serving Load located in an External Control Area when the External Control Area issues a notification requiring such Generators to supply Energy, provided however, that any Transaction may be Curtailed in response to the invocation of Tra</w:t>
      </w:r>
      <w:r>
        <w:rPr>
          <w:color w:val="000000"/>
        </w:rPr>
        <w:t>nsmission Loading Relief procedures by the ISO or by operators of other Control Areas.  Energy from non</w:t>
      </w:r>
      <w:r>
        <w:rPr>
          <w:color w:val="000000"/>
        </w:rPr>
        <w:noBreakHyphen/>
        <w:t>Installed Capacity providers in New York which is being Supplied outside the NYCA could be purchased by the ISO, pursuant to ISO Procedures, should an e</w:t>
      </w:r>
      <w:r>
        <w:rPr>
          <w:color w:val="000000"/>
        </w:rPr>
        <w:t xml:space="preserve">mergency exist in the NYCA, provided however that Energy from Generators that have supplied </w:t>
      </w:r>
      <w:r>
        <w:t>installed</w:t>
      </w:r>
      <w:r>
        <w:rPr>
          <w:color w:val="000000"/>
        </w:rPr>
        <w:t xml:space="preserve"> Capacity to entities serving Load located in an External Control Area that are responding to a notification by the External Control Area that requires suc</w:t>
      </w:r>
      <w:r>
        <w:rPr>
          <w:color w:val="000000"/>
        </w:rPr>
        <w:t xml:space="preserve">h Generators to supply Energy, may not be purchased by the ISO should a capacity resource emergency exist in </w:t>
      </w:r>
      <w:r>
        <w:t xml:space="preserve">the NYCA.  </w:t>
      </w:r>
    </w:p>
    <w:p w:rsidR="004A3360" w:rsidRDefault="004A3360">
      <w:pPr>
        <w:pStyle w:val="romannumeralpara"/>
      </w:pPr>
    </w:p>
    <w:sectPr w:rsidR="004A33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48C2">
      <w:r>
        <w:separator/>
      </w:r>
    </w:p>
  </w:endnote>
  <w:endnote w:type="continuationSeparator" w:id="0">
    <w:p w:rsidR="00000000" w:rsidRDefault="008F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60" w:rsidRDefault="008F48C2">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60" w:rsidRDefault="008F48C2">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60" w:rsidRDefault="008F48C2">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48C2">
      <w:r>
        <w:separator/>
      </w:r>
    </w:p>
  </w:footnote>
  <w:footnote w:type="continuationSeparator" w:id="0">
    <w:p w:rsidR="00000000" w:rsidRDefault="008F4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60" w:rsidRDefault="008F48C2">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4 MST Market Services:  Rights and Obligations --&gt; 4.3 MST In-Day Scheduling Changes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60" w:rsidRDefault="008F48C2">
    <w:r>
      <w:rPr>
        <w:rFonts w:ascii="Arial" w:eastAsia="Arial" w:hAnsi="Arial" w:cs="Arial"/>
        <w:color w:val="000000"/>
        <w:sz w:val="16"/>
      </w:rPr>
      <w:t>NYISO Tariffs --&gt; Market Administration and Control Area Services Tariff (MST) --&gt; 4 MST Market Services:  Rights and Obligations --&gt; 4.3 MST In-Day Sch</w:t>
    </w:r>
    <w:r>
      <w:rPr>
        <w:rFonts w:ascii="Arial" w:eastAsia="Arial" w:hAnsi="Arial" w:cs="Arial"/>
        <w:color w:val="000000"/>
        <w:sz w:val="16"/>
      </w:rPr>
      <w:t>eduling Changes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60" w:rsidRDefault="008F48C2">
    <w:r>
      <w:rPr>
        <w:rFonts w:ascii="Arial" w:eastAsia="Arial" w:hAnsi="Arial" w:cs="Arial"/>
        <w:color w:val="000000"/>
        <w:sz w:val="16"/>
      </w:rPr>
      <w:t xml:space="preserve">NYISO Tariffs --&gt; Market Administration and Control Area Services Tariff (MST) --&gt; 4 MST Market Services:  Rights and Obligations --&gt; 4.3 MST In-Day Scheduling </w:t>
    </w:r>
    <w:r>
      <w:rPr>
        <w:rFonts w:ascii="Arial" w:eastAsia="Arial" w:hAnsi="Arial" w:cs="Arial"/>
        <w:color w:val="000000"/>
        <w:sz w:val="16"/>
      </w:rPr>
      <w:t>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E145920">
      <w:start w:val="1"/>
      <w:numFmt w:val="bullet"/>
      <w:pStyle w:val="Bulletpara"/>
      <w:lvlText w:val=""/>
      <w:lvlJc w:val="left"/>
      <w:pPr>
        <w:tabs>
          <w:tab w:val="num" w:pos="720"/>
        </w:tabs>
        <w:ind w:left="720" w:hanging="360"/>
      </w:pPr>
      <w:rPr>
        <w:rFonts w:ascii="Symbol" w:hAnsi="Symbol" w:hint="default"/>
      </w:rPr>
    </w:lvl>
    <w:lvl w:ilvl="1" w:tplc="7750C290" w:tentative="1">
      <w:start w:val="1"/>
      <w:numFmt w:val="bullet"/>
      <w:lvlText w:val="o"/>
      <w:lvlJc w:val="left"/>
      <w:pPr>
        <w:tabs>
          <w:tab w:val="num" w:pos="1440"/>
        </w:tabs>
        <w:ind w:left="1440" w:hanging="360"/>
      </w:pPr>
      <w:rPr>
        <w:rFonts w:ascii="Courier New" w:hAnsi="Courier New" w:hint="default"/>
      </w:rPr>
    </w:lvl>
    <w:lvl w:ilvl="2" w:tplc="97DC509E" w:tentative="1">
      <w:start w:val="1"/>
      <w:numFmt w:val="bullet"/>
      <w:lvlText w:val=""/>
      <w:lvlJc w:val="left"/>
      <w:pPr>
        <w:tabs>
          <w:tab w:val="num" w:pos="2160"/>
        </w:tabs>
        <w:ind w:left="2160" w:hanging="360"/>
      </w:pPr>
      <w:rPr>
        <w:rFonts w:ascii="Wingdings" w:hAnsi="Wingdings" w:hint="default"/>
      </w:rPr>
    </w:lvl>
    <w:lvl w:ilvl="3" w:tplc="3842B8A6" w:tentative="1">
      <w:start w:val="1"/>
      <w:numFmt w:val="bullet"/>
      <w:lvlText w:val=""/>
      <w:lvlJc w:val="left"/>
      <w:pPr>
        <w:tabs>
          <w:tab w:val="num" w:pos="2880"/>
        </w:tabs>
        <w:ind w:left="2880" w:hanging="360"/>
      </w:pPr>
      <w:rPr>
        <w:rFonts w:ascii="Symbol" w:hAnsi="Symbol" w:hint="default"/>
      </w:rPr>
    </w:lvl>
    <w:lvl w:ilvl="4" w:tplc="64963780" w:tentative="1">
      <w:start w:val="1"/>
      <w:numFmt w:val="bullet"/>
      <w:lvlText w:val="o"/>
      <w:lvlJc w:val="left"/>
      <w:pPr>
        <w:tabs>
          <w:tab w:val="num" w:pos="3600"/>
        </w:tabs>
        <w:ind w:left="3600" w:hanging="360"/>
      </w:pPr>
      <w:rPr>
        <w:rFonts w:ascii="Courier New" w:hAnsi="Courier New" w:hint="default"/>
      </w:rPr>
    </w:lvl>
    <w:lvl w:ilvl="5" w:tplc="B2F29930" w:tentative="1">
      <w:start w:val="1"/>
      <w:numFmt w:val="bullet"/>
      <w:lvlText w:val=""/>
      <w:lvlJc w:val="left"/>
      <w:pPr>
        <w:tabs>
          <w:tab w:val="num" w:pos="4320"/>
        </w:tabs>
        <w:ind w:left="4320" w:hanging="360"/>
      </w:pPr>
      <w:rPr>
        <w:rFonts w:ascii="Wingdings" w:hAnsi="Wingdings" w:hint="default"/>
      </w:rPr>
    </w:lvl>
    <w:lvl w:ilvl="6" w:tplc="74229E28" w:tentative="1">
      <w:start w:val="1"/>
      <w:numFmt w:val="bullet"/>
      <w:lvlText w:val=""/>
      <w:lvlJc w:val="left"/>
      <w:pPr>
        <w:tabs>
          <w:tab w:val="num" w:pos="5040"/>
        </w:tabs>
        <w:ind w:left="5040" w:hanging="360"/>
      </w:pPr>
      <w:rPr>
        <w:rFonts w:ascii="Symbol" w:hAnsi="Symbol" w:hint="default"/>
      </w:rPr>
    </w:lvl>
    <w:lvl w:ilvl="7" w:tplc="01B03C0E" w:tentative="1">
      <w:start w:val="1"/>
      <w:numFmt w:val="bullet"/>
      <w:lvlText w:val="o"/>
      <w:lvlJc w:val="left"/>
      <w:pPr>
        <w:tabs>
          <w:tab w:val="num" w:pos="5760"/>
        </w:tabs>
        <w:ind w:left="5760" w:hanging="360"/>
      </w:pPr>
      <w:rPr>
        <w:rFonts w:ascii="Courier New" w:hAnsi="Courier New" w:hint="default"/>
      </w:rPr>
    </w:lvl>
    <w:lvl w:ilvl="8" w:tplc="3746D1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360"/>
    <w:rsid w:val="004A3360"/>
    <w:rsid w:val="008F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2024-07-26T14:38:00Z</dcterms:created>
  <dcterms:modified xsi:type="dcterms:W3CDTF">2024-07-26T14:38:00Z</dcterms:modified>
</cp:coreProperties>
</file>